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8F76" w14:textId="31F99B77" w:rsidR="0001318D" w:rsidRPr="00670318" w:rsidRDefault="00F4497B">
      <w:pPr>
        <w:rPr>
          <w:b/>
          <w:bCs/>
          <w:sz w:val="44"/>
          <w:szCs w:val="44"/>
        </w:rPr>
      </w:pPr>
      <w:r w:rsidRPr="00670318">
        <w:rPr>
          <w:b/>
          <w:bCs/>
          <w:sz w:val="44"/>
          <w:szCs w:val="44"/>
        </w:rPr>
        <w:t>Supporting information</w:t>
      </w:r>
    </w:p>
    <w:p w14:paraId="2DBFDFAF" w14:textId="1298B2C0" w:rsidR="00670318" w:rsidRDefault="00670318" w:rsidP="00670318">
      <w:pPr>
        <w:pStyle w:val="Heading1"/>
        <w:rPr>
          <w:color w:val="auto"/>
          <w:sz w:val="36"/>
          <w:szCs w:val="36"/>
        </w:rPr>
      </w:pPr>
      <w:r w:rsidRPr="00214354">
        <w:rPr>
          <w:color w:val="auto"/>
          <w:sz w:val="36"/>
          <w:szCs w:val="36"/>
        </w:rPr>
        <w:t>Overview of metho</w:t>
      </w:r>
      <w:r w:rsidR="00214354" w:rsidRPr="00214354">
        <w:rPr>
          <w:color w:val="auto"/>
          <w:sz w:val="36"/>
          <w:szCs w:val="36"/>
        </w:rPr>
        <w:t>dological workflow</w:t>
      </w:r>
    </w:p>
    <w:p w14:paraId="412FD361" w14:textId="49A0C481" w:rsidR="00100BF6" w:rsidRDefault="00735A25" w:rsidP="00100BF6">
      <w:r w:rsidRPr="00735A25">
        <w:t>The methodological workflow</w:t>
      </w:r>
      <w:r w:rsidR="003A2E07">
        <w:t xml:space="preserve"> (Fig</w:t>
      </w:r>
      <w:r w:rsidR="00605931">
        <w:t>.</w:t>
      </w:r>
      <w:r w:rsidR="003A2E07">
        <w:t xml:space="preserve"> S1)</w:t>
      </w:r>
      <w:r w:rsidRPr="00735A25">
        <w:t xml:space="preserve"> </w:t>
      </w:r>
      <w:r>
        <w:t>consists of</w:t>
      </w:r>
      <w:r w:rsidRPr="00735A25">
        <w:t xml:space="preserve"> data preparation, statistical modelling to quantify landslide susceptibility and intensity under Cyclone Gabrielle </w:t>
      </w:r>
      <w:r w:rsidR="00FE2CA6" w:rsidRPr="00735A25">
        <w:t>and future</w:t>
      </w:r>
      <w:r w:rsidR="00FE2CA6">
        <w:t xml:space="preserve"> </w:t>
      </w:r>
      <w:r w:rsidR="00FE2CA6" w:rsidRPr="00780F54">
        <w:t>+2 °C</w:t>
      </w:r>
      <w:r w:rsidRPr="00735A25">
        <w:t xml:space="preserve"> </w:t>
      </w:r>
      <w:r w:rsidR="00866873">
        <w:t>design storms</w:t>
      </w:r>
      <w:r w:rsidR="00D813D5">
        <w:t xml:space="preserve"> predictions</w:t>
      </w:r>
      <w:r w:rsidRPr="00735A25">
        <w:t xml:space="preserve">. Following quality control, a subset of mapped landslides from Hawke’s Bay and Tairāwhiti was combined with high-resolution rainfall and static geomorphic variables. </w:t>
      </w:r>
      <w:r w:rsidR="00424290" w:rsidRPr="00424290">
        <w:t>Two mapping units—grid cells and slope units—were employed to capture both fine-scale and geomorphologically relevant terrain characteristics. Generalised Additive Models (GAMs) were developed for binary susceptibility (grid- and slope</w:t>
      </w:r>
      <w:r w:rsidR="00A67575">
        <w:t xml:space="preserve"> unit </w:t>
      </w:r>
      <w:r w:rsidR="00424290" w:rsidRPr="00424290">
        <w:t>based) and landslide intensity (slope</w:t>
      </w:r>
      <w:r w:rsidR="00A67575">
        <w:t xml:space="preserve"> unit </w:t>
      </w:r>
      <w:r w:rsidR="00424290" w:rsidRPr="00424290">
        <w:t>based)</w:t>
      </w:r>
      <w:r w:rsidR="00FE2CA6">
        <w:t xml:space="preserve">. </w:t>
      </w:r>
      <w:r w:rsidR="004E4248" w:rsidRPr="004E4248">
        <w:t>The model's performance was assessed through both random and spatial cross-validation</w:t>
      </w:r>
      <w:r w:rsidRPr="00735A25">
        <w:t xml:space="preserve">. The calibrated models were then driven with </w:t>
      </w:r>
      <w:r w:rsidRPr="00780F54">
        <w:t xml:space="preserve">Weather Research and Forecasting (WRF) simulations of Cyclone Gabrielle and +2 °C design storms to generate landslide susceptibility, intensity, and density </w:t>
      </w:r>
      <w:r w:rsidR="00D57E3A">
        <w:t>predictions</w:t>
      </w:r>
      <w:r w:rsidR="00780F54" w:rsidRPr="00780F54">
        <w:t xml:space="preserve">. Additional </w:t>
      </w:r>
      <w:r w:rsidR="00100BF6" w:rsidRPr="00780F54">
        <w:t>details of the relevant workflow steps are presented in the following sections.</w:t>
      </w:r>
      <w:r w:rsidR="00100BF6">
        <w:t xml:space="preserve"> </w:t>
      </w:r>
    </w:p>
    <w:p w14:paraId="6BCC21D1" w14:textId="77777777" w:rsidR="001F2686" w:rsidRDefault="001F2686" w:rsidP="00C46764">
      <w:pPr>
        <w:keepNext/>
        <w:jc w:val="center"/>
      </w:pPr>
      <w:r>
        <w:rPr>
          <w:noProof/>
        </w:rPr>
        <w:lastRenderedPageBreak/>
        <w:drawing>
          <wp:inline distT="0" distB="0" distL="0" distR="0" wp14:anchorId="2BC94B72" wp14:editId="64600D6F">
            <wp:extent cx="4198925" cy="6607845"/>
            <wp:effectExtent l="0" t="0" r="0" b="2540"/>
            <wp:docPr id="99590275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02757" name="Picture 1" descr="A screenshot of a computer screen&#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2426" cy="6613355"/>
                    </a:xfrm>
                    <a:prstGeom prst="rect">
                      <a:avLst/>
                    </a:prstGeom>
                    <a:noFill/>
                    <a:ln>
                      <a:noFill/>
                    </a:ln>
                  </pic:spPr>
                </pic:pic>
              </a:graphicData>
            </a:graphic>
          </wp:inline>
        </w:drawing>
      </w:r>
    </w:p>
    <w:p w14:paraId="1576C6F0" w14:textId="15242152" w:rsidR="009F5854" w:rsidRDefault="001F2686" w:rsidP="006A2C77">
      <w:pPr>
        <w:pStyle w:val="Caption"/>
      </w:pPr>
      <w:r>
        <w:t xml:space="preserve">Figure </w:t>
      </w:r>
      <w:r w:rsidR="00D1608F">
        <w:t>S</w:t>
      </w:r>
      <w:r w:rsidR="002A2C13">
        <w:fldChar w:fldCharType="begin"/>
      </w:r>
      <w:r w:rsidR="002A2C13">
        <w:instrText xml:space="preserve"> SEQ Figure \* ARABIC </w:instrText>
      </w:r>
      <w:r w:rsidR="002A2C13">
        <w:fldChar w:fldCharType="separate"/>
      </w:r>
      <w:r w:rsidR="002A2C13">
        <w:rPr>
          <w:noProof/>
        </w:rPr>
        <w:t>1</w:t>
      </w:r>
      <w:r w:rsidR="002A2C13">
        <w:rPr>
          <w:noProof/>
        </w:rPr>
        <w:fldChar w:fldCharType="end"/>
      </w:r>
      <w:r>
        <w:t>:</w:t>
      </w:r>
      <w:r w:rsidR="001938AF">
        <w:t xml:space="preserve"> Overview of methodological workflow</w:t>
      </w:r>
    </w:p>
    <w:p w14:paraId="5C373F19" w14:textId="77777777" w:rsidR="008E08AD" w:rsidRPr="00E5625F" w:rsidRDefault="008E08AD" w:rsidP="00E5625F">
      <w:pPr>
        <w:pStyle w:val="Heading1"/>
        <w:rPr>
          <w:color w:val="auto"/>
          <w:sz w:val="36"/>
          <w:szCs w:val="36"/>
        </w:rPr>
      </w:pPr>
      <w:r w:rsidRPr="00E5625F">
        <w:rPr>
          <w:color w:val="auto"/>
          <w:sz w:val="36"/>
          <w:szCs w:val="36"/>
        </w:rPr>
        <w:t>Data preparation and Pre-processing</w:t>
      </w:r>
    </w:p>
    <w:p w14:paraId="4E7C7913" w14:textId="6FC190DC" w:rsidR="008E08AD" w:rsidRDefault="00EC0685" w:rsidP="008E08AD">
      <w:r>
        <w:t xml:space="preserve">From the </w:t>
      </w:r>
      <w:r w:rsidR="00143623">
        <w:t>663</w:t>
      </w:r>
      <w:r>
        <w:t xml:space="preserve"> grid cells mapped </w:t>
      </w:r>
      <w:r w:rsidR="00425735">
        <w:t>following the event, w</w:t>
      </w:r>
      <w:r w:rsidR="008E08AD" w:rsidRPr="008939FF">
        <w:t xml:space="preserve">e selected a subset of 182 quality-controlled grid cells from the Cyclone Gabrielle dataset within Hawkes Bay and Tairāwhiti </w:t>
      </w:r>
      <w:r w:rsidR="00AB1F79">
        <w:t>regions.</w:t>
      </w:r>
      <w:r w:rsidR="008E08AD">
        <w:t xml:space="preserve"> We further narrowed down the initial landslide points selecting only landslides mapped as ‘flow’ and ‘slide’ movement type. As a result, we obtain 43,336 landslide points. For the grid pixel model we employ probability-proportional-to-size (PPS) sampling as proposed by Steger et al.</w:t>
      </w:r>
      <w:r w:rsidR="008E08AD">
        <w:fldChar w:fldCharType="begin"/>
      </w:r>
      <w:r w:rsidR="009852DA">
        <w:instrText xml:space="preserve"> ADDIN ZOTERO_ITEM CSL_CITATION {"citationID":"eeviAz8f","properties":{"formattedCitation":"\\super 1\\nosupersub{}","plainCitation":"1","noteIndex":0},"citationItems":[{"id":3810,"uris":["http://zotero.org/users/5595694/items/T93LJF38"],"itemData":{"id":3810,"type":"article-journal","container-title":"Science of the total environment","note":"publisher: Elsevier","page":"145935","source":"Google Scholar","title":"Correlation does not imply geomorphic causation in data-driven landslide susceptibility modelling–Benefits of exploring landslide data collection effects","volume":"776","author":[{"family":"Steger","given":"Stefan"},{"family":"Mair","given":"Volkmar"},{"family":"Kofler","given":"Christian"},{"family":"Pittore","given":"Massimiliano"},{"family":"Zebisch","given":"Marc"},{"family":"Schneiderbauer","given":"Stefan"}],"issued":{"date-parts":[["2021"]]}},"label":"page","suppress-author":true}],"schema":"https://github.com/citation-style-language/schema/raw/master/csl-citation.json"} </w:instrText>
      </w:r>
      <w:r w:rsidR="008E08AD">
        <w:fldChar w:fldCharType="separate"/>
      </w:r>
      <w:r w:rsidR="009852DA" w:rsidRPr="009852DA">
        <w:rPr>
          <w:rFonts w:ascii="Aptos" w:hAnsi="Aptos" w:cs="Times New Roman"/>
          <w:kern w:val="0"/>
          <w:vertAlign w:val="superscript"/>
        </w:rPr>
        <w:t>1</w:t>
      </w:r>
      <w:r w:rsidR="008E08AD">
        <w:fldChar w:fldCharType="end"/>
      </w:r>
      <w:r w:rsidR="008E08AD">
        <w:t xml:space="preserve">. As the actual surface area of steep terrain is underrepresented in a 2D planar view this approach allows us to proportionally generate samples based on true surface area of the </w:t>
      </w:r>
      <w:r w:rsidR="008E08AD">
        <w:lastRenderedPageBreak/>
        <w:t xml:space="preserve">terrain. Further we mask out flat terrain (slope </w:t>
      </w:r>
      <w:r w:rsidR="003B0D9E">
        <w:t>&lt;</w:t>
      </w:r>
      <w:r w:rsidR="008E08AD">
        <w:t>3.5</w:t>
      </w:r>
      <w:r w:rsidR="008E08AD" w:rsidRPr="00C30B2B">
        <w:t>°</w:t>
      </w:r>
      <w:r w:rsidR="008E08AD">
        <w:t xml:space="preserve"> ) as trivial areas </w:t>
      </w:r>
      <w:r w:rsidR="008E08AD">
        <w:fldChar w:fldCharType="begin"/>
      </w:r>
      <w:r w:rsidR="009852DA">
        <w:instrText xml:space="preserve"> ADDIN ZOTERO_ITEM CSL_CITATION {"citationID":"fqVOpdqf","properties":{"formattedCitation":"\\super 2\\nosupersub{}","plainCitation":"2","noteIndex":0},"citationItems":[{"id":4963,"uris":["http://zotero.org/users/5595694/items/6LIMDYBG"],"itemData":{"id":4963,"type":"chapter","container-title":"Advancing Culture of Living with Landslides","event-place":"Cham","ISBN":"978-3-319-53497-8","language":"en","license":"http://www.springer.com/tdm","note":"DOI: 10.1007/978-3-319-53498-5_92","page":"803-808","publisher":"Springer International Publishing","publisher-place":"Cham","source":"DOI.org (Crossref)","title":"The Challenge of “Trivial Areas” in Statistical Landslide Susceptibility Modelling","URL":"http://link.springer.com/10.1007/978-3-319-53498-5_92","editor":[{"family":"Mikos","given":"Matjaz"},{"family":"Tiwari","given":"Binod"},{"family":"Yin","given":"Yueping"},{"family":"Sassa","given":"Kyoji"}],"author":[{"family":"Steger","given":"Stefan"},{"family":"Glade","given":"Thomas"}],"accessed":{"date-parts":[["2024",6,18]]},"issued":{"date-parts":[["2017"]]}}}],"schema":"https://github.com/citation-style-language/schema/raw/master/csl-citation.json"} </w:instrText>
      </w:r>
      <w:r w:rsidR="008E08AD">
        <w:fldChar w:fldCharType="separate"/>
      </w:r>
      <w:r w:rsidR="009852DA" w:rsidRPr="009852DA">
        <w:rPr>
          <w:rFonts w:ascii="Aptos" w:hAnsi="Aptos" w:cs="Times New Roman"/>
          <w:kern w:val="0"/>
          <w:vertAlign w:val="superscript"/>
        </w:rPr>
        <w:t>2</w:t>
      </w:r>
      <w:r w:rsidR="008E08AD">
        <w:fldChar w:fldCharType="end"/>
      </w:r>
      <w:r w:rsidR="008E08AD">
        <w:t xml:space="preserve"> to sample a random balanced set of non-landslide points within the mapped grid cells. </w:t>
      </w:r>
      <w:r w:rsidR="008E08AD" w:rsidRPr="00696CCB">
        <w:t>Covariates were extracted at landslide centroid locations</w:t>
      </w:r>
    </w:p>
    <w:p w14:paraId="183DA353" w14:textId="152A77CA" w:rsidR="008E08AD" w:rsidRDefault="008E08AD" w:rsidP="008E08AD">
      <w:r w:rsidRPr="00225FE9">
        <w:t>For</w:t>
      </w:r>
      <w:r>
        <w:t xml:space="preserve"> the </w:t>
      </w:r>
      <w:r w:rsidRPr="00225FE9">
        <w:t>slope</w:t>
      </w:r>
      <w:r>
        <w:t xml:space="preserve"> </w:t>
      </w:r>
      <w:r w:rsidRPr="00225FE9">
        <w:t>unit</w:t>
      </w:r>
      <w:r>
        <w:t xml:space="preserve"> models</w:t>
      </w:r>
      <w:r w:rsidRPr="00225FE9">
        <w:t xml:space="preserve">, continuous topographic covariates were aggregated by </w:t>
      </w:r>
      <w:r>
        <w:t xml:space="preserve">the </w:t>
      </w:r>
      <w:r w:rsidRPr="00225FE9">
        <w:t>mean and standard deviation</w:t>
      </w:r>
      <w:r>
        <w:t>. We aggregated the categorical variable rock type</w:t>
      </w:r>
      <w:r w:rsidRPr="00651D37">
        <w:t xml:space="preserve"> via majority classification</w:t>
      </w:r>
      <w:r>
        <w:t>.  Land use variables showed more distinct variability within slope units, hence we sampled the land-use variables as continuous variables, representing the percentage area of the given land use class per slope unit. We categorised land use</w:t>
      </w:r>
      <w:r w:rsidRPr="00412F84">
        <w:t xml:space="preserve"> into three dominant classes Harvested Forest, Indigenous Forest</w:t>
      </w:r>
      <w:r>
        <w:t xml:space="preserve"> and </w:t>
      </w:r>
      <w:r w:rsidRPr="00412F84">
        <w:t>Exotic Forest</w:t>
      </w:r>
      <w:r w:rsidRPr="00A318B3">
        <w:t xml:space="preserve">. </w:t>
      </w:r>
      <w:r w:rsidRPr="0038425D">
        <w:t>Pasture serve</w:t>
      </w:r>
      <w:r>
        <w:t>s</w:t>
      </w:r>
      <w:r w:rsidRPr="0038425D">
        <w:t xml:space="preserve"> as the baseline</w:t>
      </w:r>
      <w:r>
        <w:t xml:space="preserve"> land use class</w:t>
      </w:r>
      <w:r w:rsidRPr="0038425D">
        <w:t>, implicitly representing 100% coverage when all three forest classes exhibit 0% occurrence</w:t>
      </w:r>
      <w:r w:rsidRPr="00A318B3">
        <w:t>.</w:t>
      </w:r>
      <w:r>
        <w:t xml:space="preserve">   </w:t>
      </w:r>
      <w:r w:rsidRPr="005E4D3B">
        <w:t xml:space="preserve">This produced a balanced presence/absence slope unit dataset </w:t>
      </w:r>
      <w:r>
        <w:t xml:space="preserve">inside the mapped grid cells </w:t>
      </w:r>
      <w:r w:rsidRPr="005E4D3B">
        <w:t xml:space="preserve">(16,620 </w:t>
      </w:r>
      <w:r w:rsidR="00645558">
        <w:t>slope</w:t>
      </w:r>
      <w:r w:rsidR="00106698">
        <w:t xml:space="preserve"> units </w:t>
      </w:r>
      <w:r w:rsidRPr="005E4D3B">
        <w:t>each).</w:t>
      </w:r>
    </w:p>
    <w:p w14:paraId="1A5612C7" w14:textId="57958DBF" w:rsidR="00FC1309" w:rsidRPr="00FC1309" w:rsidRDefault="0071208C" w:rsidP="00FC1309">
      <w:pPr>
        <w:pStyle w:val="Heading1"/>
        <w:rPr>
          <w:color w:val="auto"/>
          <w:sz w:val="36"/>
          <w:szCs w:val="36"/>
        </w:rPr>
      </w:pPr>
      <w:r>
        <w:rPr>
          <w:color w:val="auto"/>
          <w:sz w:val="36"/>
          <w:szCs w:val="36"/>
        </w:rPr>
        <w:t>Slope</w:t>
      </w:r>
      <w:r w:rsidRPr="00FC1309">
        <w:rPr>
          <w:color w:val="auto"/>
          <w:sz w:val="36"/>
          <w:szCs w:val="36"/>
        </w:rPr>
        <w:t xml:space="preserve"> </w:t>
      </w:r>
      <w:r w:rsidR="00FC1309" w:rsidRPr="00FC1309">
        <w:rPr>
          <w:color w:val="auto"/>
          <w:sz w:val="36"/>
          <w:szCs w:val="36"/>
        </w:rPr>
        <w:t>unit</w:t>
      </w:r>
      <w:r>
        <w:rPr>
          <w:color w:val="auto"/>
          <w:sz w:val="36"/>
          <w:szCs w:val="36"/>
        </w:rPr>
        <w:t xml:space="preserve"> derivation</w:t>
      </w:r>
      <w:r w:rsidR="00FC1309" w:rsidRPr="00FC1309">
        <w:rPr>
          <w:color w:val="auto"/>
          <w:sz w:val="36"/>
          <w:szCs w:val="36"/>
        </w:rPr>
        <w:t xml:space="preserve"> </w:t>
      </w:r>
    </w:p>
    <w:p w14:paraId="1F969CB1" w14:textId="64BEFB48" w:rsidR="0096505D" w:rsidRDefault="00FC1309" w:rsidP="008E08AD">
      <w:r w:rsidRPr="008154C8">
        <w:t>Grid cells are computationally efficient and straightforward to implement due to their uniform grid structure, however, their artificial geometry often fails to conform to natural geomorphological boundaries, leading to oversimplification of terrain heterogeneity and reduced spatial accuracy. Conversely, slope units—delineated by hydrological boundaries (e.g. ridges, valleys)—better capture geomorphic processes and slope stability mechanisms, enhancing geomorphological relevance and predictive accuracy in susceptibility models. Yet, their delineation requires computationally intensive workflows</w:t>
      </w:r>
      <w:r>
        <w:t xml:space="preserve"> </w:t>
      </w:r>
      <w:r w:rsidRPr="008154C8">
        <w:t>and their polygonal homogeneity may overlook intra-unit heterogeneity</w:t>
      </w:r>
      <w:r>
        <w:fldChar w:fldCharType="begin"/>
      </w:r>
      <w:r w:rsidR="009852DA">
        <w:instrText xml:space="preserve"> ADDIN ZOTERO_ITEM CSL_CITATION {"citationID":"RVO42NFG","properties":{"formattedCitation":"\\super 3\\nosupersub{}","plainCitation":"3","noteIndex":0},"citationItems":[{"id":5796,"uris":["http://zotero.org/users/5595694/items/XNKNV6UG"],"itemData":{"id":5796,"type":"article-journal","container-title":"Earth Science Informatics","DOI":"10.1007/s12145-018-0335-9","ISSN":"1865-0473, 1865-0481","issue":"3","journalAbbreviation":"Earth Sci Inform","language":"en","page":"373-388","source":"DOI.org (Crossref)","title":"A comparison of slope units and grid cells as mapping units for landslide susceptibility assessment","volume":"11","author":[{"family":"Ba","given":"Qianqian"},{"family":"Chen","given":"Yumin"},{"family":"Deng","given":"Susu"},{"family":"Yang","given":"Jiaxin"},{"family":"Li","given":"Huifang"}],"issued":{"date-parts":[["2018"]]}}}],"schema":"https://github.com/citation-style-language/schema/raw/master/csl-citation.json"} </w:instrText>
      </w:r>
      <w:r>
        <w:fldChar w:fldCharType="separate"/>
      </w:r>
      <w:r w:rsidR="009852DA" w:rsidRPr="009852DA">
        <w:rPr>
          <w:rFonts w:ascii="Aptos" w:hAnsi="Aptos" w:cs="Times New Roman"/>
          <w:kern w:val="0"/>
          <w:vertAlign w:val="superscript"/>
        </w:rPr>
        <w:t>3</w:t>
      </w:r>
      <w:r>
        <w:fldChar w:fldCharType="end"/>
      </w:r>
      <w:r w:rsidRPr="008154C8">
        <w:t>.</w:t>
      </w:r>
      <w:r>
        <w:t xml:space="preserve"> To integrate strengths of each approach we develop separate grid-pixel and slope-unit models for susceptibility and used the slope-units for the landslide </w:t>
      </w:r>
      <w:r w:rsidR="006B694E">
        <w:t>intensity model.</w:t>
      </w:r>
      <w:r>
        <w:t xml:space="preserve"> We used the r.slopeunit algorithm by Alvioli et al.</w:t>
      </w:r>
      <w:r>
        <w:fldChar w:fldCharType="begin"/>
      </w:r>
      <w:r w:rsidR="009852DA">
        <w:instrText xml:space="preserve"> ADDIN ZOTERO_ITEM CSL_CITATION {"citationID":"xGeV6ET7","properties":{"formattedCitation":"\\super 4\\nosupersub{}","plainCitation":"4","noteIndex":0},"citationItems":[{"id":5799,"uris":["http://zotero.org/users/5595694/items/PDDY4SSL"],"itemData":{"id":5799,"type":"article-journal","abstract":"Abstract. Automatic subdivision of landscapes into terrain units remains a challenge. Slope units are terrain units bounded by drainage and divide lines, but their use in hydrological and geomorphological studies is limited because of the lack of reliable software for their automatic delineation. We present the r.slopeunits software for the automatic delineation of slope units, given a digital elevation model and a few input parameters. We further propose an approach for the selection of optimal parameters controlling the terrain subdivision for landslide susceptibility modeling. We tested the software and the optimization approach in central Italy, where terrain, landslide, and geo-environmental information was available. The software was capable of capturing the variability of the landscape and partitioning the study area into slope units suited for landslide susceptibility modeling and zonation. We expect r.slopeunits to be used in different physiographical settings for the production of reliable and reproducible landslide susceptibility zonations.","container-title":"Geoscientific Model Development","DOI":"10.5194/gmd-9-3975-2016","ISSN":"1991-9603","issue":"11","journalAbbreviation":"Geosci. Model Dev.","language":"en","license":"https://creativecommons.org/licenses/by/3.0/","page":"3975-3991","source":"DOI.org (Crossref)","title":"Automatic delineation of geomorphological slope units with r.slopeunits v1.0 and their optimization for landslide susceptibility modeling","volume":"9","author":[{"family":"Alvioli","given":"Massimiliano"},{"family":"Marchesini","given":"Ivan"},{"family":"Reichenbach","given":"Paola"},{"family":"Rossi","given":"Mauro"},{"family":"Ardizzone","given":"Francesca"},{"family":"Fiorucci","given":"Federica"},{"family":"Guzzetti","given":"Fausto"}],"issued":{"date-parts":[["2016",11,9]]}},"label":"page","suppress-author":true}],"schema":"https://github.com/citation-style-language/schema/raw/master/csl-citation.json"} </w:instrText>
      </w:r>
      <w:r>
        <w:fldChar w:fldCharType="separate"/>
      </w:r>
      <w:r w:rsidR="009852DA" w:rsidRPr="009852DA">
        <w:rPr>
          <w:rFonts w:ascii="Aptos" w:hAnsi="Aptos" w:cs="Times New Roman"/>
          <w:kern w:val="0"/>
          <w:vertAlign w:val="superscript"/>
        </w:rPr>
        <w:t>4</w:t>
      </w:r>
      <w:r>
        <w:fldChar w:fldCharType="end"/>
      </w:r>
      <w:r>
        <w:t xml:space="preserve"> to divide our study area into 437,039 slope units, which have a mean size of </w:t>
      </w:r>
      <w:r w:rsidRPr="00AA7A0C">
        <w:t>~</w:t>
      </w:r>
      <w:r>
        <w:t xml:space="preserve">0.051 km² and a standard deviation of  </w:t>
      </w:r>
      <w:r w:rsidRPr="00AA7A0C">
        <w:t>~</w:t>
      </w:r>
      <w:r>
        <w:t xml:space="preserve">0.039 km².  </w:t>
      </w:r>
      <w:r w:rsidR="00A37524">
        <w:t xml:space="preserve">The following parameters were used </w:t>
      </w:r>
      <w:r w:rsidR="00565ABD">
        <w:t xml:space="preserve">for the r.slopeunits algorithm: </w:t>
      </w:r>
      <w:r w:rsidR="00D8798F">
        <w:t>cir</w:t>
      </w:r>
      <w:r w:rsidR="005E523A">
        <w:t xml:space="preserve">cular variance=0.2, </w:t>
      </w:r>
      <w:r w:rsidR="0051490F">
        <w:t xml:space="preserve">minimum area=20’000 </w:t>
      </w:r>
      <w:r w:rsidR="009D416F">
        <w:t>m²</w:t>
      </w:r>
      <w:r w:rsidR="00943435">
        <w:t xml:space="preserve">. </w:t>
      </w:r>
    </w:p>
    <w:p w14:paraId="2517507A" w14:textId="77777777" w:rsidR="0037485C" w:rsidRDefault="0037485C" w:rsidP="0037485C">
      <w:pPr>
        <w:pStyle w:val="Heading1"/>
        <w:rPr>
          <w:color w:val="auto"/>
          <w:sz w:val="36"/>
          <w:szCs w:val="36"/>
        </w:rPr>
      </w:pPr>
      <w:r w:rsidRPr="0037485C">
        <w:rPr>
          <w:color w:val="auto"/>
          <w:sz w:val="36"/>
          <w:szCs w:val="36"/>
        </w:rPr>
        <w:t xml:space="preserve">Variable selection and assessment of variable importance </w:t>
      </w:r>
    </w:p>
    <w:p w14:paraId="580E9715" w14:textId="4C82DDA4" w:rsidR="00B66024" w:rsidRDefault="00544D86" w:rsidP="00B66024">
      <w:r w:rsidRPr="00135912">
        <w:t>Starting with static covariates as a baseline, we iteratively incorporated dynamic rainfall covariates from short-term preparatory, and long-term preparatory groups</w:t>
      </w:r>
      <w:r>
        <w:t xml:space="preserve"> (see</w:t>
      </w:r>
      <w:r w:rsidR="00AA4DC9">
        <w:t xml:space="preserve"> Table S1</w:t>
      </w:r>
      <w:r>
        <w:t>)</w:t>
      </w:r>
      <w:r w:rsidRPr="00135912">
        <w:t>.</w:t>
      </w:r>
      <w:r>
        <w:t xml:space="preserve"> For the short-term antecedent rainfall, we considered </w:t>
      </w:r>
      <w:r w:rsidR="00AF409D">
        <w:t>7</w:t>
      </w:r>
      <w:r>
        <w:t xml:space="preserve">-, 15-, 25- and 35-day time windows. </w:t>
      </w:r>
      <w:r w:rsidRPr="00135912">
        <w:t>The most</w:t>
      </w:r>
      <w:r w:rsidR="00B66024">
        <w:t xml:space="preserve"> </w:t>
      </w:r>
      <w:r w:rsidR="00B66024" w:rsidRPr="00135912">
        <w:t>relevant covariates for each group were selected based on the lowest Akaike Information Criterion</w:t>
      </w:r>
      <w:r w:rsidR="00A7009C">
        <w:fldChar w:fldCharType="begin"/>
      </w:r>
      <w:r w:rsidR="00A7009C">
        <w:instrText xml:space="preserve"> ADDIN ZOTERO_ITEM CSL_CITATION {"citationID":"RwjeiRO3","properties":{"formattedCitation":"\\super 5\\nosupersub{}","plainCitation":"5","noteIndex":0},"citationItems":[{"id":6123,"uris":["http://zotero.org/users/5595694/items/G9VJJAB3"],"itemData":{"id":6123,"type":"article-journal","container-title":"IEEE transactions on automatic control","DOI":"10.1109/TAC.1974.1100705","issue":"6","note":"publisher: Ieee","page":"716–723","source":"Google Scholar","title":"A new look at the statistical model identification","volume":"19","author":[{"family":"Akaike","given":"Hirotugu"}],"issued":{"date-parts":[["2003"]]}}}],"schema":"https://github.com/citation-style-language/schema/raw/master/csl-citation.json"} </w:instrText>
      </w:r>
      <w:r w:rsidR="00A7009C">
        <w:fldChar w:fldCharType="separate"/>
      </w:r>
      <w:r w:rsidR="00A7009C" w:rsidRPr="00A7009C">
        <w:rPr>
          <w:rFonts w:ascii="Aptos" w:hAnsi="Aptos" w:cs="Times New Roman"/>
          <w:kern w:val="0"/>
          <w:vertAlign w:val="superscript"/>
        </w:rPr>
        <w:t>5</w:t>
      </w:r>
      <w:r w:rsidR="00A7009C">
        <w:fldChar w:fldCharType="end"/>
      </w:r>
      <w:r w:rsidR="00B66024" w:rsidRPr="00135912">
        <w:t xml:space="preserve"> (AIC</w:t>
      </w:r>
      <w:r w:rsidR="00A7009C">
        <w:t>)</w:t>
      </w:r>
      <w:r w:rsidR="005048C9">
        <w:t xml:space="preserve"> </w:t>
      </w:r>
      <w:r w:rsidR="00B66024">
        <w:t>across all three models</w:t>
      </w:r>
      <w:r w:rsidR="00B66024" w:rsidRPr="00135912">
        <w:t>.</w:t>
      </w:r>
      <w:r w:rsidR="00B66024">
        <w:t xml:space="preserve"> Further we make use of the automatic term selection implemented in the mgcv package using a double penalty approach </w:t>
      </w:r>
      <w:r w:rsidR="00B66024">
        <w:fldChar w:fldCharType="begin"/>
      </w:r>
      <w:r w:rsidR="009852DA">
        <w:instrText xml:space="preserve"> ADDIN ZOTERO_ITEM CSL_CITATION {"citationID":"RwgCTXcQ","properties":{"formattedCitation":"\\super 6\\nosupersub{}","plainCitation":"6","noteIndex":0},"citationItems":[{"id":5808,"uris":["http://zotero.org/users/5595694/items/IGVFCIR9"],"itemData":{"id":5808,"type":"article-journal","container-title":"Computational Statistics &amp; Data Analysis","DOI":"10.1016/j.csda.2011.02.004","issue":"7","note":"publisher: Elsevier","page":"2372–2387","source":"Google Scholar","title":"Practical variable selection for generalized additive models","volume":"55","author":[{"family":"Marra","given":"Giampiero"},{"family":"Wood","given":"Simon N."}],"issued":{"date-parts":[["2011"]]}}}],"schema":"https://github.com/citation-style-language/schema/raw/master/csl-citation.json"} </w:instrText>
      </w:r>
      <w:r w:rsidR="00B66024">
        <w:fldChar w:fldCharType="separate"/>
      </w:r>
      <w:r w:rsidR="009852DA" w:rsidRPr="009852DA">
        <w:rPr>
          <w:rFonts w:ascii="Aptos" w:hAnsi="Aptos" w:cs="Times New Roman"/>
          <w:kern w:val="0"/>
          <w:vertAlign w:val="superscript"/>
        </w:rPr>
        <w:t>6</w:t>
      </w:r>
      <w:r w:rsidR="00B66024">
        <w:fldChar w:fldCharType="end"/>
      </w:r>
      <w:r w:rsidR="00B66024">
        <w:t>. Covariates which effectively shrunk to zero were removed from the fitted model.</w:t>
      </w:r>
    </w:p>
    <w:p w14:paraId="0B47AEEE" w14:textId="57BD3150" w:rsidR="00B66024" w:rsidRPr="00544D86" w:rsidRDefault="00B66024" w:rsidP="00544D86">
      <w:r>
        <w:t>Following Goetz et al.</w:t>
      </w:r>
      <w:r>
        <w:fldChar w:fldCharType="begin"/>
      </w:r>
      <w:r w:rsidR="009852DA">
        <w:instrText xml:space="preserve"> ADDIN ZOTERO_ITEM CSL_CITATION {"citationID":"YGdEWmh0","properties":{"formattedCitation":"\\super 7\\nosupersub{}","plainCitation":"7","noteIndex":0},"citationItems":[{"id":5005,"uris":["http://zotero.org/users/5595694/items/L3VWRXUL"],"itemData":{"id":5005,"type":"article-journal","container-title":"Remote Sensing of Environment","note":"publisher: Elsevier","page":"208–216","source":"Google Scholar","title":"Modeling the precision of structure-from-motion multi-view stereo digital elevation models from repeated close-range aerial surveys","volume":"210","author":[{"family":"Goetz","given":"Jason"},{"family":"Brenning","given":"Alexander"},{"family":"Marcer","given":"Marco"},{"family":"Bodin","given":"Xavier"}],"issued":{"date-parts":[["2018"]]}},"label":"page","suppress-author":true}],"schema":"https://github.com/citation-style-language/schema/raw/master/csl-citation.json"} </w:instrText>
      </w:r>
      <w:r>
        <w:fldChar w:fldCharType="separate"/>
      </w:r>
      <w:r w:rsidR="009852DA" w:rsidRPr="009852DA">
        <w:rPr>
          <w:rFonts w:ascii="Aptos" w:hAnsi="Aptos" w:cs="Times New Roman"/>
          <w:kern w:val="0"/>
          <w:vertAlign w:val="superscript"/>
        </w:rPr>
        <w:t>7</w:t>
      </w:r>
      <w:r>
        <w:fldChar w:fldCharType="end"/>
      </w:r>
      <w:r>
        <w:t xml:space="preserve"> and Knevels et al.</w:t>
      </w:r>
      <w:r>
        <w:fldChar w:fldCharType="begin"/>
      </w:r>
      <w:r w:rsidR="009852DA">
        <w:instrText xml:space="preserve"> ADDIN ZOTERO_ITEM CSL_CITATION {"citationID":"fH0YxADY","properties":{"formattedCitation":"\\super 8\\nosupersub{}","plainCitation":"8","noteIndex":0},"citationItems":[{"id":3415,"uris":["http://zotero.org/users/5595694/items/YBP9QH7K"],"itemData":{"id":3415,"type":"article-journal","container-title":"Geosciences","issue":"6","note":"publisher: MDPI","page":"217","source":"Google Scholar","title":"Event-based landslide modeling in the Styrian Basin, Austria: accounting for time-varying rainfall and land cover","title-short":"Event-based landslide modeling in the Styrian Basin, Austria","volume":"10","author":[{"family":"Knevels","given":"Raphael"},{"family":"Petschko","given":"Helene"},{"family":"Proske","given":"Herwig"},{"family":"Leopold","given":"Philip"},{"family":"Maraun","given":"Douglas"},{"family":"Brenning","given":"Alexander"}],"issued":{"date-parts":[["2020"]]}},"label":"page","suppress-author":true}],"schema":"https://github.com/citation-style-language/schema/raw/master/csl-citation.json"} </w:instrText>
      </w:r>
      <w:r>
        <w:fldChar w:fldCharType="separate"/>
      </w:r>
      <w:r w:rsidR="009852DA" w:rsidRPr="009852DA">
        <w:rPr>
          <w:rFonts w:ascii="Aptos" w:hAnsi="Aptos" w:cs="Times New Roman"/>
          <w:kern w:val="0"/>
          <w:vertAlign w:val="superscript"/>
        </w:rPr>
        <w:t>8</w:t>
      </w:r>
      <w:r>
        <w:fldChar w:fldCharType="end"/>
      </w:r>
      <w:r>
        <w:t>, we use the decrease in deviance explained to assess the variable importance of each covariate. Therefore, we e</w:t>
      </w:r>
      <w:r w:rsidRPr="006862DA">
        <w:t xml:space="preserve">valuated the relative importance of individual predictors by comparing the deviance explained by a </w:t>
      </w:r>
      <w:r w:rsidR="00935DF0">
        <w:t>complete</w:t>
      </w:r>
      <w:r w:rsidRPr="006862DA">
        <w:t xml:space="preserve"> model to </w:t>
      </w:r>
      <w:r w:rsidR="00035070">
        <w:t>the</w:t>
      </w:r>
      <w:r w:rsidRPr="006862DA">
        <w:t xml:space="preserve"> reduced model. Variables whose exclusion resulted in a pronounced reduction in explained deviance, </w:t>
      </w:r>
      <w:r>
        <w:t xml:space="preserve">can be </w:t>
      </w:r>
      <w:r w:rsidRPr="006862DA">
        <w:t xml:space="preserve">interpreted as having a greater relative influence on the </w:t>
      </w:r>
      <w:r>
        <w:t xml:space="preserve">model goodness of fit.  </w:t>
      </w:r>
    </w:p>
    <w:p w14:paraId="7B0391F8" w14:textId="77777777" w:rsidR="009F5854" w:rsidRPr="009F5854" w:rsidRDefault="009F5854" w:rsidP="009F5854"/>
    <w:p w14:paraId="7026086B" w14:textId="6333B450" w:rsidR="00547078" w:rsidRDefault="00547078" w:rsidP="00547078">
      <w:pPr>
        <w:pStyle w:val="Caption"/>
        <w:keepNext/>
      </w:pPr>
      <w:bookmarkStart w:id="0" w:name="_Ref209104919"/>
      <w:r>
        <w:lastRenderedPageBreak/>
        <w:t xml:space="preserve">Table </w:t>
      </w:r>
      <w:r w:rsidR="00A64425">
        <w:t>S</w:t>
      </w:r>
      <w:r w:rsidR="002A2C13">
        <w:fldChar w:fldCharType="begin"/>
      </w:r>
      <w:r w:rsidR="002A2C13">
        <w:instrText xml:space="preserve"> SEQ Table \* ARABIC </w:instrText>
      </w:r>
      <w:r w:rsidR="002A2C13">
        <w:fldChar w:fldCharType="separate"/>
      </w:r>
      <w:r w:rsidR="002A2C13">
        <w:rPr>
          <w:noProof/>
        </w:rPr>
        <w:t>1</w:t>
      </w:r>
      <w:r w:rsidR="002A2C13">
        <w:rPr>
          <w:noProof/>
        </w:rPr>
        <w:fldChar w:fldCharType="end"/>
      </w:r>
      <w:bookmarkEnd w:id="0"/>
      <w:r w:rsidRPr="00834436">
        <w:t>: Summary table of static and dynamic model predictors</w:t>
      </w:r>
      <w:r>
        <w:t xml:space="preserve"> and final predictor selection for each GAM model. </w:t>
      </w:r>
      <w:r w:rsidR="00215116">
        <w:t xml:space="preserve">Covariates </w:t>
      </w:r>
      <w:r w:rsidR="00586764">
        <w:t>are represented</w:t>
      </w:r>
      <w:r w:rsidR="00215116">
        <w:t xml:space="preserve"> as their mean (</w:t>
      </w:r>
      <w:r w:rsidR="00215116" w:rsidRPr="0059298B">
        <w:rPr>
          <w:rFonts w:ascii="Calibri" w:eastAsia="Times New Roman" w:hAnsi="Calibri" w:cs="Calibri"/>
          <w:color w:val="000000"/>
          <w:kern w:val="0"/>
          <w:lang w:eastAsia="en-NZ"/>
          <w14:ligatures w14:val="none"/>
        </w:rPr>
        <w:t>μ</w:t>
      </w:r>
      <w:r w:rsidR="00215116">
        <w:rPr>
          <w:rFonts w:ascii="Calibri" w:eastAsia="Times New Roman" w:hAnsi="Calibri" w:cs="Calibri"/>
          <w:color w:val="000000"/>
          <w:kern w:val="0"/>
          <w:lang w:eastAsia="en-NZ"/>
          <w14:ligatures w14:val="none"/>
        </w:rPr>
        <w:t>)</w:t>
      </w:r>
      <w:r w:rsidR="0023715A">
        <w:rPr>
          <w:rFonts w:ascii="Calibri" w:eastAsia="Times New Roman" w:hAnsi="Calibri" w:cs="Calibri"/>
          <w:color w:val="000000"/>
          <w:kern w:val="0"/>
          <w:lang w:eastAsia="en-NZ"/>
          <w14:ligatures w14:val="none"/>
        </w:rPr>
        <w:t>, standard deviation (</w:t>
      </w:r>
      <w:r w:rsidR="0023715A" w:rsidRPr="0059298B">
        <w:rPr>
          <w:rFonts w:ascii="Calibri" w:eastAsia="Times New Roman" w:hAnsi="Calibri" w:cs="Calibri"/>
          <w:color w:val="000000"/>
          <w:kern w:val="0"/>
          <w:lang w:eastAsia="en-NZ"/>
          <w14:ligatures w14:val="none"/>
        </w:rPr>
        <w:t>σ</w:t>
      </w:r>
      <w:r w:rsidR="0023715A">
        <w:rPr>
          <w:rFonts w:ascii="Calibri" w:eastAsia="Times New Roman" w:hAnsi="Calibri" w:cs="Calibri"/>
          <w:color w:val="000000"/>
          <w:kern w:val="0"/>
          <w:lang w:eastAsia="en-NZ"/>
          <w14:ligatures w14:val="none"/>
        </w:rPr>
        <w:t>)</w:t>
      </w:r>
      <w:r w:rsidR="004E249B">
        <w:rPr>
          <w:rFonts w:ascii="Calibri" w:eastAsia="Times New Roman" w:hAnsi="Calibri" w:cs="Calibri"/>
          <w:color w:val="000000"/>
          <w:kern w:val="0"/>
          <w:lang w:eastAsia="en-NZ"/>
          <w14:ligatures w14:val="none"/>
        </w:rPr>
        <w:t xml:space="preserve">, majority or their proportion </w:t>
      </w:r>
      <w:r w:rsidR="00EB3C8F">
        <w:rPr>
          <w:rFonts w:ascii="Calibri" w:eastAsia="Times New Roman" w:hAnsi="Calibri" w:cs="Calibri"/>
          <w:color w:val="000000"/>
          <w:kern w:val="0"/>
          <w:lang w:eastAsia="en-NZ"/>
          <w14:ligatures w14:val="none"/>
        </w:rPr>
        <w:t xml:space="preserve">in </w:t>
      </w:r>
      <w:r w:rsidR="004E249B">
        <w:rPr>
          <w:rFonts w:ascii="Calibri" w:eastAsia="Times New Roman" w:hAnsi="Calibri" w:cs="Calibri"/>
          <w:color w:val="000000"/>
          <w:kern w:val="0"/>
          <w:lang w:eastAsia="en-NZ"/>
          <w14:ligatures w14:val="none"/>
        </w:rPr>
        <w:t>each in slope unit.</w:t>
      </w:r>
    </w:p>
    <w:tbl>
      <w:tblPr>
        <w:tblW w:w="8057" w:type="dxa"/>
        <w:jc w:val="center"/>
        <w:tblLook w:val="04A0" w:firstRow="1" w:lastRow="0" w:firstColumn="1" w:lastColumn="0" w:noHBand="0" w:noVBand="1"/>
      </w:tblPr>
      <w:tblGrid>
        <w:gridCol w:w="2420"/>
        <w:gridCol w:w="1646"/>
        <w:gridCol w:w="1691"/>
        <w:gridCol w:w="2300"/>
      </w:tblGrid>
      <w:tr w:rsidR="00547078" w:rsidRPr="0059298B" w14:paraId="1DCF52FE" w14:textId="77777777" w:rsidTr="00BD763E">
        <w:trPr>
          <w:trHeight w:val="300"/>
          <w:jc w:val="center"/>
        </w:trPr>
        <w:tc>
          <w:tcPr>
            <w:tcW w:w="2420" w:type="dxa"/>
            <w:tcBorders>
              <w:top w:val="single" w:sz="4" w:space="0" w:color="auto"/>
              <w:left w:val="nil"/>
              <w:bottom w:val="single" w:sz="4" w:space="0" w:color="auto"/>
              <w:right w:val="nil"/>
            </w:tcBorders>
            <w:noWrap/>
            <w:vAlign w:val="bottom"/>
            <w:hideMark/>
          </w:tcPr>
          <w:p w14:paraId="7E1DF724"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Considered Predictor</w:t>
            </w:r>
          </w:p>
        </w:tc>
        <w:tc>
          <w:tcPr>
            <w:tcW w:w="1646" w:type="dxa"/>
            <w:tcBorders>
              <w:top w:val="single" w:sz="4" w:space="0" w:color="auto"/>
              <w:left w:val="nil"/>
              <w:bottom w:val="single" w:sz="4" w:space="0" w:color="auto"/>
              <w:right w:val="nil"/>
            </w:tcBorders>
            <w:noWrap/>
            <w:vAlign w:val="bottom"/>
            <w:hideMark/>
          </w:tcPr>
          <w:p w14:paraId="5E9F0D19"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Binary:Gridpixel</w:t>
            </w:r>
          </w:p>
        </w:tc>
        <w:tc>
          <w:tcPr>
            <w:tcW w:w="1691" w:type="dxa"/>
            <w:tcBorders>
              <w:top w:val="single" w:sz="4" w:space="0" w:color="auto"/>
              <w:left w:val="nil"/>
              <w:bottom w:val="single" w:sz="4" w:space="0" w:color="auto"/>
              <w:right w:val="nil"/>
            </w:tcBorders>
            <w:noWrap/>
            <w:vAlign w:val="bottom"/>
            <w:hideMark/>
          </w:tcPr>
          <w:p w14:paraId="16C65D03"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Binary:Slopeunit</w:t>
            </w:r>
          </w:p>
        </w:tc>
        <w:tc>
          <w:tcPr>
            <w:tcW w:w="2300" w:type="dxa"/>
            <w:tcBorders>
              <w:top w:val="single" w:sz="4" w:space="0" w:color="auto"/>
              <w:left w:val="nil"/>
              <w:bottom w:val="single" w:sz="4" w:space="0" w:color="auto"/>
              <w:right w:val="nil"/>
            </w:tcBorders>
            <w:noWrap/>
            <w:vAlign w:val="bottom"/>
            <w:hideMark/>
          </w:tcPr>
          <w:p w14:paraId="52EB0944"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Log-gaussian:Slopeunit</w:t>
            </w:r>
          </w:p>
        </w:tc>
      </w:tr>
      <w:tr w:rsidR="00547078" w:rsidRPr="0059298B" w14:paraId="128CB263" w14:textId="77777777" w:rsidTr="00BD763E">
        <w:trPr>
          <w:trHeight w:val="300"/>
          <w:jc w:val="center"/>
        </w:trPr>
        <w:tc>
          <w:tcPr>
            <w:tcW w:w="2420" w:type="dxa"/>
            <w:tcBorders>
              <w:top w:val="nil"/>
              <w:left w:val="nil"/>
              <w:bottom w:val="nil"/>
              <w:right w:val="nil"/>
            </w:tcBorders>
            <w:noWrap/>
            <w:vAlign w:val="bottom"/>
            <w:hideMark/>
          </w:tcPr>
          <w:p w14:paraId="35AF9338"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Slope</w:t>
            </w:r>
            <w:r>
              <w:rPr>
                <w:rFonts w:ascii="Calibri" w:eastAsia="Times New Roman" w:hAnsi="Calibri" w:cs="Calibri"/>
                <w:color w:val="000000"/>
                <w:kern w:val="0"/>
                <w:lang w:eastAsia="en-NZ"/>
                <w14:ligatures w14:val="none"/>
              </w:rPr>
              <w:t xml:space="preserve"> </w:t>
            </w:r>
          </w:p>
        </w:tc>
        <w:tc>
          <w:tcPr>
            <w:tcW w:w="1646" w:type="dxa"/>
            <w:tcBorders>
              <w:top w:val="nil"/>
              <w:left w:val="nil"/>
              <w:bottom w:val="nil"/>
              <w:right w:val="nil"/>
            </w:tcBorders>
            <w:noWrap/>
            <w:vAlign w:val="bottom"/>
            <w:hideMark/>
          </w:tcPr>
          <w:p w14:paraId="2BAFA6FC"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c>
          <w:tcPr>
            <w:tcW w:w="1691" w:type="dxa"/>
            <w:tcBorders>
              <w:top w:val="nil"/>
              <w:left w:val="nil"/>
              <w:bottom w:val="nil"/>
              <w:right w:val="nil"/>
            </w:tcBorders>
            <w:noWrap/>
            <w:vAlign w:val="bottom"/>
            <w:hideMark/>
          </w:tcPr>
          <w:p w14:paraId="0CA5CAA5"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(μ, σ)</w:t>
            </w:r>
          </w:p>
        </w:tc>
        <w:tc>
          <w:tcPr>
            <w:tcW w:w="2300" w:type="dxa"/>
            <w:tcBorders>
              <w:top w:val="nil"/>
              <w:left w:val="nil"/>
              <w:bottom w:val="nil"/>
              <w:right w:val="nil"/>
            </w:tcBorders>
            <w:noWrap/>
            <w:vAlign w:val="bottom"/>
            <w:hideMark/>
          </w:tcPr>
          <w:p w14:paraId="4F5BDF27"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(μ, σ)</w:t>
            </w:r>
          </w:p>
        </w:tc>
      </w:tr>
      <w:tr w:rsidR="00547078" w:rsidRPr="0059298B" w14:paraId="01EDDA23" w14:textId="77777777" w:rsidTr="00BD763E">
        <w:trPr>
          <w:trHeight w:val="300"/>
          <w:jc w:val="center"/>
        </w:trPr>
        <w:tc>
          <w:tcPr>
            <w:tcW w:w="2420" w:type="dxa"/>
            <w:tcBorders>
              <w:top w:val="nil"/>
              <w:left w:val="nil"/>
              <w:bottom w:val="nil"/>
              <w:right w:val="nil"/>
            </w:tcBorders>
            <w:noWrap/>
            <w:vAlign w:val="bottom"/>
            <w:hideMark/>
          </w:tcPr>
          <w:p w14:paraId="3AA443ED"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Aspect</w:t>
            </w:r>
            <w:r>
              <w:rPr>
                <w:rFonts w:ascii="Calibri" w:eastAsia="Times New Roman" w:hAnsi="Calibri" w:cs="Calibri"/>
                <w:color w:val="000000"/>
                <w:kern w:val="0"/>
                <w:lang w:eastAsia="en-NZ"/>
                <w14:ligatures w14:val="none"/>
              </w:rPr>
              <w:t xml:space="preserve"> </w:t>
            </w:r>
          </w:p>
        </w:tc>
        <w:tc>
          <w:tcPr>
            <w:tcW w:w="1646" w:type="dxa"/>
            <w:tcBorders>
              <w:top w:val="nil"/>
              <w:left w:val="nil"/>
              <w:bottom w:val="nil"/>
              <w:right w:val="nil"/>
            </w:tcBorders>
            <w:noWrap/>
            <w:vAlign w:val="bottom"/>
            <w:hideMark/>
          </w:tcPr>
          <w:p w14:paraId="4ACEAB45"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c>
          <w:tcPr>
            <w:tcW w:w="1691" w:type="dxa"/>
            <w:tcBorders>
              <w:top w:val="nil"/>
              <w:left w:val="nil"/>
              <w:bottom w:val="nil"/>
              <w:right w:val="nil"/>
            </w:tcBorders>
            <w:noWrap/>
            <w:vAlign w:val="bottom"/>
            <w:hideMark/>
          </w:tcPr>
          <w:p w14:paraId="758D5D8A"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(μ, σ)</w:t>
            </w:r>
          </w:p>
        </w:tc>
        <w:tc>
          <w:tcPr>
            <w:tcW w:w="2300" w:type="dxa"/>
            <w:tcBorders>
              <w:top w:val="nil"/>
              <w:left w:val="nil"/>
              <w:bottom w:val="nil"/>
              <w:right w:val="nil"/>
            </w:tcBorders>
            <w:noWrap/>
            <w:vAlign w:val="bottom"/>
            <w:hideMark/>
          </w:tcPr>
          <w:p w14:paraId="4B4A716A"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(μ, σ)</w:t>
            </w:r>
          </w:p>
        </w:tc>
      </w:tr>
      <w:tr w:rsidR="00547078" w:rsidRPr="0059298B" w14:paraId="51C63FE0" w14:textId="77777777" w:rsidTr="00BD763E">
        <w:trPr>
          <w:trHeight w:val="300"/>
          <w:jc w:val="center"/>
        </w:trPr>
        <w:tc>
          <w:tcPr>
            <w:tcW w:w="2420" w:type="dxa"/>
            <w:tcBorders>
              <w:top w:val="nil"/>
              <w:left w:val="nil"/>
              <w:bottom w:val="nil"/>
              <w:right w:val="nil"/>
            </w:tcBorders>
            <w:noWrap/>
            <w:vAlign w:val="bottom"/>
            <w:hideMark/>
          </w:tcPr>
          <w:p w14:paraId="1CD6100A"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Convergence Index</w:t>
            </w:r>
            <w:r>
              <w:rPr>
                <w:rFonts w:ascii="Calibri" w:eastAsia="Times New Roman" w:hAnsi="Calibri" w:cs="Calibri"/>
                <w:color w:val="000000"/>
                <w:kern w:val="0"/>
                <w:lang w:eastAsia="en-NZ"/>
                <w14:ligatures w14:val="none"/>
              </w:rPr>
              <w:t xml:space="preserve"> </w:t>
            </w:r>
          </w:p>
        </w:tc>
        <w:tc>
          <w:tcPr>
            <w:tcW w:w="1646" w:type="dxa"/>
            <w:tcBorders>
              <w:top w:val="nil"/>
              <w:left w:val="nil"/>
              <w:bottom w:val="nil"/>
              <w:right w:val="nil"/>
            </w:tcBorders>
            <w:noWrap/>
            <w:vAlign w:val="bottom"/>
            <w:hideMark/>
          </w:tcPr>
          <w:p w14:paraId="5B320043"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c>
          <w:tcPr>
            <w:tcW w:w="1691" w:type="dxa"/>
            <w:tcBorders>
              <w:top w:val="nil"/>
              <w:left w:val="nil"/>
              <w:bottom w:val="nil"/>
              <w:right w:val="nil"/>
            </w:tcBorders>
            <w:noWrap/>
            <w:vAlign w:val="bottom"/>
            <w:hideMark/>
          </w:tcPr>
          <w:p w14:paraId="2840F6C3"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2300" w:type="dxa"/>
            <w:tcBorders>
              <w:top w:val="nil"/>
              <w:left w:val="nil"/>
              <w:bottom w:val="nil"/>
              <w:right w:val="nil"/>
            </w:tcBorders>
            <w:noWrap/>
            <w:vAlign w:val="bottom"/>
            <w:hideMark/>
          </w:tcPr>
          <w:p w14:paraId="5F476A4F"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59E25BD9" w14:textId="77777777" w:rsidTr="00BD763E">
        <w:trPr>
          <w:trHeight w:val="300"/>
          <w:jc w:val="center"/>
        </w:trPr>
        <w:tc>
          <w:tcPr>
            <w:tcW w:w="2420" w:type="dxa"/>
            <w:tcBorders>
              <w:top w:val="nil"/>
              <w:left w:val="nil"/>
              <w:bottom w:val="nil"/>
              <w:right w:val="nil"/>
            </w:tcBorders>
            <w:noWrap/>
            <w:vAlign w:val="bottom"/>
            <w:hideMark/>
          </w:tcPr>
          <w:p w14:paraId="3D8D52C9"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 xml:space="preserve">Landuse </w:t>
            </w:r>
          </w:p>
        </w:tc>
        <w:tc>
          <w:tcPr>
            <w:tcW w:w="1646" w:type="dxa"/>
            <w:tcBorders>
              <w:top w:val="nil"/>
              <w:left w:val="nil"/>
              <w:bottom w:val="nil"/>
              <w:right w:val="nil"/>
            </w:tcBorders>
            <w:noWrap/>
            <w:vAlign w:val="bottom"/>
            <w:hideMark/>
          </w:tcPr>
          <w:p w14:paraId="71ADBDC3"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(categorical)</w:t>
            </w:r>
          </w:p>
        </w:tc>
        <w:tc>
          <w:tcPr>
            <w:tcW w:w="1691" w:type="dxa"/>
            <w:tcBorders>
              <w:top w:val="nil"/>
              <w:left w:val="nil"/>
              <w:bottom w:val="nil"/>
              <w:right w:val="nil"/>
            </w:tcBorders>
            <w:noWrap/>
            <w:vAlign w:val="bottom"/>
            <w:hideMark/>
          </w:tcPr>
          <w:p w14:paraId="3155CC64"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2300" w:type="dxa"/>
            <w:tcBorders>
              <w:top w:val="nil"/>
              <w:left w:val="nil"/>
              <w:bottom w:val="nil"/>
              <w:right w:val="nil"/>
            </w:tcBorders>
            <w:noWrap/>
            <w:vAlign w:val="bottom"/>
            <w:hideMark/>
          </w:tcPr>
          <w:p w14:paraId="438ED731"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68B466D7" w14:textId="77777777" w:rsidTr="00BD763E">
        <w:trPr>
          <w:trHeight w:val="300"/>
          <w:jc w:val="center"/>
        </w:trPr>
        <w:tc>
          <w:tcPr>
            <w:tcW w:w="2420" w:type="dxa"/>
            <w:tcBorders>
              <w:top w:val="nil"/>
              <w:left w:val="nil"/>
              <w:bottom w:val="nil"/>
              <w:right w:val="nil"/>
            </w:tcBorders>
            <w:noWrap/>
            <w:vAlign w:val="bottom"/>
            <w:hideMark/>
          </w:tcPr>
          <w:p w14:paraId="5BEA86FF"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Rocktype</w:t>
            </w:r>
          </w:p>
        </w:tc>
        <w:tc>
          <w:tcPr>
            <w:tcW w:w="1646" w:type="dxa"/>
            <w:tcBorders>
              <w:top w:val="nil"/>
              <w:left w:val="nil"/>
              <w:bottom w:val="nil"/>
              <w:right w:val="nil"/>
            </w:tcBorders>
            <w:noWrap/>
            <w:vAlign w:val="bottom"/>
            <w:hideMark/>
          </w:tcPr>
          <w:p w14:paraId="4F49C572"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(categorical)</w:t>
            </w:r>
          </w:p>
        </w:tc>
        <w:tc>
          <w:tcPr>
            <w:tcW w:w="1691" w:type="dxa"/>
            <w:tcBorders>
              <w:top w:val="nil"/>
              <w:left w:val="nil"/>
              <w:bottom w:val="nil"/>
              <w:right w:val="nil"/>
            </w:tcBorders>
            <w:noWrap/>
            <w:vAlign w:val="bottom"/>
            <w:hideMark/>
          </w:tcPr>
          <w:p w14:paraId="5C2873F7"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(majority)</w:t>
            </w:r>
          </w:p>
        </w:tc>
        <w:tc>
          <w:tcPr>
            <w:tcW w:w="2300" w:type="dxa"/>
            <w:tcBorders>
              <w:top w:val="nil"/>
              <w:left w:val="nil"/>
              <w:bottom w:val="nil"/>
              <w:right w:val="nil"/>
            </w:tcBorders>
            <w:noWrap/>
            <w:vAlign w:val="bottom"/>
            <w:hideMark/>
          </w:tcPr>
          <w:p w14:paraId="16F5A47F"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 xml:space="preserve"> (majority)</w:t>
            </w:r>
          </w:p>
        </w:tc>
      </w:tr>
      <w:tr w:rsidR="00547078" w:rsidRPr="0059298B" w14:paraId="4A92643D" w14:textId="77777777" w:rsidTr="00BD763E">
        <w:trPr>
          <w:trHeight w:val="300"/>
          <w:jc w:val="center"/>
        </w:trPr>
        <w:tc>
          <w:tcPr>
            <w:tcW w:w="2420" w:type="dxa"/>
            <w:tcBorders>
              <w:top w:val="nil"/>
              <w:left w:val="nil"/>
              <w:bottom w:val="nil"/>
              <w:right w:val="nil"/>
            </w:tcBorders>
            <w:noWrap/>
            <w:vAlign w:val="bottom"/>
            <w:hideMark/>
          </w:tcPr>
          <w:p w14:paraId="6BDA239D"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 xml:space="preserve">Exotic Forest </w:t>
            </w:r>
          </w:p>
        </w:tc>
        <w:tc>
          <w:tcPr>
            <w:tcW w:w="1646" w:type="dxa"/>
            <w:tcBorders>
              <w:top w:val="nil"/>
              <w:left w:val="nil"/>
              <w:bottom w:val="nil"/>
              <w:right w:val="nil"/>
            </w:tcBorders>
            <w:noWrap/>
            <w:vAlign w:val="bottom"/>
            <w:hideMark/>
          </w:tcPr>
          <w:p w14:paraId="2A953240"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38B5909A"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(proportion)</w:t>
            </w:r>
          </w:p>
        </w:tc>
        <w:tc>
          <w:tcPr>
            <w:tcW w:w="2300" w:type="dxa"/>
            <w:tcBorders>
              <w:top w:val="nil"/>
              <w:left w:val="nil"/>
              <w:bottom w:val="nil"/>
              <w:right w:val="nil"/>
            </w:tcBorders>
            <w:noWrap/>
            <w:vAlign w:val="bottom"/>
            <w:hideMark/>
          </w:tcPr>
          <w:p w14:paraId="28792522"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(proportion)</w:t>
            </w:r>
          </w:p>
        </w:tc>
      </w:tr>
      <w:tr w:rsidR="00547078" w:rsidRPr="0059298B" w14:paraId="27E8B7D2" w14:textId="77777777" w:rsidTr="00BD763E">
        <w:trPr>
          <w:trHeight w:val="300"/>
          <w:jc w:val="center"/>
        </w:trPr>
        <w:tc>
          <w:tcPr>
            <w:tcW w:w="2420" w:type="dxa"/>
            <w:tcBorders>
              <w:top w:val="nil"/>
              <w:left w:val="nil"/>
              <w:bottom w:val="nil"/>
              <w:right w:val="nil"/>
            </w:tcBorders>
            <w:noWrap/>
            <w:vAlign w:val="bottom"/>
            <w:hideMark/>
          </w:tcPr>
          <w:p w14:paraId="6D1C5EA9"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Indigenous Forest</w:t>
            </w:r>
          </w:p>
        </w:tc>
        <w:tc>
          <w:tcPr>
            <w:tcW w:w="1646" w:type="dxa"/>
            <w:tcBorders>
              <w:top w:val="nil"/>
              <w:left w:val="nil"/>
              <w:bottom w:val="nil"/>
              <w:right w:val="nil"/>
            </w:tcBorders>
            <w:noWrap/>
            <w:vAlign w:val="bottom"/>
            <w:hideMark/>
          </w:tcPr>
          <w:p w14:paraId="746865D0"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6416D678"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(proportion)</w:t>
            </w:r>
          </w:p>
        </w:tc>
        <w:tc>
          <w:tcPr>
            <w:tcW w:w="2300" w:type="dxa"/>
            <w:tcBorders>
              <w:top w:val="nil"/>
              <w:left w:val="nil"/>
              <w:bottom w:val="nil"/>
              <w:right w:val="nil"/>
            </w:tcBorders>
            <w:noWrap/>
            <w:vAlign w:val="bottom"/>
            <w:hideMark/>
          </w:tcPr>
          <w:p w14:paraId="5B2EA7D0"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(proportion)</w:t>
            </w:r>
          </w:p>
        </w:tc>
      </w:tr>
      <w:tr w:rsidR="00547078" w:rsidRPr="0059298B" w14:paraId="3DE0C819" w14:textId="77777777" w:rsidTr="00BD763E">
        <w:trPr>
          <w:trHeight w:val="300"/>
          <w:jc w:val="center"/>
        </w:trPr>
        <w:tc>
          <w:tcPr>
            <w:tcW w:w="2420" w:type="dxa"/>
            <w:tcBorders>
              <w:top w:val="nil"/>
              <w:left w:val="nil"/>
              <w:bottom w:val="nil"/>
              <w:right w:val="nil"/>
            </w:tcBorders>
            <w:noWrap/>
            <w:vAlign w:val="bottom"/>
            <w:hideMark/>
          </w:tcPr>
          <w:p w14:paraId="25E0C44A"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Harvested Forest</w:t>
            </w:r>
          </w:p>
        </w:tc>
        <w:tc>
          <w:tcPr>
            <w:tcW w:w="1646" w:type="dxa"/>
            <w:tcBorders>
              <w:top w:val="nil"/>
              <w:left w:val="nil"/>
              <w:bottom w:val="nil"/>
              <w:right w:val="nil"/>
            </w:tcBorders>
            <w:noWrap/>
            <w:vAlign w:val="bottom"/>
            <w:hideMark/>
          </w:tcPr>
          <w:p w14:paraId="3AD70BEC"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66F129AF"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(proportion)</w:t>
            </w:r>
          </w:p>
        </w:tc>
        <w:tc>
          <w:tcPr>
            <w:tcW w:w="2300" w:type="dxa"/>
            <w:tcBorders>
              <w:top w:val="nil"/>
              <w:left w:val="nil"/>
              <w:bottom w:val="nil"/>
              <w:right w:val="nil"/>
            </w:tcBorders>
            <w:noWrap/>
            <w:vAlign w:val="bottom"/>
            <w:hideMark/>
          </w:tcPr>
          <w:p w14:paraId="4CD90D51"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0FCF3F96" w14:textId="77777777" w:rsidTr="00BD763E">
        <w:trPr>
          <w:trHeight w:val="300"/>
          <w:jc w:val="center"/>
        </w:trPr>
        <w:tc>
          <w:tcPr>
            <w:tcW w:w="2420" w:type="dxa"/>
            <w:tcBorders>
              <w:top w:val="nil"/>
              <w:left w:val="nil"/>
              <w:bottom w:val="nil"/>
              <w:right w:val="nil"/>
            </w:tcBorders>
            <w:noWrap/>
            <w:vAlign w:val="bottom"/>
            <w:hideMark/>
          </w:tcPr>
          <w:p w14:paraId="73694198"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24 hour max. rainfall</w:t>
            </w:r>
          </w:p>
        </w:tc>
        <w:tc>
          <w:tcPr>
            <w:tcW w:w="1646" w:type="dxa"/>
            <w:tcBorders>
              <w:top w:val="nil"/>
              <w:left w:val="nil"/>
              <w:bottom w:val="nil"/>
              <w:right w:val="nil"/>
            </w:tcBorders>
            <w:noWrap/>
            <w:vAlign w:val="bottom"/>
            <w:hideMark/>
          </w:tcPr>
          <w:p w14:paraId="28064E3E"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c>
          <w:tcPr>
            <w:tcW w:w="1691" w:type="dxa"/>
            <w:tcBorders>
              <w:top w:val="nil"/>
              <w:left w:val="nil"/>
              <w:bottom w:val="nil"/>
              <w:right w:val="nil"/>
            </w:tcBorders>
            <w:noWrap/>
            <w:vAlign w:val="bottom"/>
            <w:hideMark/>
          </w:tcPr>
          <w:p w14:paraId="14F47B44"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c>
          <w:tcPr>
            <w:tcW w:w="2300" w:type="dxa"/>
            <w:tcBorders>
              <w:top w:val="nil"/>
              <w:left w:val="nil"/>
              <w:bottom w:val="nil"/>
              <w:right w:val="nil"/>
            </w:tcBorders>
            <w:noWrap/>
            <w:vAlign w:val="bottom"/>
            <w:hideMark/>
          </w:tcPr>
          <w:p w14:paraId="022991E9"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r>
      <w:tr w:rsidR="00547078" w:rsidRPr="0059298B" w14:paraId="1081335D" w14:textId="77777777" w:rsidTr="00BD763E">
        <w:trPr>
          <w:trHeight w:val="300"/>
          <w:jc w:val="center"/>
        </w:trPr>
        <w:tc>
          <w:tcPr>
            <w:tcW w:w="2420" w:type="dxa"/>
            <w:tcBorders>
              <w:top w:val="nil"/>
              <w:left w:val="nil"/>
              <w:bottom w:val="nil"/>
              <w:right w:val="nil"/>
            </w:tcBorders>
            <w:noWrap/>
            <w:vAlign w:val="bottom"/>
            <w:hideMark/>
          </w:tcPr>
          <w:p w14:paraId="1CC709DB"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Pr>
                <w:rFonts w:ascii="Calibri" w:eastAsia="Times New Roman" w:hAnsi="Calibri" w:cs="Calibri"/>
                <w:color w:val="000000"/>
                <w:kern w:val="0"/>
                <w:lang w:eastAsia="en-NZ"/>
                <w14:ligatures w14:val="none"/>
              </w:rPr>
              <w:t>P</w:t>
            </w:r>
            <w:r w:rsidRPr="0059298B">
              <w:rPr>
                <w:rFonts w:ascii="Calibri" w:eastAsia="Times New Roman" w:hAnsi="Calibri" w:cs="Calibri"/>
                <w:color w:val="000000"/>
                <w:kern w:val="0"/>
                <w:lang w:eastAsia="en-NZ"/>
                <w14:ligatures w14:val="none"/>
              </w:rPr>
              <w:t>re-event rainfall</w:t>
            </w:r>
          </w:p>
        </w:tc>
        <w:tc>
          <w:tcPr>
            <w:tcW w:w="1646" w:type="dxa"/>
            <w:tcBorders>
              <w:top w:val="nil"/>
              <w:left w:val="nil"/>
              <w:bottom w:val="nil"/>
              <w:right w:val="nil"/>
            </w:tcBorders>
            <w:noWrap/>
            <w:vAlign w:val="bottom"/>
            <w:hideMark/>
          </w:tcPr>
          <w:p w14:paraId="1AD1CF0F"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Pr>
                <w:rFonts w:ascii="Segoe UI Symbol" w:eastAsia="Times New Roman" w:hAnsi="Segoe UI Symbol" w:cs="Segoe UI Symbol"/>
                <w:color w:val="000000"/>
                <w:kern w:val="0"/>
                <w:lang w:eastAsia="en-NZ"/>
                <w14:ligatures w14:val="none"/>
              </w:rPr>
              <w:t xml:space="preserve"> (</w:t>
            </w:r>
            <w:r>
              <w:t>35 day)</w:t>
            </w:r>
          </w:p>
        </w:tc>
        <w:tc>
          <w:tcPr>
            <w:tcW w:w="1691" w:type="dxa"/>
            <w:tcBorders>
              <w:top w:val="nil"/>
              <w:left w:val="nil"/>
              <w:bottom w:val="nil"/>
              <w:right w:val="nil"/>
            </w:tcBorders>
            <w:noWrap/>
            <w:vAlign w:val="bottom"/>
            <w:hideMark/>
          </w:tcPr>
          <w:p w14:paraId="7E012446"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Pr>
                <w:rFonts w:ascii="Segoe UI Symbol" w:eastAsia="Times New Roman" w:hAnsi="Segoe UI Symbol" w:cs="Segoe UI Symbol"/>
                <w:color w:val="000000"/>
                <w:kern w:val="0"/>
                <w:lang w:eastAsia="en-NZ"/>
                <w14:ligatures w14:val="none"/>
              </w:rPr>
              <w:t xml:space="preserve"> (</w:t>
            </w:r>
            <w:r>
              <w:t>35 day)</w:t>
            </w:r>
          </w:p>
        </w:tc>
        <w:tc>
          <w:tcPr>
            <w:tcW w:w="2300" w:type="dxa"/>
            <w:tcBorders>
              <w:top w:val="nil"/>
              <w:left w:val="nil"/>
              <w:bottom w:val="nil"/>
              <w:right w:val="nil"/>
            </w:tcBorders>
            <w:noWrap/>
            <w:vAlign w:val="bottom"/>
            <w:hideMark/>
          </w:tcPr>
          <w:p w14:paraId="0CD9899E"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Pr>
                <w:rFonts w:ascii="Segoe UI Symbol" w:eastAsia="Times New Roman" w:hAnsi="Segoe UI Symbol" w:cs="Segoe UI Symbol"/>
                <w:color w:val="000000"/>
                <w:kern w:val="0"/>
                <w:lang w:eastAsia="en-NZ"/>
                <w14:ligatures w14:val="none"/>
              </w:rPr>
              <w:t xml:space="preserve"> (</w:t>
            </w:r>
            <w:r>
              <w:t>35 day)</w:t>
            </w:r>
          </w:p>
        </w:tc>
      </w:tr>
      <w:tr w:rsidR="00547078" w:rsidRPr="0059298B" w14:paraId="02E3908B" w14:textId="77777777" w:rsidTr="00BD763E">
        <w:trPr>
          <w:trHeight w:val="300"/>
          <w:jc w:val="center"/>
        </w:trPr>
        <w:tc>
          <w:tcPr>
            <w:tcW w:w="2420" w:type="dxa"/>
            <w:tcBorders>
              <w:top w:val="nil"/>
              <w:left w:val="nil"/>
              <w:bottom w:val="nil"/>
              <w:right w:val="nil"/>
            </w:tcBorders>
            <w:noWrap/>
            <w:vAlign w:val="bottom"/>
            <w:hideMark/>
          </w:tcPr>
          <w:p w14:paraId="479C3CC5"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Heavy rainfall frequency</w:t>
            </w:r>
          </w:p>
        </w:tc>
        <w:tc>
          <w:tcPr>
            <w:tcW w:w="1646" w:type="dxa"/>
            <w:tcBorders>
              <w:top w:val="nil"/>
              <w:left w:val="nil"/>
              <w:bottom w:val="nil"/>
              <w:right w:val="nil"/>
            </w:tcBorders>
            <w:noWrap/>
            <w:vAlign w:val="bottom"/>
            <w:hideMark/>
          </w:tcPr>
          <w:p w14:paraId="4FD41E11"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17925D7A"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2300" w:type="dxa"/>
            <w:tcBorders>
              <w:top w:val="nil"/>
              <w:left w:val="nil"/>
              <w:bottom w:val="nil"/>
              <w:right w:val="nil"/>
            </w:tcBorders>
            <w:noWrap/>
            <w:vAlign w:val="bottom"/>
            <w:hideMark/>
          </w:tcPr>
          <w:p w14:paraId="6518C8FD"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12616F25" w14:textId="77777777" w:rsidTr="00BD763E">
        <w:trPr>
          <w:trHeight w:val="300"/>
          <w:jc w:val="center"/>
        </w:trPr>
        <w:tc>
          <w:tcPr>
            <w:tcW w:w="2420" w:type="dxa"/>
            <w:tcBorders>
              <w:top w:val="nil"/>
              <w:left w:val="nil"/>
              <w:bottom w:val="nil"/>
              <w:right w:val="nil"/>
            </w:tcBorders>
            <w:noWrap/>
            <w:vAlign w:val="bottom"/>
            <w:hideMark/>
          </w:tcPr>
          <w:p w14:paraId="6F2CD6EC"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 xml:space="preserve">Heavy rainfall </w:t>
            </w:r>
          </w:p>
        </w:tc>
        <w:tc>
          <w:tcPr>
            <w:tcW w:w="1646" w:type="dxa"/>
            <w:tcBorders>
              <w:top w:val="nil"/>
              <w:left w:val="nil"/>
              <w:bottom w:val="nil"/>
              <w:right w:val="nil"/>
            </w:tcBorders>
            <w:noWrap/>
            <w:vAlign w:val="bottom"/>
            <w:hideMark/>
          </w:tcPr>
          <w:p w14:paraId="263DFEF2"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336A40FD"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2300" w:type="dxa"/>
            <w:tcBorders>
              <w:top w:val="nil"/>
              <w:left w:val="nil"/>
              <w:bottom w:val="nil"/>
              <w:right w:val="nil"/>
            </w:tcBorders>
            <w:noWrap/>
            <w:vAlign w:val="bottom"/>
            <w:hideMark/>
          </w:tcPr>
          <w:p w14:paraId="0E4BF0CC"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23897EEC" w14:textId="77777777" w:rsidTr="00BD763E">
        <w:trPr>
          <w:trHeight w:val="300"/>
          <w:jc w:val="center"/>
        </w:trPr>
        <w:tc>
          <w:tcPr>
            <w:tcW w:w="2420" w:type="dxa"/>
            <w:tcBorders>
              <w:top w:val="nil"/>
              <w:left w:val="nil"/>
              <w:bottom w:val="nil"/>
              <w:right w:val="nil"/>
            </w:tcBorders>
            <w:noWrap/>
            <w:vAlign w:val="bottom"/>
            <w:hideMark/>
          </w:tcPr>
          <w:p w14:paraId="3EF19849"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Annual rainfall</w:t>
            </w:r>
          </w:p>
        </w:tc>
        <w:tc>
          <w:tcPr>
            <w:tcW w:w="1646" w:type="dxa"/>
            <w:tcBorders>
              <w:top w:val="nil"/>
              <w:left w:val="nil"/>
              <w:bottom w:val="nil"/>
              <w:right w:val="nil"/>
            </w:tcBorders>
            <w:noWrap/>
            <w:vAlign w:val="bottom"/>
            <w:hideMark/>
          </w:tcPr>
          <w:p w14:paraId="556C0B0D"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nil"/>
              <w:right w:val="nil"/>
            </w:tcBorders>
            <w:noWrap/>
            <w:vAlign w:val="bottom"/>
            <w:hideMark/>
          </w:tcPr>
          <w:p w14:paraId="2CF0C618"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2300" w:type="dxa"/>
            <w:tcBorders>
              <w:top w:val="nil"/>
              <w:left w:val="nil"/>
              <w:bottom w:val="nil"/>
              <w:right w:val="nil"/>
            </w:tcBorders>
            <w:noWrap/>
            <w:vAlign w:val="bottom"/>
            <w:hideMark/>
          </w:tcPr>
          <w:p w14:paraId="2BEC4E6D"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r>
      <w:tr w:rsidR="00547078" w:rsidRPr="0059298B" w14:paraId="2596D49D" w14:textId="77777777" w:rsidTr="00BD763E">
        <w:trPr>
          <w:trHeight w:val="300"/>
          <w:jc w:val="center"/>
        </w:trPr>
        <w:tc>
          <w:tcPr>
            <w:tcW w:w="2420" w:type="dxa"/>
            <w:tcBorders>
              <w:top w:val="nil"/>
              <w:left w:val="nil"/>
              <w:bottom w:val="single" w:sz="4" w:space="0" w:color="auto"/>
              <w:right w:val="nil"/>
            </w:tcBorders>
            <w:noWrap/>
            <w:vAlign w:val="bottom"/>
            <w:hideMark/>
          </w:tcPr>
          <w:p w14:paraId="6CD6D69C" w14:textId="77777777" w:rsidR="00547078" w:rsidRPr="0059298B" w:rsidRDefault="00547078" w:rsidP="00BD763E">
            <w:pPr>
              <w:spacing w:after="0" w:line="240" w:lineRule="auto"/>
              <w:rPr>
                <w:rFonts w:ascii="Calibri" w:eastAsia="Times New Roman" w:hAnsi="Calibri" w:cs="Calibri"/>
                <w:color w:val="000000"/>
                <w:kern w:val="0"/>
                <w:lang w:eastAsia="en-NZ"/>
                <w14:ligatures w14:val="none"/>
              </w:rPr>
            </w:pPr>
            <w:r w:rsidRPr="0059298B">
              <w:rPr>
                <w:rFonts w:ascii="Calibri" w:eastAsia="Times New Roman" w:hAnsi="Calibri" w:cs="Calibri"/>
                <w:color w:val="000000"/>
                <w:kern w:val="0"/>
                <w:lang w:eastAsia="en-NZ"/>
                <w14:ligatures w14:val="none"/>
              </w:rPr>
              <w:t>Slopeunit area</w:t>
            </w:r>
          </w:p>
        </w:tc>
        <w:tc>
          <w:tcPr>
            <w:tcW w:w="1646" w:type="dxa"/>
            <w:tcBorders>
              <w:top w:val="nil"/>
              <w:left w:val="nil"/>
              <w:bottom w:val="single" w:sz="4" w:space="0" w:color="auto"/>
              <w:right w:val="nil"/>
            </w:tcBorders>
            <w:noWrap/>
            <w:vAlign w:val="bottom"/>
            <w:hideMark/>
          </w:tcPr>
          <w:p w14:paraId="08F40554" w14:textId="77777777" w:rsidR="00547078" w:rsidRPr="0059298B" w:rsidRDefault="00547078" w:rsidP="00BD763E">
            <w:pPr>
              <w:spacing w:after="0" w:line="240" w:lineRule="auto"/>
              <w:jc w:val="center"/>
              <w:rPr>
                <w:rFonts w:ascii="Arial" w:eastAsia="Times New Roman" w:hAnsi="Arial" w:cs="Arial"/>
                <w:b/>
                <w:bCs/>
                <w:color w:val="474747"/>
                <w:kern w:val="0"/>
                <w:lang w:eastAsia="en-NZ"/>
                <w14:ligatures w14:val="none"/>
              </w:rPr>
            </w:pPr>
            <w:r w:rsidRPr="0059298B">
              <w:rPr>
                <w:rFonts w:ascii="Arial" w:eastAsia="Times New Roman" w:hAnsi="Arial" w:cs="Arial"/>
                <w:b/>
                <w:bCs/>
                <w:color w:val="474747"/>
                <w:kern w:val="0"/>
                <w:lang w:eastAsia="en-NZ"/>
                <w14:ligatures w14:val="none"/>
              </w:rPr>
              <w:t>X</w:t>
            </w:r>
          </w:p>
        </w:tc>
        <w:tc>
          <w:tcPr>
            <w:tcW w:w="1691" w:type="dxa"/>
            <w:tcBorders>
              <w:top w:val="nil"/>
              <w:left w:val="nil"/>
              <w:bottom w:val="single" w:sz="4" w:space="0" w:color="auto"/>
              <w:right w:val="nil"/>
            </w:tcBorders>
            <w:noWrap/>
            <w:vAlign w:val="bottom"/>
            <w:hideMark/>
          </w:tcPr>
          <w:p w14:paraId="147D154D"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r w:rsidRPr="0059298B">
              <w:rPr>
                <w:rFonts w:ascii="Calibri" w:eastAsia="Times New Roman" w:hAnsi="Calibri" w:cs="Calibri"/>
                <w:color w:val="000000"/>
                <w:kern w:val="0"/>
                <w:lang w:eastAsia="en-NZ"/>
                <w14:ligatures w14:val="none"/>
              </w:rPr>
              <w:t>*</w:t>
            </w:r>
          </w:p>
        </w:tc>
        <w:tc>
          <w:tcPr>
            <w:tcW w:w="2300" w:type="dxa"/>
            <w:tcBorders>
              <w:top w:val="nil"/>
              <w:left w:val="nil"/>
              <w:bottom w:val="single" w:sz="4" w:space="0" w:color="auto"/>
              <w:right w:val="nil"/>
            </w:tcBorders>
            <w:noWrap/>
            <w:vAlign w:val="bottom"/>
            <w:hideMark/>
          </w:tcPr>
          <w:p w14:paraId="1DA6DDC7" w14:textId="77777777" w:rsidR="00547078" w:rsidRPr="0059298B" w:rsidRDefault="00547078" w:rsidP="00BD763E">
            <w:pPr>
              <w:spacing w:after="0" w:line="240" w:lineRule="auto"/>
              <w:jc w:val="center"/>
              <w:rPr>
                <w:rFonts w:ascii="Calibri" w:eastAsia="Times New Roman" w:hAnsi="Calibri" w:cs="Calibri"/>
                <w:color w:val="000000"/>
                <w:kern w:val="0"/>
                <w:lang w:eastAsia="en-NZ"/>
                <w14:ligatures w14:val="none"/>
              </w:rPr>
            </w:pPr>
            <w:r w:rsidRPr="0059298B">
              <w:rPr>
                <w:rFonts w:ascii="Segoe UI Symbol" w:eastAsia="Times New Roman" w:hAnsi="Segoe UI Symbol" w:cs="Segoe UI Symbol"/>
                <w:color w:val="000000"/>
                <w:kern w:val="0"/>
                <w:lang w:eastAsia="en-NZ"/>
                <w14:ligatures w14:val="none"/>
              </w:rPr>
              <w:t>✔</w:t>
            </w:r>
          </w:p>
        </w:tc>
      </w:tr>
    </w:tbl>
    <w:p w14:paraId="26676327" w14:textId="77777777" w:rsidR="00547078" w:rsidRPr="00BD75CB" w:rsidRDefault="00547078" w:rsidP="00547078">
      <w:pPr>
        <w:pStyle w:val="Caption"/>
        <w:rPr>
          <w:sz w:val="16"/>
        </w:rPr>
      </w:pPr>
      <w:r w:rsidRPr="00BD75CB">
        <w:rPr>
          <w:sz w:val="16"/>
          <w:szCs w:val="16"/>
        </w:rPr>
        <w:t>*The slopeunit area for the binary slopeunit models was only used for model fitting and zeroed out for model predictions</w:t>
      </w:r>
    </w:p>
    <w:p w14:paraId="1A73E2F1" w14:textId="58E1147A" w:rsidR="00165F95" w:rsidRDefault="00E45F33" w:rsidP="00165F95">
      <w:r>
        <w:t xml:space="preserve">The </w:t>
      </w:r>
      <w:r w:rsidR="00B42FAA">
        <w:t>analysis</w:t>
      </w:r>
      <w:r>
        <w:t xml:space="preserve"> of the </w:t>
      </w:r>
      <w:r w:rsidR="00B42FAA">
        <w:t xml:space="preserve">variable </w:t>
      </w:r>
      <w:r w:rsidRPr="00D71771">
        <w:t xml:space="preserve">importance </w:t>
      </w:r>
      <w:r>
        <w:t xml:space="preserve">for both </w:t>
      </w:r>
      <w:r w:rsidRPr="00D71771">
        <w:t>landslide susceptibility</w:t>
      </w:r>
      <w:r w:rsidR="00FC18B0">
        <w:t xml:space="preserve"> and intensity</w:t>
      </w:r>
      <w:r w:rsidRPr="00D71771">
        <w:t xml:space="preserve"> model</w:t>
      </w:r>
      <w:r>
        <w:t>s</w:t>
      </w:r>
      <w:r w:rsidR="00B42FAA">
        <w:t xml:space="preserve"> </w:t>
      </w:r>
      <w:r w:rsidR="00F33DE0">
        <w:t>are</w:t>
      </w:r>
      <w:r w:rsidR="00B42FAA">
        <w:t xml:space="preserve"> </w:t>
      </w:r>
      <w:r w:rsidR="00D729F0">
        <w:t>presented</w:t>
      </w:r>
      <w:r w:rsidR="00B42FAA">
        <w:t xml:space="preserve"> in Fig</w:t>
      </w:r>
      <w:r w:rsidR="003777B3">
        <w:t xml:space="preserve">ure S2. </w:t>
      </w:r>
    </w:p>
    <w:p w14:paraId="4E775617" w14:textId="77777777" w:rsidR="009E75E7" w:rsidRDefault="009E75E7" w:rsidP="00791227">
      <w:pPr>
        <w:pStyle w:val="ListParagraph"/>
        <w:ind w:left="480"/>
      </w:pPr>
    </w:p>
    <w:p w14:paraId="69AD91F9" w14:textId="77777777" w:rsidR="00791227" w:rsidRDefault="00791227" w:rsidP="00791227">
      <w:pPr>
        <w:pStyle w:val="ListParagraph"/>
        <w:ind w:left="480"/>
      </w:pPr>
    </w:p>
    <w:p w14:paraId="5BD9E504" w14:textId="77777777" w:rsidR="00426DBB" w:rsidRDefault="00426DBB" w:rsidP="00426DBB">
      <w:pPr>
        <w:pStyle w:val="ListParagraph"/>
        <w:keepNext/>
        <w:ind w:left="0" w:hanging="1134"/>
      </w:pPr>
      <w:r>
        <w:rPr>
          <w:noProof/>
        </w:rPr>
        <w:drawing>
          <wp:inline distT="0" distB="0" distL="0" distR="0" wp14:anchorId="019462C1" wp14:editId="304D7706">
            <wp:extent cx="6957649" cy="1739043"/>
            <wp:effectExtent l="0" t="0" r="0" b="0"/>
            <wp:docPr id="34404593" name="Picture 7"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4593" name="Picture 7" descr="A graph with different colored bar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91852" cy="1747592"/>
                    </a:xfrm>
                    <a:prstGeom prst="rect">
                      <a:avLst/>
                    </a:prstGeom>
                    <a:noFill/>
                    <a:ln>
                      <a:noFill/>
                    </a:ln>
                  </pic:spPr>
                </pic:pic>
              </a:graphicData>
            </a:graphic>
          </wp:inline>
        </w:drawing>
      </w:r>
    </w:p>
    <w:p w14:paraId="248A501D" w14:textId="125891B1" w:rsidR="00273F5F" w:rsidRDefault="00426DBB" w:rsidP="00273F5F">
      <w:pPr>
        <w:pStyle w:val="Caption"/>
      </w:pPr>
      <w:r>
        <w:t xml:space="preserve">Figure </w:t>
      </w:r>
      <w:r w:rsidR="00A64425">
        <w:t>S</w:t>
      </w:r>
      <w:r w:rsidR="002A2C13">
        <w:fldChar w:fldCharType="begin"/>
      </w:r>
      <w:r w:rsidR="002A2C13">
        <w:instrText xml:space="preserve"> SEQ Figure \* ARABIC </w:instrText>
      </w:r>
      <w:r w:rsidR="002A2C13">
        <w:fldChar w:fldCharType="separate"/>
      </w:r>
      <w:r w:rsidR="002A2C13">
        <w:rPr>
          <w:noProof/>
        </w:rPr>
        <w:t>2</w:t>
      </w:r>
      <w:r w:rsidR="002A2C13">
        <w:rPr>
          <w:noProof/>
        </w:rPr>
        <w:fldChar w:fldCharType="end"/>
      </w:r>
      <w:r>
        <w:t>:</w:t>
      </w:r>
      <w:r w:rsidR="00273F5F">
        <w:t xml:space="preserve"> </w:t>
      </w:r>
      <w:r w:rsidR="00527D7E">
        <w:t xml:space="preserve">Importance of </w:t>
      </w:r>
      <w:r w:rsidR="006F7E93">
        <w:t xml:space="preserve">variables </w:t>
      </w:r>
      <w:r w:rsidR="006F7E93" w:rsidRPr="00C930BC">
        <w:t>shown</w:t>
      </w:r>
      <w:r w:rsidR="00396969">
        <w:t xml:space="preserve"> by the </w:t>
      </w:r>
      <w:r w:rsidR="00273F5F">
        <w:t>decrease in</w:t>
      </w:r>
      <w:r w:rsidR="00273F5F" w:rsidRPr="00C930BC">
        <w:t xml:space="preserve"> </w:t>
      </w:r>
      <w:r w:rsidR="00273F5F">
        <w:t>deviance explained</w:t>
      </w:r>
      <w:r w:rsidR="00273F5F" w:rsidRPr="00C930BC">
        <w:t xml:space="preserve"> for a) binary grid</w:t>
      </w:r>
      <w:r w:rsidR="00273F5F">
        <w:t xml:space="preserve"> </w:t>
      </w:r>
      <w:r w:rsidR="00273F5F" w:rsidRPr="00C930BC">
        <w:t>pixel, b) binary slope</w:t>
      </w:r>
      <w:r w:rsidR="00273F5F">
        <w:t xml:space="preserve"> </w:t>
      </w:r>
      <w:r w:rsidR="00273F5F" w:rsidRPr="00C930BC">
        <w:t>unit and c) log gaussian model</w:t>
      </w:r>
      <w:r w:rsidR="00273F5F">
        <w:t>s</w:t>
      </w:r>
      <w:r w:rsidR="00273F5F" w:rsidRPr="00C930BC">
        <w:t>.</w:t>
      </w:r>
      <w:r w:rsidR="005D52A5">
        <w:t xml:space="preserve"> </w:t>
      </w:r>
    </w:p>
    <w:p w14:paraId="550CA909" w14:textId="77777777" w:rsidR="0048016A" w:rsidRDefault="0048016A" w:rsidP="0048016A"/>
    <w:p w14:paraId="4452BB62" w14:textId="77777777" w:rsidR="0048016A" w:rsidRDefault="0048016A" w:rsidP="0048016A"/>
    <w:p w14:paraId="489DB70B" w14:textId="77777777" w:rsidR="0048016A" w:rsidRDefault="0048016A" w:rsidP="0048016A"/>
    <w:p w14:paraId="10E1F072" w14:textId="77777777" w:rsidR="0048016A" w:rsidRDefault="0048016A" w:rsidP="0048016A"/>
    <w:p w14:paraId="02CCD768" w14:textId="77777777" w:rsidR="0048016A" w:rsidRDefault="0048016A" w:rsidP="0048016A"/>
    <w:p w14:paraId="7CB7B5AD" w14:textId="77777777" w:rsidR="0048016A" w:rsidRPr="0048016A" w:rsidRDefault="0048016A" w:rsidP="0048016A"/>
    <w:p w14:paraId="532E8DB7" w14:textId="44E8D77D" w:rsidR="009E75E7" w:rsidRDefault="009E75E7" w:rsidP="00866989">
      <w:pPr>
        <w:pStyle w:val="Heading1"/>
        <w:rPr>
          <w:color w:val="auto"/>
          <w:sz w:val="36"/>
          <w:szCs w:val="36"/>
        </w:rPr>
      </w:pPr>
      <w:r w:rsidRPr="00F475E2">
        <w:rPr>
          <w:color w:val="auto"/>
          <w:sz w:val="36"/>
          <w:szCs w:val="36"/>
        </w:rPr>
        <w:lastRenderedPageBreak/>
        <w:t xml:space="preserve">Rainfall-landslide </w:t>
      </w:r>
      <w:r w:rsidRPr="00866989">
        <w:rPr>
          <w:color w:val="auto"/>
          <w:sz w:val="36"/>
          <w:szCs w:val="36"/>
        </w:rPr>
        <w:t>relationships</w:t>
      </w:r>
    </w:p>
    <w:p w14:paraId="7E13FBED" w14:textId="1482F4C5" w:rsidR="00D729F0" w:rsidRPr="00D729F0" w:rsidRDefault="00D729F0" w:rsidP="00D729F0">
      <w:r w:rsidRPr="00B437CD">
        <w:t xml:space="preserve">Partial dependence plots </w:t>
      </w:r>
      <w:r>
        <w:t xml:space="preserve">show </w:t>
      </w:r>
      <w:r w:rsidRPr="00B437CD">
        <w:t>key insights into rainfall-landslide relationships</w:t>
      </w:r>
      <w:r>
        <w:t xml:space="preserve"> (Fig</w:t>
      </w:r>
      <w:r w:rsidR="007A3D8C">
        <w:t>.</w:t>
      </w:r>
      <w:r>
        <w:t xml:space="preserve"> S3).</w:t>
      </w:r>
    </w:p>
    <w:p w14:paraId="3CEBB1F6" w14:textId="0803CCB2" w:rsidR="0087144D" w:rsidRDefault="006D2CFA" w:rsidP="00EC3C50">
      <w:pPr>
        <w:pStyle w:val="Caption"/>
        <w:keepNext/>
        <w:ind w:left="-426"/>
      </w:pPr>
      <w:r>
        <w:rPr>
          <w:noProof/>
        </w:rPr>
        <w:drawing>
          <wp:inline distT="0" distB="0" distL="0" distR="0" wp14:anchorId="379EB53D" wp14:editId="7505B4B7">
            <wp:extent cx="6369473" cy="1990725"/>
            <wp:effectExtent l="0" t="0" r="0" b="0"/>
            <wp:docPr id="73872054" name="Picture 1"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2054" name="Picture 1" descr="A graph with red and blue lin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2587" cy="1997949"/>
                    </a:xfrm>
                    <a:prstGeom prst="rect">
                      <a:avLst/>
                    </a:prstGeom>
                    <a:noFill/>
                    <a:ln>
                      <a:noFill/>
                    </a:ln>
                  </pic:spPr>
                </pic:pic>
              </a:graphicData>
            </a:graphic>
          </wp:inline>
        </w:drawing>
      </w:r>
    </w:p>
    <w:p w14:paraId="039F878F" w14:textId="68C4A88B" w:rsidR="00426DBB" w:rsidRDefault="0087144D" w:rsidP="00EC3C50">
      <w:pPr>
        <w:pStyle w:val="Caption"/>
        <w:jc w:val="both"/>
      </w:pPr>
      <w:r>
        <w:t xml:space="preserve">Figure </w:t>
      </w:r>
      <w:r w:rsidR="00A64425">
        <w:t>S</w:t>
      </w:r>
      <w:r w:rsidR="002A2C13">
        <w:fldChar w:fldCharType="begin"/>
      </w:r>
      <w:r w:rsidR="002A2C13">
        <w:instrText xml:space="preserve"> SEQ Figure \* ARABIC </w:instrText>
      </w:r>
      <w:r w:rsidR="002A2C13">
        <w:fldChar w:fldCharType="separate"/>
      </w:r>
      <w:r w:rsidR="002A2C13">
        <w:rPr>
          <w:noProof/>
        </w:rPr>
        <w:t>3</w:t>
      </w:r>
      <w:r w:rsidR="002A2C13">
        <w:rPr>
          <w:noProof/>
        </w:rPr>
        <w:fldChar w:fldCharType="end"/>
      </w:r>
      <w:r>
        <w:t xml:space="preserve"> :</w:t>
      </w:r>
      <w:r w:rsidR="009857EC">
        <w:t xml:space="preserve"> </w:t>
      </w:r>
      <w:r w:rsidR="009857EC" w:rsidRPr="005E2AB7">
        <w:t xml:space="preserve">Partial dependence plots for rainfall variables showing the relationship of the selected variable and model response, while holding the remaining variables at their average. For the binary gridpixel and slopeunit models the model outcome is expressed </w:t>
      </w:r>
      <w:r w:rsidR="009857EC" w:rsidRPr="00B63D01">
        <w:t xml:space="preserve">at the response scale (probability), for the log gaussian slopeunit model the model results is represented as the planimetric landslide </w:t>
      </w:r>
      <w:r w:rsidR="009857EC">
        <w:t>area</w:t>
      </w:r>
      <w:r w:rsidR="009857EC" w:rsidRPr="00B63D01">
        <w:t xml:space="preserve"> per slope unit on the log scale.</w:t>
      </w:r>
    </w:p>
    <w:p w14:paraId="3FB53ADC" w14:textId="2B5D57A4" w:rsidR="009A312B" w:rsidRDefault="00E37B2B" w:rsidP="00A477BE">
      <w:pPr>
        <w:keepNext/>
      </w:pPr>
      <w:r>
        <w:t>We</w:t>
      </w:r>
      <w:r w:rsidR="00CB3815" w:rsidRPr="008200A7">
        <w:t xml:space="preserve"> used </w:t>
      </w:r>
      <w:r w:rsidR="00CB3815">
        <w:t xml:space="preserve">2D </w:t>
      </w:r>
      <w:r w:rsidR="00CB3815" w:rsidRPr="008200A7">
        <w:t xml:space="preserve">contour plots </w:t>
      </w:r>
      <w:r w:rsidR="00CB3815">
        <w:t>of the partial effects (</w:t>
      </w:r>
      <w:r w:rsidR="00F475E2">
        <w:fldChar w:fldCharType="begin"/>
      </w:r>
      <w:r w:rsidR="00F475E2">
        <w:instrText xml:space="preserve"> REF _Ref209104377 \h </w:instrText>
      </w:r>
      <w:r w:rsidR="00F475E2">
        <w:fldChar w:fldCharType="separate"/>
      </w:r>
      <w:r w:rsidR="002A2C13">
        <w:t>Figure S</w:t>
      </w:r>
      <w:r w:rsidR="002A2C13">
        <w:rPr>
          <w:noProof/>
        </w:rPr>
        <w:t>4</w:t>
      </w:r>
      <w:r w:rsidR="00F475E2">
        <w:fldChar w:fldCharType="end"/>
      </w:r>
      <w:r w:rsidR="002A1949">
        <w:t>S4,</w:t>
      </w:r>
      <w:r w:rsidR="00EF1648">
        <w:t xml:space="preserve"> </w:t>
      </w:r>
      <w:r w:rsidR="002A1949">
        <w:t>S5</w:t>
      </w:r>
      <w:r w:rsidR="00CB3815">
        <w:fldChar w:fldCharType="begin"/>
      </w:r>
      <w:r w:rsidR="00CB3815">
        <w:instrText xml:space="preserve"> REF _Ref198650355 \h </w:instrText>
      </w:r>
      <w:r w:rsidR="00CB3815">
        <w:fldChar w:fldCharType="separate"/>
      </w:r>
      <w:r w:rsidR="002A2C13" w:rsidRPr="004659C2">
        <w:t xml:space="preserve"> </w:t>
      </w:r>
      <w:r w:rsidR="00CB3815">
        <w:fldChar w:fldCharType="end"/>
      </w:r>
      <w:r w:rsidR="00CB3815">
        <w:t xml:space="preserve">) </w:t>
      </w:r>
      <w:r w:rsidR="00CB3815" w:rsidRPr="008200A7">
        <w:t xml:space="preserve">to visualise the combined effects of the triggering rainfall variables and the remaining </w:t>
      </w:r>
      <w:r w:rsidR="00CB3815">
        <w:t>continuous environmental</w:t>
      </w:r>
      <w:r w:rsidR="00CB3815" w:rsidRPr="008200A7">
        <w:t xml:space="preserve"> variables on the model outcome</w:t>
      </w:r>
      <w:r w:rsidR="00CB3815" w:rsidRPr="00E753F6">
        <w:t>.</w:t>
      </w:r>
      <w:r w:rsidR="00CB3815">
        <w:t xml:space="preserve"> Notably, we observe strong variations in the model outcome for the different variables for the same triggering rainfall amount. For example, c</w:t>
      </w:r>
      <w:r w:rsidR="00CB3815" w:rsidRPr="007561A7">
        <w:t>ombinations of extreme rainfall (&gt;300 mm/24h) and steep slopes (&gt;20°) yielded the highest landslide probabilities (&gt;0.9) in the binary slope-unit model, while flat areas exhibited near-zero probabilities.</w:t>
      </w:r>
      <w:r w:rsidR="00CB3815">
        <w:t xml:space="preserve"> </w:t>
      </w:r>
      <w:r w:rsidR="00CB3815" w:rsidRPr="00081EED">
        <w:t>Aspect exerted</w:t>
      </w:r>
      <w:r w:rsidR="00CB3815">
        <w:t xml:space="preserve"> much lower</w:t>
      </w:r>
      <w:r w:rsidR="00CB3815" w:rsidRPr="00081EED">
        <w:t xml:space="preserve"> influence compared to slope steepness.</w:t>
      </w:r>
    </w:p>
    <w:p w14:paraId="3688C6BA" w14:textId="77777777" w:rsidR="009A312B" w:rsidRDefault="009A312B">
      <w:r>
        <w:br w:type="page"/>
      </w:r>
    </w:p>
    <w:p w14:paraId="3D809E9E" w14:textId="49FE66A9" w:rsidR="00A477BE" w:rsidRDefault="00CF675F" w:rsidP="00A477BE">
      <w:pPr>
        <w:keepNext/>
      </w:pPr>
      <w:r>
        <w:rPr>
          <w:noProof/>
        </w:rPr>
        <w:lastRenderedPageBreak/>
        <w:drawing>
          <wp:inline distT="0" distB="0" distL="0" distR="0" wp14:anchorId="3DEA1A20" wp14:editId="567867E6">
            <wp:extent cx="5720715" cy="4257850"/>
            <wp:effectExtent l="0" t="0" r="1905" b="9525"/>
            <wp:docPr id="2099278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0715" cy="4257850"/>
                    </a:xfrm>
                    <a:prstGeom prst="rect">
                      <a:avLst/>
                    </a:prstGeom>
                    <a:noFill/>
                    <a:ln>
                      <a:noFill/>
                    </a:ln>
                  </pic:spPr>
                </pic:pic>
              </a:graphicData>
            </a:graphic>
          </wp:inline>
        </w:drawing>
      </w:r>
    </w:p>
    <w:p w14:paraId="0A51F449" w14:textId="2E490381" w:rsidR="00A477BE" w:rsidRDefault="00A477BE" w:rsidP="00EC3C50">
      <w:pPr>
        <w:pStyle w:val="Caption"/>
        <w:jc w:val="both"/>
      </w:pPr>
      <w:bookmarkStart w:id="1" w:name="_Ref209104377"/>
      <w:r>
        <w:t xml:space="preserve">Figure </w:t>
      </w:r>
      <w:r w:rsidR="009A312B">
        <w:t>S</w:t>
      </w:r>
      <w:r w:rsidR="002A2C13">
        <w:fldChar w:fldCharType="begin"/>
      </w:r>
      <w:r w:rsidR="002A2C13">
        <w:instrText xml:space="preserve"> SEQ Figure \* ARABIC </w:instrText>
      </w:r>
      <w:r w:rsidR="002A2C13">
        <w:fldChar w:fldCharType="separate"/>
      </w:r>
      <w:r w:rsidR="002A2C13">
        <w:rPr>
          <w:noProof/>
        </w:rPr>
        <w:t>4</w:t>
      </w:r>
      <w:r w:rsidR="002A2C13">
        <w:rPr>
          <w:noProof/>
        </w:rPr>
        <w:fldChar w:fldCharType="end"/>
      </w:r>
      <w:bookmarkEnd w:id="1"/>
      <w:r>
        <w:t>:</w:t>
      </w:r>
      <w:r w:rsidRPr="00A477BE">
        <w:t xml:space="preserve"> </w:t>
      </w:r>
      <w:r w:rsidRPr="005D1A39">
        <w:t>2D Partial dependence plots</w:t>
      </w:r>
      <w:r w:rsidR="00C0359C">
        <w:t xml:space="preserve"> for the binary slopeunit </w:t>
      </w:r>
      <w:r w:rsidR="00760070">
        <w:t xml:space="preserve">model </w:t>
      </w:r>
      <w:r w:rsidR="00760070" w:rsidRPr="005D1A39">
        <w:t>showing</w:t>
      </w:r>
      <w:r w:rsidRPr="005D1A39">
        <w:t xml:space="preserve"> the relationship of max 24h. </w:t>
      </w:r>
      <w:r w:rsidR="00F475E2">
        <w:t>e</w:t>
      </w:r>
      <w:r w:rsidRPr="005D1A39">
        <w:t xml:space="preserve">vent rainfall and selected variables on the model </w:t>
      </w:r>
      <w:r w:rsidR="009A312B" w:rsidRPr="005D1A39">
        <w:t>outcome</w:t>
      </w:r>
      <w:r w:rsidR="009A312B">
        <w:t xml:space="preserve"> </w:t>
      </w:r>
      <w:r w:rsidR="009A312B" w:rsidRPr="005D1A39">
        <w:t>while</w:t>
      </w:r>
      <w:r w:rsidRPr="005D1A39">
        <w:t xml:space="preserve"> holding the remaining variables at their average</w:t>
      </w:r>
      <w:r w:rsidR="00346F58">
        <w:t>. T</w:t>
      </w:r>
      <w:r w:rsidRPr="005D1A39">
        <w:t>he corresponding thresholds (TPR95, Optimal</w:t>
      </w:r>
      <w:r>
        <w:t xml:space="preserve">, </w:t>
      </w:r>
      <w:r w:rsidRPr="005D1A39">
        <w:t>TPR25</w:t>
      </w:r>
      <w:r>
        <w:t>)</w:t>
      </w:r>
      <w:r w:rsidR="00355635">
        <w:t xml:space="preserve"> are marked with dashed lines</w:t>
      </w:r>
      <w:r w:rsidRPr="005D1A39">
        <w:t>, b) the outcome of the log</w:t>
      </w:r>
      <w:r>
        <w:t>-</w:t>
      </w:r>
      <w:r w:rsidRPr="005D1A39">
        <w:t>gaussian slopeunit model</w:t>
      </w:r>
    </w:p>
    <w:p w14:paraId="23E66FE8" w14:textId="43D42AF4" w:rsidR="008748A1" w:rsidRDefault="008748A1" w:rsidP="004659C2">
      <w:r>
        <w:rPr>
          <w:noProof/>
        </w:rPr>
        <w:lastRenderedPageBreak/>
        <w:drawing>
          <wp:inline distT="0" distB="0" distL="0" distR="0" wp14:anchorId="4FFA394B" wp14:editId="4ABECB1C">
            <wp:extent cx="5730010" cy="4168093"/>
            <wp:effectExtent l="0" t="0" r="0" b="0"/>
            <wp:docPr id="1985667189" name="Picture 2" descr="A group of blue and green grad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67189" name="Picture 2" descr="A group of blue and green gradients&#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489"/>
                    <a:stretch/>
                  </pic:blipFill>
                  <pic:spPr bwMode="auto">
                    <a:xfrm>
                      <a:off x="0" y="0"/>
                      <a:ext cx="5730010" cy="4168093"/>
                    </a:xfrm>
                    <a:prstGeom prst="rect">
                      <a:avLst/>
                    </a:prstGeom>
                    <a:noFill/>
                    <a:ln>
                      <a:noFill/>
                    </a:ln>
                    <a:extLst>
                      <a:ext uri="{53640926-AAD7-44D8-BBD7-CCE9431645EC}">
                        <a14:shadowObscured xmlns:a14="http://schemas.microsoft.com/office/drawing/2010/main"/>
                      </a:ext>
                    </a:extLst>
                  </pic:spPr>
                </pic:pic>
              </a:graphicData>
            </a:graphic>
          </wp:inline>
        </w:drawing>
      </w:r>
    </w:p>
    <w:p w14:paraId="62FCFA40" w14:textId="108A1E3F" w:rsidR="00CB3815" w:rsidRPr="00CB3815" w:rsidRDefault="008748A1" w:rsidP="004659C2">
      <w:pPr>
        <w:pStyle w:val="Caption"/>
      </w:pPr>
      <w:bookmarkStart w:id="2" w:name="_Ref209104380"/>
      <w:r>
        <w:t xml:space="preserve">Figure </w:t>
      </w:r>
      <w:r w:rsidR="009A312B">
        <w:t>S</w:t>
      </w:r>
      <w:r w:rsidR="002A2C13">
        <w:fldChar w:fldCharType="begin"/>
      </w:r>
      <w:r w:rsidR="002A2C13">
        <w:instrText xml:space="preserve"> SEQ Figure \* ARABIC </w:instrText>
      </w:r>
      <w:r w:rsidR="002A2C13">
        <w:fldChar w:fldCharType="separate"/>
      </w:r>
      <w:r w:rsidR="002A2C13">
        <w:rPr>
          <w:noProof/>
        </w:rPr>
        <w:t>5</w:t>
      </w:r>
      <w:r w:rsidR="002A2C13">
        <w:rPr>
          <w:noProof/>
        </w:rPr>
        <w:fldChar w:fldCharType="end"/>
      </w:r>
      <w:bookmarkEnd w:id="2"/>
      <w:r>
        <w:t>:</w:t>
      </w:r>
      <w:bookmarkStart w:id="3" w:name="_Ref198650355"/>
      <w:r w:rsidR="004659C2" w:rsidRPr="004659C2">
        <w:t xml:space="preserve"> </w:t>
      </w:r>
      <w:bookmarkEnd w:id="3"/>
      <w:r w:rsidR="00355635" w:rsidRPr="005D1A39">
        <w:t>2D Partial dependence plots</w:t>
      </w:r>
      <w:r w:rsidR="00355635">
        <w:t xml:space="preserve"> for the</w:t>
      </w:r>
      <w:r w:rsidR="00760070" w:rsidRPr="005D1A39">
        <w:t xml:space="preserve"> log</w:t>
      </w:r>
      <w:r w:rsidR="00760070">
        <w:t>-</w:t>
      </w:r>
      <w:r w:rsidR="00760070" w:rsidRPr="005D1A39">
        <w:t>gaussian slopeunit model</w:t>
      </w:r>
      <w:r w:rsidR="00760070">
        <w:t xml:space="preserve"> </w:t>
      </w:r>
      <w:r w:rsidR="00355635" w:rsidRPr="005D1A39">
        <w:t xml:space="preserve">showing the relationship of max 24h. </w:t>
      </w:r>
      <w:r w:rsidR="00355635">
        <w:t>e</w:t>
      </w:r>
      <w:r w:rsidR="00355635" w:rsidRPr="005D1A39">
        <w:t>vent rainfall and selected variables on the model outcome while holding the remaining variables at their average</w:t>
      </w:r>
      <w:r w:rsidR="00355635">
        <w:t xml:space="preserve">. </w:t>
      </w:r>
    </w:p>
    <w:p w14:paraId="014C3DB7" w14:textId="77777777" w:rsidR="0019791C" w:rsidRDefault="0019791C">
      <w:pPr>
        <w:rPr>
          <w:rFonts w:asciiTheme="majorHAnsi" w:eastAsiaTheme="majorEastAsia" w:hAnsiTheme="majorHAnsi" w:cstheme="majorBidi"/>
          <w:color w:val="0F4761" w:themeColor="accent1" w:themeShade="BF"/>
          <w:sz w:val="40"/>
          <w:szCs w:val="40"/>
        </w:rPr>
      </w:pPr>
      <w:r>
        <w:br w:type="page"/>
      </w:r>
    </w:p>
    <w:p w14:paraId="50BB1B45" w14:textId="2FBE670E" w:rsidR="00165F95" w:rsidRDefault="00165F95" w:rsidP="00CE271E">
      <w:pPr>
        <w:pStyle w:val="Heading1"/>
      </w:pPr>
      <w:r w:rsidRPr="00CE271E">
        <w:rPr>
          <w:color w:val="auto"/>
          <w:sz w:val="36"/>
          <w:szCs w:val="36"/>
        </w:rPr>
        <w:lastRenderedPageBreak/>
        <w:t>Thresholding</w:t>
      </w:r>
    </w:p>
    <w:p w14:paraId="35121436" w14:textId="5F3BBEED" w:rsidR="00165F95" w:rsidRDefault="00165F95" w:rsidP="00165F95">
      <w:r>
        <w:t>We employ t</w:t>
      </w:r>
      <w:r w:rsidRPr="00C90DF9">
        <w:t>hree quantitative thresholds derived from Receiver Operating Characteristic (ROC)</w:t>
      </w:r>
      <w:r>
        <w:t xml:space="preserve"> </w:t>
      </w:r>
      <w:r w:rsidRPr="00C90DF9">
        <w:t xml:space="preserve">analysis </w:t>
      </w:r>
      <w:r>
        <w:t>as proposed by Steger et al</w:t>
      </w:r>
      <w:r w:rsidR="00A7009C">
        <w:t>.</w:t>
      </w:r>
      <w:r>
        <w:fldChar w:fldCharType="begin"/>
      </w:r>
      <w:r w:rsidR="009852DA">
        <w:instrText xml:space="preserve"> ADDIN ZOTERO_ITEM CSL_CITATION {"citationID":"WVCgtKiD","properties":{"formattedCitation":"\\super 10\\nosupersub{}","plainCitation":"10","noteIndex":0},"citationItems":[{"id":4819,"uris":["http://zotero.org/users/5595694/items/IU5DXE5L"],"itemData":{"id":4819,"type":"article-journal","container-title":"Geoscience Frontiers","DOI":"10.1016/j.gsf.2024.101822","issue":"5","note":"publisher: Elsevier","page":"101822","source":"Google Scholar","title":"Adopting the margin of stability for space–time landslide prediction–A data-driven approach for generating spatial dynamic thresholds","volume":"15","author":[{"family":"Steger","given":"Stefan"},{"family":"Moreno","given":"Mateo"},{"family":"Crespi","given":"Alice"},{"family":"Gariano","given":"Stefano Luigi"},{"family":"Brunetti","given":"Maria Teresa"},{"family":"Melillo","given":"Massimo"},{"family":"Peruccacci","given":"Silvia"},{"family":"Marra","given":"Francesco"},{"family":"Vugt","given":"Lotte","non-dropping-particle":"de"},{"family":"Zieher","given":"Thomas"}],"issued":{"date-parts":[["2024"]]}},"label":"page","suppress-author":true}],"schema":"https://github.com/citation-style-language/schema/raw/master/csl-citation.json"} </w:instrText>
      </w:r>
      <w:r>
        <w:fldChar w:fldCharType="separate"/>
      </w:r>
      <w:r w:rsidR="009852DA" w:rsidRPr="009852DA">
        <w:rPr>
          <w:rFonts w:ascii="Aptos" w:hAnsi="Aptos" w:cs="Times New Roman"/>
          <w:kern w:val="0"/>
          <w:vertAlign w:val="superscript"/>
        </w:rPr>
        <w:t>10</w:t>
      </w:r>
      <w:r>
        <w:fldChar w:fldCharType="end"/>
      </w:r>
      <w:r w:rsidRPr="00C90DF9">
        <w:t xml:space="preserve"> to visuali</w:t>
      </w:r>
      <w:r>
        <w:t>s</w:t>
      </w:r>
      <w:r w:rsidRPr="00C90DF9">
        <w:t xml:space="preserve">e </w:t>
      </w:r>
      <w:r>
        <w:t xml:space="preserve">the </w:t>
      </w:r>
      <w:r w:rsidRPr="00C90DF9">
        <w:t xml:space="preserve"> landslide predictions spatially</w:t>
      </w:r>
      <w:r w:rsidR="00EB7AAE">
        <w:t xml:space="preserve"> (Fig</w:t>
      </w:r>
      <w:r w:rsidR="004E4E4F">
        <w:t>.</w:t>
      </w:r>
      <w:r w:rsidR="00EB7AAE">
        <w:t xml:space="preserve"> S</w:t>
      </w:r>
      <w:r w:rsidR="007051D7">
        <w:t>6</w:t>
      </w:r>
      <w:r w:rsidR="00EB7AAE">
        <w:t>)</w:t>
      </w:r>
      <w:r w:rsidRPr="00C90DF9">
        <w:t xml:space="preserve">. These thresholds </w:t>
      </w:r>
      <w:r>
        <w:t>are based on</w:t>
      </w:r>
      <w:r w:rsidRPr="00C90DF9">
        <w:t xml:space="preserve"> true positive rates (TPR) and false positive rates (FPR): (1)</w:t>
      </w:r>
      <w:r>
        <w:t xml:space="preserve"> </w:t>
      </w:r>
      <w:r w:rsidRPr="006A4D35">
        <w:t>TPR95</w:t>
      </w:r>
      <w:r>
        <w:t xml:space="preserve"> </w:t>
      </w:r>
      <w:r w:rsidRPr="00C90DF9">
        <w:t>prioriti</w:t>
      </w:r>
      <w:r>
        <w:t>s</w:t>
      </w:r>
      <w:r w:rsidRPr="00C90DF9">
        <w:t>es capturing nearly all landslides but with higher false alarms; (2)</w:t>
      </w:r>
      <w:r>
        <w:t xml:space="preserve"> </w:t>
      </w:r>
      <w:r w:rsidRPr="006A4D35">
        <w:t>OPT</w:t>
      </w:r>
      <w:r w:rsidRPr="00C90DF9">
        <w:t xml:space="preserve">, determined via the Youden </w:t>
      </w:r>
      <w:r>
        <w:t>i</w:t>
      </w:r>
      <w:r w:rsidRPr="00C90DF9">
        <w:t>ndex</w:t>
      </w:r>
      <w:r>
        <w:fldChar w:fldCharType="begin"/>
      </w:r>
      <w:r w:rsidR="009852DA">
        <w:instrText xml:space="preserve"> ADDIN ZOTERO_ITEM CSL_CITATION {"citationID":"PBLaPrLu","properties":{"formattedCitation":"\\super 11\\nosupersub{}","plainCitation":"11","noteIndex":0},"citationItems":[{"id":5876,"uris":["http://zotero.org/users/5595694/items/R3CV736H"],"itemData":{"id":5876,"type":"article-journal","container-title":"Cancer","DOI":"10.1002/1097-0142(1950)3:1&lt;32::AID-CNCR2820030106&gt;3.0.CO;2-3","ISSN":"0008-543X, 1097-0142","issue":"1","journalAbbreviation":"Cancer","language":"en","license":"http://doi.wiley.com/10.1002/tdm_license_1.1","page":"32-35","source":"DOI.org (Crossref)","title":"Index for rating diagnostic tests","volume":"3","author":[{"family":"Youden","given":"W. J."}],"issued":{"date-parts":[["1950"]]}}}],"schema":"https://github.com/citation-style-language/schema/raw/master/csl-citation.json"} </w:instrText>
      </w:r>
      <w:r>
        <w:fldChar w:fldCharType="separate"/>
      </w:r>
      <w:r w:rsidR="009852DA" w:rsidRPr="009852DA">
        <w:rPr>
          <w:rFonts w:ascii="Aptos" w:hAnsi="Aptos" w:cs="Times New Roman"/>
          <w:kern w:val="0"/>
          <w:vertAlign w:val="superscript"/>
        </w:rPr>
        <w:t>11</w:t>
      </w:r>
      <w:r>
        <w:fldChar w:fldCharType="end"/>
      </w:r>
      <w:r w:rsidRPr="00C90DF9">
        <w:t>, optimi</w:t>
      </w:r>
      <w:r>
        <w:t>s</w:t>
      </w:r>
      <w:r w:rsidRPr="00C90DF9">
        <w:t xml:space="preserve">es the trade-off </w:t>
      </w:r>
      <w:r>
        <w:t xml:space="preserve">between TPR and FPR, </w:t>
      </w:r>
      <w:r w:rsidRPr="00C90DF9">
        <w:t>(3)</w:t>
      </w:r>
      <w:r>
        <w:t xml:space="preserve"> </w:t>
      </w:r>
      <w:r w:rsidRPr="006A4D35">
        <w:t>TPR25 minimi</w:t>
      </w:r>
      <w:r>
        <w:t>s</w:t>
      </w:r>
      <w:r w:rsidRPr="006A4D35">
        <w:t>es</w:t>
      </w:r>
      <w:r w:rsidRPr="00C90DF9">
        <w:t xml:space="preserve"> false alarms</w:t>
      </w:r>
      <w:r>
        <w:t xml:space="preserve"> rates (FAR)</w:t>
      </w:r>
      <w:r w:rsidRPr="00C90DF9">
        <w:t xml:space="preserve"> at the cost of reduced landslide detection. These thresholds are applied to probability-based predictions, generating classified maps that highlight areas exceeding critical landslide-triggering conditions. The spatiali</w:t>
      </w:r>
      <w:r>
        <w:t>s</w:t>
      </w:r>
      <w:r w:rsidRPr="00C90DF9">
        <w:t xml:space="preserve">ed thresholds enable intuitive interpretation of </w:t>
      </w:r>
      <w:r>
        <w:t>susceptibility</w:t>
      </w:r>
      <w:r w:rsidRPr="00C90DF9">
        <w:t xml:space="preserve"> levels</w:t>
      </w:r>
      <w:r>
        <w:t xml:space="preserve">. </w:t>
      </w:r>
    </w:p>
    <w:p w14:paraId="4960E625" w14:textId="6C985B54" w:rsidR="00563521" w:rsidRPr="00C455C4" w:rsidRDefault="00563521" w:rsidP="00563521">
      <w:r w:rsidRPr="003E57AA">
        <w:t xml:space="preserve">Quantitative thresholds </w:t>
      </w:r>
      <w:r>
        <w:t xml:space="preserve">based on the AUC curve </w:t>
      </w:r>
      <w:r w:rsidRPr="003E57AA">
        <w:t>were defined to categorize susceptibility levels</w:t>
      </w:r>
      <w:r>
        <w:t xml:space="preserve"> and allow us to spatially relate the amount of precipitation required to exceed a certain threshold. </w:t>
      </w:r>
      <w:r w:rsidRPr="003E57AA">
        <w:t xml:space="preserve"> </w:t>
      </w:r>
      <w:r>
        <w:t>In</w:t>
      </w:r>
      <w:r w:rsidR="0077280B">
        <w:t xml:space="preserve"> Figure S6 </w:t>
      </w:r>
      <w:r>
        <w:t xml:space="preserve">these </w:t>
      </w:r>
      <w:r w:rsidRPr="003E57AA">
        <w:t>thresholds</w:t>
      </w:r>
      <w:r>
        <w:t xml:space="preserve"> are visualised</w:t>
      </w:r>
      <w:r w:rsidRPr="003E57AA">
        <w:t xml:space="preserve"> based on true positive and false alarm rates: TPR95 (95.00% true positive rate</w:t>
      </w:r>
      <w:r>
        <w:t xml:space="preserve"> (TPR)</w:t>
      </w:r>
      <w:r w:rsidRPr="003E57AA">
        <w:t>, 39.30% false alarm rate</w:t>
      </w:r>
      <w:r>
        <w:t xml:space="preserve"> (FAR)</w:t>
      </w:r>
      <w:r w:rsidRPr="003E57AA">
        <w:t>, probability 0.27), Optimal (Youden Index: 8</w:t>
      </w:r>
      <w:r w:rsidR="00A24ADF">
        <w:t>4</w:t>
      </w:r>
      <w:r w:rsidRPr="003E57AA">
        <w:t xml:space="preserve">.20% TPR, </w:t>
      </w:r>
      <w:r w:rsidR="00A24ADF">
        <w:t>22.9</w:t>
      </w:r>
      <w:r w:rsidRPr="003E57AA">
        <w:t>.40% FAR, probability 0.</w:t>
      </w:r>
      <w:r w:rsidR="00A24ADF">
        <w:t>51</w:t>
      </w:r>
      <w:r w:rsidRPr="003E57AA">
        <w:t>), and TPR25 (25.00% TPR, 1.10% FAR, probability 0.91</w:t>
      </w:r>
      <w:r w:rsidRPr="00C455C4">
        <w:t>. Areas exceeding the TPR25 threshold experienced significantly higher rainfall (median of approximately 280 mm/24h) compared to areas below the TPR95 threshold (1</w:t>
      </w:r>
      <w:r>
        <w:t>4</w:t>
      </w:r>
      <w:r w:rsidRPr="00C455C4">
        <w:t xml:space="preserve">0 mm/24h). </w:t>
      </w:r>
      <w:r>
        <w:t>The spatial patterns of the different thresholds visualised in the zoomed in area of Fig</w:t>
      </w:r>
      <w:r w:rsidR="00F66788">
        <w:t>.S</w:t>
      </w:r>
      <w:r w:rsidR="00EF7244">
        <w:t>6</w:t>
      </w:r>
      <w:r>
        <w:t xml:space="preserve"> show the influence of the local terrain characteristics on the threshold distribution. Exceedance of the highest threshold (TPR 25) is mostly restricted to highly susceptible terrain, particularly steep slopes. </w:t>
      </w:r>
    </w:p>
    <w:p w14:paraId="7DFC0BE2" w14:textId="77777777" w:rsidR="00563521" w:rsidRDefault="00563521" w:rsidP="00165F95"/>
    <w:p w14:paraId="3E922736" w14:textId="77777777" w:rsidR="0019397C" w:rsidRDefault="00C86703" w:rsidP="002C3412">
      <w:pPr>
        <w:keepNext/>
        <w:ind w:left="-426"/>
      </w:pPr>
      <w:r>
        <w:rPr>
          <w:noProof/>
        </w:rPr>
        <w:lastRenderedPageBreak/>
        <w:drawing>
          <wp:inline distT="0" distB="0" distL="0" distR="0" wp14:anchorId="0CE31545" wp14:editId="3B15A4D3">
            <wp:extent cx="6003234" cy="7556870"/>
            <wp:effectExtent l="0" t="0" r="0" b="6350"/>
            <wp:docPr id="1075470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050917" cy="7616893"/>
                    </a:xfrm>
                    <a:prstGeom prst="rect">
                      <a:avLst/>
                    </a:prstGeom>
                    <a:noFill/>
                    <a:ln>
                      <a:noFill/>
                    </a:ln>
                    <a:extLst>
                      <a:ext uri="{53640926-AAD7-44D8-BBD7-CCE9431645EC}">
                        <a14:shadowObscured xmlns:a14="http://schemas.microsoft.com/office/drawing/2010/main"/>
                      </a:ext>
                    </a:extLst>
                  </pic:spPr>
                </pic:pic>
              </a:graphicData>
            </a:graphic>
          </wp:inline>
        </w:drawing>
      </w:r>
    </w:p>
    <w:p w14:paraId="2C303702" w14:textId="3CEAA7DC" w:rsidR="00165F95" w:rsidRDefault="0019397C" w:rsidP="002C3412">
      <w:pPr>
        <w:pStyle w:val="Caption"/>
        <w:jc w:val="both"/>
      </w:pPr>
      <w:bookmarkStart w:id="4" w:name="_Ref207802218"/>
      <w:r>
        <w:t xml:space="preserve">Figure </w:t>
      </w:r>
      <w:r w:rsidR="003719FF">
        <w:t>S</w:t>
      </w:r>
      <w:r w:rsidR="002A2C13">
        <w:fldChar w:fldCharType="begin"/>
      </w:r>
      <w:r w:rsidR="002A2C13">
        <w:instrText xml:space="preserve"> SEQ Figure \* ARABIC </w:instrText>
      </w:r>
      <w:r w:rsidR="002A2C13">
        <w:fldChar w:fldCharType="separate"/>
      </w:r>
      <w:r w:rsidR="002A2C13">
        <w:rPr>
          <w:noProof/>
        </w:rPr>
        <w:t>6</w:t>
      </w:r>
      <w:r w:rsidR="002A2C13">
        <w:rPr>
          <w:noProof/>
        </w:rPr>
        <w:fldChar w:fldCharType="end"/>
      </w:r>
      <w:bookmarkEnd w:id="4"/>
      <w:r w:rsidR="00F31D1A">
        <w:t xml:space="preserve">: </w:t>
      </w:r>
      <w:r w:rsidR="00F31D1A" w:rsidRPr="009E1FD8">
        <w:t>Quantitative thresholds based on the true positive and false negatives rates to visualise thresholds exceed</w:t>
      </w:r>
      <w:r w:rsidR="00F31D1A">
        <w:t>ance</w:t>
      </w:r>
      <w:r w:rsidR="00F31D1A" w:rsidRPr="009E1FD8">
        <w:t xml:space="preserve"> for Cyclone Gabrielle rainfall. The TPR95 threshold relates to a very high number of true positive values (95% exceed this thresholds) </w:t>
      </w:r>
      <w:r w:rsidR="00F31D1A" w:rsidRPr="006301C2">
        <w:t>but also includes a high number of false positives. The optimal threshold (Youden index) gives an optimal balance between true positive and false negatives (maximises the sum of specificity and sensitivity). The TPR25 is characterised by a low true positive rate (75 % of all landslides have lower probability) and relates to a high probability score and a very low false alarm rate</w:t>
      </w:r>
      <w:r w:rsidR="00F31D1A">
        <w:t>.</w:t>
      </w:r>
    </w:p>
    <w:p w14:paraId="593BAC19" w14:textId="77777777" w:rsidR="00295AE5" w:rsidRDefault="00295AE5" w:rsidP="00295AE5">
      <w:pPr>
        <w:pStyle w:val="Heading1"/>
        <w:rPr>
          <w:color w:val="auto"/>
          <w:sz w:val="36"/>
          <w:szCs w:val="36"/>
        </w:rPr>
      </w:pPr>
      <w:r w:rsidRPr="00295AE5">
        <w:rPr>
          <w:color w:val="auto"/>
          <w:sz w:val="36"/>
          <w:szCs w:val="36"/>
        </w:rPr>
        <w:lastRenderedPageBreak/>
        <w:t>Landslide storylines for +2.0°C design storms</w:t>
      </w:r>
    </w:p>
    <w:p w14:paraId="138032C9" w14:textId="0128AC1A" w:rsidR="001D294C" w:rsidRPr="001D294C" w:rsidRDefault="00832CE4" w:rsidP="001D294C">
      <w:r>
        <w:t>We use descending c</w:t>
      </w:r>
      <w:r w:rsidR="0032759D" w:rsidRPr="000D734F">
        <w:t>umulative frequency distributions</w:t>
      </w:r>
      <w:r w:rsidR="0032759D">
        <w:t xml:space="preserve"> plots </w:t>
      </w:r>
      <w:r w:rsidR="0032759D" w:rsidRPr="000D734F">
        <w:t>(</w:t>
      </w:r>
      <w:r w:rsidR="0032759D">
        <w:t>Fig</w:t>
      </w:r>
      <w:r w:rsidR="00456D88">
        <w:t>.</w:t>
      </w:r>
      <w:r w:rsidR="0032759D">
        <w:t xml:space="preserve"> S</w:t>
      </w:r>
      <w:r w:rsidR="00EF7244">
        <w:t>7</w:t>
      </w:r>
      <w:r w:rsidR="0032759D" w:rsidRPr="000D734F">
        <w:t xml:space="preserve">) </w:t>
      </w:r>
      <w:r w:rsidR="002D3B2B">
        <w:t xml:space="preserve">to </w:t>
      </w:r>
      <w:r w:rsidR="0032759D">
        <w:t xml:space="preserve">show </w:t>
      </w:r>
      <w:r w:rsidR="00A7009C">
        <w:t>the increase</w:t>
      </w:r>
      <w:r w:rsidR="0032759D">
        <w:t xml:space="preserve"> in higher rainfall intensity over the study area</w:t>
      </w:r>
      <w:r w:rsidR="0032759D" w:rsidRPr="000D734F">
        <w:t xml:space="preserve"> under +</w:t>
      </w:r>
      <w:r w:rsidR="0032759D">
        <w:t>2</w:t>
      </w:r>
      <w:r w:rsidR="0032759D" w:rsidRPr="000D734F">
        <w:t xml:space="preserve">.0°C </w:t>
      </w:r>
      <w:r w:rsidR="00D101C2">
        <w:t>design storms</w:t>
      </w:r>
      <w:r w:rsidR="0032759D" w:rsidRPr="000D734F">
        <w:t xml:space="preserve"> (deterministic and ensemble</w:t>
      </w:r>
      <w:r w:rsidR="0032759D">
        <w:t xml:space="preserve"> mean</w:t>
      </w:r>
      <w:r w:rsidR="0032759D" w:rsidRPr="000D734F">
        <w:t>), expanding the spatial extent exceeding susceptibility and density thresholds.</w:t>
      </w:r>
    </w:p>
    <w:p w14:paraId="371A6F5D" w14:textId="77777777" w:rsidR="00EE2119" w:rsidRDefault="00EE2119" w:rsidP="00EE2119"/>
    <w:p w14:paraId="284E2554" w14:textId="77777777" w:rsidR="00EE2119" w:rsidRDefault="00EE2119" w:rsidP="00E95DCD">
      <w:pPr>
        <w:keepNext/>
        <w:ind w:left="-284"/>
      </w:pPr>
      <w:r>
        <w:rPr>
          <w:noProof/>
        </w:rPr>
        <w:drawing>
          <wp:inline distT="0" distB="0" distL="0" distR="0" wp14:anchorId="2B877306" wp14:editId="502A3B4E">
            <wp:extent cx="6412675" cy="2559672"/>
            <wp:effectExtent l="0" t="0" r="7620" b="0"/>
            <wp:docPr id="2138968073" name="Picture 5"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8073" name="Picture 5" descr="A graph of a functi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4588" cy="2584385"/>
                    </a:xfrm>
                    <a:prstGeom prst="rect">
                      <a:avLst/>
                    </a:prstGeom>
                    <a:noFill/>
                    <a:ln>
                      <a:noFill/>
                    </a:ln>
                  </pic:spPr>
                </pic:pic>
              </a:graphicData>
            </a:graphic>
          </wp:inline>
        </w:drawing>
      </w:r>
    </w:p>
    <w:p w14:paraId="58FAE09B" w14:textId="3A18CD78" w:rsidR="00EE2119" w:rsidRDefault="00EE2119" w:rsidP="00EE2119">
      <w:pPr>
        <w:pStyle w:val="Caption"/>
      </w:pPr>
      <w:bookmarkStart w:id="5" w:name="_Ref198657812"/>
      <w:r>
        <w:t xml:space="preserve">Figure </w:t>
      </w:r>
      <w:r w:rsidR="003719FF">
        <w:t>S</w:t>
      </w:r>
      <w:r w:rsidRPr="00BD75CB">
        <w:rPr>
          <w:i w:val="0"/>
          <w:iCs w:val="0"/>
        </w:rPr>
        <w:fldChar w:fldCharType="begin"/>
      </w:r>
      <w:r>
        <w:instrText xml:space="preserve"> SEQ Figure \* ARABIC </w:instrText>
      </w:r>
      <w:r w:rsidRPr="00BD75CB">
        <w:rPr>
          <w:i w:val="0"/>
          <w:iCs w:val="0"/>
        </w:rPr>
        <w:fldChar w:fldCharType="separate"/>
      </w:r>
      <w:r w:rsidR="002A2C13">
        <w:rPr>
          <w:noProof/>
        </w:rPr>
        <w:t>7</w:t>
      </w:r>
      <w:r w:rsidRPr="00BD75CB">
        <w:rPr>
          <w:i w:val="0"/>
          <w:iCs w:val="0"/>
        </w:rPr>
        <w:fldChar w:fldCharType="end"/>
      </w:r>
      <w:bookmarkEnd w:id="5"/>
      <w:r>
        <w:t>:</w:t>
      </w:r>
      <w:r w:rsidR="009157F8">
        <w:t xml:space="preserve"> </w:t>
      </w:r>
      <w:r w:rsidRPr="001C1AB4">
        <w:t xml:space="preserve">Descending cumulative frequency plots </w:t>
      </w:r>
      <w:r>
        <w:t>showing the percentage of the study area exceeding values at a given threshold for a)</w:t>
      </w:r>
      <w:r w:rsidRPr="001C1AB4">
        <w:t xml:space="preserve"> rainfall distribution b) susceptibility and c) landslide densities. Dashed lines locate the threshold at the 95% and 80% percentile for the corresponding target variable.</w:t>
      </w:r>
    </w:p>
    <w:p w14:paraId="78071541" w14:textId="4A32CFDB" w:rsidR="006C4ABA" w:rsidRPr="006C4ABA" w:rsidRDefault="000E13D8" w:rsidP="000E13D8">
      <w:pPr>
        <w:pStyle w:val="Heading1"/>
      </w:pPr>
      <w:r w:rsidRPr="000E13D8">
        <w:rPr>
          <w:color w:val="auto"/>
          <w:sz w:val="36"/>
          <w:szCs w:val="36"/>
        </w:rPr>
        <w:t>References</w:t>
      </w:r>
    </w:p>
    <w:p w14:paraId="07C02656" w14:textId="77777777" w:rsidR="00A7009C" w:rsidRPr="00A7009C" w:rsidRDefault="006C4ABA" w:rsidP="00A7009C">
      <w:pPr>
        <w:pStyle w:val="Bibliography"/>
        <w:rPr>
          <w:rFonts w:ascii="Aptos" w:hAnsi="Aptos"/>
        </w:rPr>
      </w:pPr>
      <w:r>
        <w:fldChar w:fldCharType="begin"/>
      </w:r>
      <w:r w:rsidR="009852DA">
        <w:instrText xml:space="preserve"> ADDIN ZOTERO_BIBL {"uncited":[],"omitted":[],"custom":[]} CSL_BIBLIOGRAPHY </w:instrText>
      </w:r>
      <w:r>
        <w:fldChar w:fldCharType="separate"/>
      </w:r>
      <w:r w:rsidR="00A7009C" w:rsidRPr="00A7009C">
        <w:rPr>
          <w:rFonts w:ascii="Aptos" w:hAnsi="Aptos"/>
        </w:rPr>
        <w:t>1.</w:t>
      </w:r>
      <w:r w:rsidR="00A7009C" w:rsidRPr="00A7009C">
        <w:rPr>
          <w:rFonts w:ascii="Aptos" w:hAnsi="Aptos"/>
        </w:rPr>
        <w:tab/>
        <w:t xml:space="preserve">Steger, S. </w:t>
      </w:r>
      <w:r w:rsidR="00A7009C" w:rsidRPr="00A7009C">
        <w:rPr>
          <w:rFonts w:ascii="Aptos" w:hAnsi="Aptos"/>
          <w:i/>
          <w:iCs/>
        </w:rPr>
        <w:t>et al.</w:t>
      </w:r>
      <w:r w:rsidR="00A7009C" w:rsidRPr="00A7009C">
        <w:rPr>
          <w:rFonts w:ascii="Aptos" w:hAnsi="Aptos"/>
        </w:rPr>
        <w:t xml:space="preserve"> Correlation does not imply geomorphic causation in data-driven landslide susceptibility modelling–Benefits of exploring landslide data collection effects. </w:t>
      </w:r>
      <w:r w:rsidR="00A7009C" w:rsidRPr="00A7009C">
        <w:rPr>
          <w:rFonts w:ascii="Aptos" w:hAnsi="Aptos"/>
          <w:i/>
          <w:iCs/>
        </w:rPr>
        <w:t>Sci. Total Environ.</w:t>
      </w:r>
      <w:r w:rsidR="00A7009C" w:rsidRPr="00A7009C">
        <w:rPr>
          <w:rFonts w:ascii="Aptos" w:hAnsi="Aptos"/>
        </w:rPr>
        <w:t xml:space="preserve"> </w:t>
      </w:r>
      <w:r w:rsidR="00A7009C" w:rsidRPr="00A7009C">
        <w:rPr>
          <w:rFonts w:ascii="Aptos" w:hAnsi="Aptos"/>
          <w:b/>
          <w:bCs/>
        </w:rPr>
        <w:t>776</w:t>
      </w:r>
      <w:r w:rsidR="00A7009C" w:rsidRPr="00A7009C">
        <w:rPr>
          <w:rFonts w:ascii="Aptos" w:hAnsi="Aptos"/>
        </w:rPr>
        <w:t>, 145935 (2021).</w:t>
      </w:r>
    </w:p>
    <w:p w14:paraId="718B5907" w14:textId="77777777" w:rsidR="00A7009C" w:rsidRPr="00A7009C" w:rsidRDefault="00A7009C" w:rsidP="00A7009C">
      <w:pPr>
        <w:pStyle w:val="Bibliography"/>
        <w:rPr>
          <w:rFonts w:ascii="Aptos" w:hAnsi="Aptos"/>
        </w:rPr>
      </w:pPr>
      <w:r w:rsidRPr="00A7009C">
        <w:rPr>
          <w:rFonts w:ascii="Aptos" w:hAnsi="Aptos"/>
        </w:rPr>
        <w:t>2.</w:t>
      </w:r>
      <w:r w:rsidRPr="00A7009C">
        <w:rPr>
          <w:rFonts w:ascii="Aptos" w:hAnsi="Aptos"/>
        </w:rPr>
        <w:tab/>
        <w:t xml:space="preserve">Steger, S. &amp; Glade, T. The Challenge of “Trivial Areas” in Statistical Landslide Susceptibility Modelling. in </w:t>
      </w:r>
      <w:r w:rsidRPr="00A7009C">
        <w:rPr>
          <w:rFonts w:ascii="Aptos" w:hAnsi="Aptos"/>
          <w:i/>
          <w:iCs/>
        </w:rPr>
        <w:t>Advancing Culture of Living with Landslides</w:t>
      </w:r>
      <w:r w:rsidRPr="00A7009C">
        <w:rPr>
          <w:rFonts w:ascii="Aptos" w:hAnsi="Aptos"/>
        </w:rPr>
        <w:t xml:space="preserve"> (eds Mikos, M., Tiwari, B., Yin, Y. &amp; Sassa, K.) 803–808 (Springer International Publishing, Cham, 2017). doi:10.1007/978-3-319-53498-5_92.</w:t>
      </w:r>
    </w:p>
    <w:p w14:paraId="09E34CB2" w14:textId="77777777" w:rsidR="00A7009C" w:rsidRPr="00A7009C" w:rsidRDefault="00A7009C" w:rsidP="00A7009C">
      <w:pPr>
        <w:pStyle w:val="Bibliography"/>
        <w:rPr>
          <w:rFonts w:ascii="Aptos" w:hAnsi="Aptos"/>
        </w:rPr>
      </w:pPr>
      <w:r w:rsidRPr="00A7009C">
        <w:rPr>
          <w:rFonts w:ascii="Aptos" w:hAnsi="Aptos"/>
        </w:rPr>
        <w:t>3.</w:t>
      </w:r>
      <w:r w:rsidRPr="00A7009C">
        <w:rPr>
          <w:rFonts w:ascii="Aptos" w:hAnsi="Aptos"/>
        </w:rPr>
        <w:tab/>
        <w:t xml:space="preserve">Ba, Q., Chen, Y., Deng, S., Yang, J. &amp; Li, H. A comparison of slope units and grid cells as mapping units for landslide susceptibility assessment. </w:t>
      </w:r>
      <w:r w:rsidRPr="00A7009C">
        <w:rPr>
          <w:rFonts w:ascii="Aptos" w:hAnsi="Aptos"/>
          <w:i/>
          <w:iCs/>
        </w:rPr>
        <w:t>Earth Sci. Inform.</w:t>
      </w:r>
      <w:r w:rsidRPr="00A7009C">
        <w:rPr>
          <w:rFonts w:ascii="Aptos" w:hAnsi="Aptos"/>
        </w:rPr>
        <w:t xml:space="preserve"> </w:t>
      </w:r>
      <w:r w:rsidRPr="00A7009C">
        <w:rPr>
          <w:rFonts w:ascii="Aptos" w:hAnsi="Aptos"/>
          <w:b/>
          <w:bCs/>
        </w:rPr>
        <w:t>11</w:t>
      </w:r>
      <w:r w:rsidRPr="00A7009C">
        <w:rPr>
          <w:rFonts w:ascii="Aptos" w:hAnsi="Aptos"/>
        </w:rPr>
        <w:t>, 373–388 (2018).</w:t>
      </w:r>
    </w:p>
    <w:p w14:paraId="7001F28C" w14:textId="77777777" w:rsidR="00A7009C" w:rsidRPr="00A7009C" w:rsidRDefault="00A7009C" w:rsidP="00A7009C">
      <w:pPr>
        <w:pStyle w:val="Bibliography"/>
        <w:rPr>
          <w:rFonts w:ascii="Aptos" w:hAnsi="Aptos"/>
        </w:rPr>
      </w:pPr>
      <w:r w:rsidRPr="00A7009C">
        <w:rPr>
          <w:rFonts w:ascii="Aptos" w:hAnsi="Aptos"/>
        </w:rPr>
        <w:lastRenderedPageBreak/>
        <w:t>4.</w:t>
      </w:r>
      <w:r w:rsidRPr="00A7009C">
        <w:rPr>
          <w:rFonts w:ascii="Aptos" w:hAnsi="Aptos"/>
        </w:rPr>
        <w:tab/>
        <w:t xml:space="preserve">Alvioli, M. </w:t>
      </w:r>
      <w:r w:rsidRPr="00A7009C">
        <w:rPr>
          <w:rFonts w:ascii="Aptos" w:hAnsi="Aptos"/>
          <w:i/>
          <w:iCs/>
        </w:rPr>
        <w:t>et al.</w:t>
      </w:r>
      <w:r w:rsidRPr="00A7009C">
        <w:rPr>
          <w:rFonts w:ascii="Aptos" w:hAnsi="Aptos"/>
        </w:rPr>
        <w:t xml:space="preserve"> Automatic delineation of geomorphological slope units with r.slopeunits v1.0 and their optimization for landslide susceptibility modeling. </w:t>
      </w:r>
      <w:r w:rsidRPr="00A7009C">
        <w:rPr>
          <w:rFonts w:ascii="Aptos" w:hAnsi="Aptos"/>
          <w:i/>
          <w:iCs/>
        </w:rPr>
        <w:t>Geosci. Model Dev.</w:t>
      </w:r>
      <w:r w:rsidRPr="00A7009C">
        <w:rPr>
          <w:rFonts w:ascii="Aptos" w:hAnsi="Aptos"/>
        </w:rPr>
        <w:t xml:space="preserve"> </w:t>
      </w:r>
      <w:r w:rsidRPr="00A7009C">
        <w:rPr>
          <w:rFonts w:ascii="Aptos" w:hAnsi="Aptos"/>
          <w:b/>
          <w:bCs/>
        </w:rPr>
        <w:t>9</w:t>
      </w:r>
      <w:r w:rsidRPr="00A7009C">
        <w:rPr>
          <w:rFonts w:ascii="Aptos" w:hAnsi="Aptos"/>
        </w:rPr>
        <w:t>, 3975–3991 (2016).</w:t>
      </w:r>
    </w:p>
    <w:p w14:paraId="15C2D34E" w14:textId="77777777" w:rsidR="00A7009C" w:rsidRPr="00A7009C" w:rsidRDefault="00A7009C" w:rsidP="00A7009C">
      <w:pPr>
        <w:pStyle w:val="Bibliography"/>
        <w:rPr>
          <w:rFonts w:ascii="Aptos" w:hAnsi="Aptos"/>
        </w:rPr>
      </w:pPr>
      <w:r w:rsidRPr="00A7009C">
        <w:rPr>
          <w:rFonts w:ascii="Aptos" w:hAnsi="Aptos"/>
        </w:rPr>
        <w:t>5.</w:t>
      </w:r>
      <w:r w:rsidRPr="00A7009C">
        <w:rPr>
          <w:rFonts w:ascii="Aptos" w:hAnsi="Aptos"/>
        </w:rPr>
        <w:tab/>
        <w:t xml:space="preserve">Akaike, H. A new look at the statistical model identification. </w:t>
      </w:r>
      <w:r w:rsidRPr="00A7009C">
        <w:rPr>
          <w:rFonts w:ascii="Aptos" w:hAnsi="Aptos"/>
          <w:i/>
          <w:iCs/>
        </w:rPr>
        <w:t>IEEE Trans. Autom. Control</w:t>
      </w:r>
      <w:r w:rsidRPr="00A7009C">
        <w:rPr>
          <w:rFonts w:ascii="Aptos" w:hAnsi="Aptos"/>
        </w:rPr>
        <w:t xml:space="preserve"> </w:t>
      </w:r>
      <w:r w:rsidRPr="00A7009C">
        <w:rPr>
          <w:rFonts w:ascii="Aptos" w:hAnsi="Aptos"/>
          <w:b/>
          <w:bCs/>
        </w:rPr>
        <w:t>19</w:t>
      </w:r>
      <w:r w:rsidRPr="00A7009C">
        <w:rPr>
          <w:rFonts w:ascii="Aptos" w:hAnsi="Aptos"/>
        </w:rPr>
        <w:t>, 716–723 (2003).</w:t>
      </w:r>
    </w:p>
    <w:p w14:paraId="6E312748" w14:textId="77777777" w:rsidR="00A7009C" w:rsidRPr="00A7009C" w:rsidRDefault="00A7009C" w:rsidP="00A7009C">
      <w:pPr>
        <w:pStyle w:val="Bibliography"/>
        <w:rPr>
          <w:rFonts w:ascii="Aptos" w:hAnsi="Aptos"/>
        </w:rPr>
      </w:pPr>
      <w:r w:rsidRPr="00A7009C">
        <w:rPr>
          <w:rFonts w:ascii="Aptos" w:hAnsi="Aptos"/>
        </w:rPr>
        <w:t>6.</w:t>
      </w:r>
      <w:r w:rsidRPr="00A7009C">
        <w:rPr>
          <w:rFonts w:ascii="Aptos" w:hAnsi="Aptos"/>
        </w:rPr>
        <w:tab/>
        <w:t xml:space="preserve">Marra, G. &amp; Wood, S. N. Practical variable selection for generalized additive models. </w:t>
      </w:r>
      <w:r w:rsidRPr="00A7009C">
        <w:rPr>
          <w:rFonts w:ascii="Aptos" w:hAnsi="Aptos"/>
          <w:i/>
          <w:iCs/>
        </w:rPr>
        <w:t>Comput. Stat. Data Anal.</w:t>
      </w:r>
      <w:r w:rsidRPr="00A7009C">
        <w:rPr>
          <w:rFonts w:ascii="Aptos" w:hAnsi="Aptos"/>
        </w:rPr>
        <w:t xml:space="preserve"> </w:t>
      </w:r>
      <w:r w:rsidRPr="00A7009C">
        <w:rPr>
          <w:rFonts w:ascii="Aptos" w:hAnsi="Aptos"/>
          <w:b/>
          <w:bCs/>
        </w:rPr>
        <w:t>55</w:t>
      </w:r>
      <w:r w:rsidRPr="00A7009C">
        <w:rPr>
          <w:rFonts w:ascii="Aptos" w:hAnsi="Aptos"/>
        </w:rPr>
        <w:t>, 2372–2387 (2011).</w:t>
      </w:r>
    </w:p>
    <w:p w14:paraId="6EBCEE17" w14:textId="77777777" w:rsidR="00A7009C" w:rsidRPr="00A7009C" w:rsidRDefault="00A7009C" w:rsidP="00A7009C">
      <w:pPr>
        <w:pStyle w:val="Bibliography"/>
        <w:rPr>
          <w:rFonts w:ascii="Aptos" w:hAnsi="Aptos"/>
        </w:rPr>
      </w:pPr>
      <w:r w:rsidRPr="00A7009C">
        <w:rPr>
          <w:rFonts w:ascii="Aptos" w:hAnsi="Aptos"/>
        </w:rPr>
        <w:t>7.</w:t>
      </w:r>
      <w:r w:rsidRPr="00A7009C">
        <w:rPr>
          <w:rFonts w:ascii="Aptos" w:hAnsi="Aptos"/>
        </w:rPr>
        <w:tab/>
        <w:t xml:space="preserve">Goetz, J., Brenning, A., Marcer, M. &amp; Bodin, X. Modeling the precision of structure-from-motion multi-view stereo digital elevation models from repeated close-range aerial surveys. </w:t>
      </w:r>
      <w:r w:rsidRPr="00A7009C">
        <w:rPr>
          <w:rFonts w:ascii="Aptos" w:hAnsi="Aptos"/>
          <w:i/>
          <w:iCs/>
        </w:rPr>
        <w:t>Remote Sens. Environ.</w:t>
      </w:r>
      <w:r w:rsidRPr="00A7009C">
        <w:rPr>
          <w:rFonts w:ascii="Aptos" w:hAnsi="Aptos"/>
        </w:rPr>
        <w:t xml:space="preserve"> </w:t>
      </w:r>
      <w:r w:rsidRPr="00A7009C">
        <w:rPr>
          <w:rFonts w:ascii="Aptos" w:hAnsi="Aptos"/>
          <w:b/>
          <w:bCs/>
        </w:rPr>
        <w:t>210</w:t>
      </w:r>
      <w:r w:rsidRPr="00A7009C">
        <w:rPr>
          <w:rFonts w:ascii="Aptos" w:hAnsi="Aptos"/>
        </w:rPr>
        <w:t>, 208–216 (2018).</w:t>
      </w:r>
    </w:p>
    <w:p w14:paraId="6106C8C9" w14:textId="77777777" w:rsidR="00A7009C" w:rsidRPr="00A7009C" w:rsidRDefault="00A7009C" w:rsidP="00A7009C">
      <w:pPr>
        <w:pStyle w:val="Bibliography"/>
        <w:rPr>
          <w:rFonts w:ascii="Aptos" w:hAnsi="Aptos"/>
        </w:rPr>
      </w:pPr>
      <w:r w:rsidRPr="00A7009C">
        <w:rPr>
          <w:rFonts w:ascii="Aptos" w:hAnsi="Aptos"/>
        </w:rPr>
        <w:t>8.</w:t>
      </w:r>
      <w:r w:rsidRPr="00A7009C">
        <w:rPr>
          <w:rFonts w:ascii="Aptos" w:hAnsi="Aptos"/>
        </w:rPr>
        <w:tab/>
        <w:t xml:space="preserve">Knevels, R. </w:t>
      </w:r>
      <w:r w:rsidRPr="00A7009C">
        <w:rPr>
          <w:rFonts w:ascii="Aptos" w:hAnsi="Aptos"/>
          <w:i/>
          <w:iCs/>
        </w:rPr>
        <w:t>et al.</w:t>
      </w:r>
      <w:r w:rsidRPr="00A7009C">
        <w:rPr>
          <w:rFonts w:ascii="Aptos" w:hAnsi="Aptos"/>
        </w:rPr>
        <w:t xml:space="preserve"> Event-based landslide modeling in the Styrian Basin, Austria: accounting for time-varying rainfall and land cover. </w:t>
      </w:r>
      <w:r w:rsidRPr="00A7009C">
        <w:rPr>
          <w:rFonts w:ascii="Aptos" w:hAnsi="Aptos"/>
          <w:i/>
          <w:iCs/>
        </w:rPr>
        <w:t>Geosciences</w:t>
      </w:r>
      <w:r w:rsidRPr="00A7009C">
        <w:rPr>
          <w:rFonts w:ascii="Aptos" w:hAnsi="Aptos"/>
        </w:rPr>
        <w:t xml:space="preserve"> </w:t>
      </w:r>
      <w:r w:rsidRPr="00A7009C">
        <w:rPr>
          <w:rFonts w:ascii="Aptos" w:hAnsi="Aptos"/>
          <w:b/>
          <w:bCs/>
        </w:rPr>
        <w:t>10</w:t>
      </w:r>
      <w:r w:rsidRPr="00A7009C">
        <w:rPr>
          <w:rFonts w:ascii="Aptos" w:hAnsi="Aptos"/>
        </w:rPr>
        <w:t>, 217 (2020).</w:t>
      </w:r>
    </w:p>
    <w:p w14:paraId="5C51BE87" w14:textId="77777777" w:rsidR="00A7009C" w:rsidRPr="00A7009C" w:rsidRDefault="00A7009C" w:rsidP="00A7009C">
      <w:pPr>
        <w:pStyle w:val="Bibliography"/>
        <w:rPr>
          <w:rFonts w:ascii="Aptos" w:hAnsi="Aptos"/>
        </w:rPr>
      </w:pPr>
      <w:r w:rsidRPr="00A7009C">
        <w:rPr>
          <w:rFonts w:ascii="Aptos" w:hAnsi="Aptos"/>
        </w:rPr>
        <w:t>9.</w:t>
      </w:r>
      <w:r w:rsidRPr="00A7009C">
        <w:rPr>
          <w:rFonts w:ascii="Aptos" w:hAnsi="Aptos"/>
        </w:rPr>
        <w:tab/>
        <w:t xml:space="preserve">Brenning, A. Improved spatial analysis and prediction of landslide susceptibility: Practical recommendations. </w:t>
      </w:r>
      <w:r w:rsidRPr="00A7009C">
        <w:rPr>
          <w:rFonts w:ascii="Aptos" w:hAnsi="Aptos"/>
          <w:i/>
          <w:iCs/>
        </w:rPr>
        <w:t>Landslides Eng. Slopes Prot. Soc. Improv. Underst. Ed. Eberhardt E Froese C Turn. AK Leroueil Taylor Francis Banff Alta. Can.</w:t>
      </w:r>
      <w:r w:rsidRPr="00A7009C">
        <w:rPr>
          <w:rFonts w:ascii="Aptos" w:hAnsi="Aptos"/>
        </w:rPr>
        <w:t xml:space="preserve"> 789–795 (2012).</w:t>
      </w:r>
    </w:p>
    <w:p w14:paraId="47073661" w14:textId="77777777" w:rsidR="00A7009C" w:rsidRPr="00A7009C" w:rsidRDefault="00A7009C" w:rsidP="00A7009C">
      <w:pPr>
        <w:pStyle w:val="Bibliography"/>
        <w:rPr>
          <w:rFonts w:ascii="Aptos" w:hAnsi="Aptos"/>
        </w:rPr>
      </w:pPr>
      <w:r w:rsidRPr="00A7009C">
        <w:rPr>
          <w:rFonts w:ascii="Aptos" w:hAnsi="Aptos"/>
        </w:rPr>
        <w:t>10.</w:t>
      </w:r>
      <w:r w:rsidRPr="00A7009C">
        <w:rPr>
          <w:rFonts w:ascii="Aptos" w:hAnsi="Aptos"/>
        </w:rPr>
        <w:tab/>
        <w:t xml:space="preserve">Steger, S. </w:t>
      </w:r>
      <w:r w:rsidRPr="00A7009C">
        <w:rPr>
          <w:rFonts w:ascii="Aptos" w:hAnsi="Aptos"/>
          <w:i/>
          <w:iCs/>
        </w:rPr>
        <w:t>et al.</w:t>
      </w:r>
      <w:r w:rsidRPr="00A7009C">
        <w:rPr>
          <w:rFonts w:ascii="Aptos" w:hAnsi="Aptos"/>
        </w:rPr>
        <w:t xml:space="preserve"> Adopting the margin of stability for space–time landslide prediction–A data-driven approach for generating spatial dynamic thresholds. </w:t>
      </w:r>
      <w:r w:rsidRPr="00A7009C">
        <w:rPr>
          <w:rFonts w:ascii="Aptos" w:hAnsi="Aptos"/>
          <w:i/>
          <w:iCs/>
        </w:rPr>
        <w:t>Geosci. Front.</w:t>
      </w:r>
      <w:r w:rsidRPr="00A7009C">
        <w:rPr>
          <w:rFonts w:ascii="Aptos" w:hAnsi="Aptos"/>
        </w:rPr>
        <w:t xml:space="preserve"> </w:t>
      </w:r>
      <w:r w:rsidRPr="00A7009C">
        <w:rPr>
          <w:rFonts w:ascii="Aptos" w:hAnsi="Aptos"/>
          <w:b/>
          <w:bCs/>
        </w:rPr>
        <w:t>15</w:t>
      </w:r>
      <w:r w:rsidRPr="00A7009C">
        <w:rPr>
          <w:rFonts w:ascii="Aptos" w:hAnsi="Aptos"/>
        </w:rPr>
        <w:t>, 101822 (2024).</w:t>
      </w:r>
    </w:p>
    <w:p w14:paraId="7ABE124F" w14:textId="77777777" w:rsidR="00A7009C" w:rsidRPr="00A7009C" w:rsidRDefault="00A7009C" w:rsidP="00A7009C">
      <w:pPr>
        <w:pStyle w:val="Bibliography"/>
        <w:rPr>
          <w:rFonts w:ascii="Aptos" w:hAnsi="Aptos"/>
        </w:rPr>
      </w:pPr>
      <w:r w:rsidRPr="00A7009C">
        <w:rPr>
          <w:rFonts w:ascii="Aptos" w:hAnsi="Aptos"/>
        </w:rPr>
        <w:t>11.</w:t>
      </w:r>
      <w:r w:rsidRPr="00A7009C">
        <w:rPr>
          <w:rFonts w:ascii="Aptos" w:hAnsi="Aptos"/>
        </w:rPr>
        <w:tab/>
        <w:t xml:space="preserve">Youden, W. J. Index for rating diagnostic tests. </w:t>
      </w:r>
      <w:r w:rsidRPr="00A7009C">
        <w:rPr>
          <w:rFonts w:ascii="Aptos" w:hAnsi="Aptos"/>
          <w:i/>
          <w:iCs/>
        </w:rPr>
        <w:t>Cancer</w:t>
      </w:r>
      <w:r w:rsidRPr="00A7009C">
        <w:rPr>
          <w:rFonts w:ascii="Aptos" w:hAnsi="Aptos"/>
        </w:rPr>
        <w:t xml:space="preserve"> </w:t>
      </w:r>
      <w:r w:rsidRPr="00A7009C">
        <w:rPr>
          <w:rFonts w:ascii="Aptos" w:hAnsi="Aptos"/>
          <w:b/>
          <w:bCs/>
        </w:rPr>
        <w:t>3</w:t>
      </w:r>
      <w:r w:rsidRPr="00A7009C">
        <w:rPr>
          <w:rFonts w:ascii="Aptos" w:hAnsi="Aptos"/>
        </w:rPr>
        <w:t>, 32–35 (1950).</w:t>
      </w:r>
    </w:p>
    <w:p w14:paraId="06BD540D" w14:textId="40FE4C6E" w:rsidR="00EE2119" w:rsidRPr="00EE2119" w:rsidRDefault="006C4ABA" w:rsidP="00EE2119">
      <w:r>
        <w:fldChar w:fldCharType="end"/>
      </w:r>
    </w:p>
    <w:sectPr w:rsidR="00EE2119" w:rsidRPr="00EE2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A7EFA"/>
    <w:multiLevelType w:val="multilevel"/>
    <w:tmpl w:val="0A92F7C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C594405"/>
    <w:multiLevelType w:val="multilevel"/>
    <w:tmpl w:val="8FE491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9F3F45"/>
    <w:multiLevelType w:val="multilevel"/>
    <w:tmpl w:val="D47ADD1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316806">
    <w:abstractNumId w:val="2"/>
  </w:num>
  <w:num w:numId="2" w16cid:durableId="1590190490">
    <w:abstractNumId w:val="1"/>
  </w:num>
  <w:num w:numId="3" w16cid:durableId="74352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21"/>
    <w:rsid w:val="0001318D"/>
    <w:rsid w:val="00035070"/>
    <w:rsid w:val="000379CC"/>
    <w:rsid w:val="000E13D8"/>
    <w:rsid w:val="00100BF6"/>
    <w:rsid w:val="00106698"/>
    <w:rsid w:val="001134FC"/>
    <w:rsid w:val="00120987"/>
    <w:rsid w:val="0013671E"/>
    <w:rsid w:val="00143623"/>
    <w:rsid w:val="00165F95"/>
    <w:rsid w:val="001816FB"/>
    <w:rsid w:val="001938AF"/>
    <w:rsid w:val="0019397C"/>
    <w:rsid w:val="0019791C"/>
    <w:rsid w:val="001A141B"/>
    <w:rsid w:val="001A386D"/>
    <w:rsid w:val="001A3A24"/>
    <w:rsid w:val="001A52FF"/>
    <w:rsid w:val="001C36E8"/>
    <w:rsid w:val="001C7870"/>
    <w:rsid w:val="001D0E3B"/>
    <w:rsid w:val="001D294C"/>
    <w:rsid w:val="001E2FAD"/>
    <w:rsid w:val="001F0B7C"/>
    <w:rsid w:val="001F2686"/>
    <w:rsid w:val="00214354"/>
    <w:rsid w:val="00215116"/>
    <w:rsid w:val="0023715A"/>
    <w:rsid w:val="00251C89"/>
    <w:rsid w:val="00273F5F"/>
    <w:rsid w:val="00295AE5"/>
    <w:rsid w:val="002A1949"/>
    <w:rsid w:val="002A2C13"/>
    <w:rsid w:val="002A4959"/>
    <w:rsid w:val="002B7D09"/>
    <w:rsid w:val="002C3412"/>
    <w:rsid w:val="002D3B2B"/>
    <w:rsid w:val="0032759D"/>
    <w:rsid w:val="00346F58"/>
    <w:rsid w:val="00355635"/>
    <w:rsid w:val="0036514F"/>
    <w:rsid w:val="003719FF"/>
    <w:rsid w:val="0037485C"/>
    <w:rsid w:val="003777B3"/>
    <w:rsid w:val="00383192"/>
    <w:rsid w:val="003838F8"/>
    <w:rsid w:val="00396969"/>
    <w:rsid w:val="003A2548"/>
    <w:rsid w:val="003A2E07"/>
    <w:rsid w:val="003B0D9E"/>
    <w:rsid w:val="003C2BB7"/>
    <w:rsid w:val="003D67BE"/>
    <w:rsid w:val="003F1ED5"/>
    <w:rsid w:val="004052B5"/>
    <w:rsid w:val="0041343B"/>
    <w:rsid w:val="0042111B"/>
    <w:rsid w:val="00424290"/>
    <w:rsid w:val="00425735"/>
    <w:rsid w:val="00426DBB"/>
    <w:rsid w:val="00456D88"/>
    <w:rsid w:val="004659C2"/>
    <w:rsid w:val="0048016A"/>
    <w:rsid w:val="004819A6"/>
    <w:rsid w:val="004971E1"/>
    <w:rsid w:val="00497791"/>
    <w:rsid w:val="004D171D"/>
    <w:rsid w:val="004E249B"/>
    <w:rsid w:val="004E4248"/>
    <w:rsid w:val="004E4E4F"/>
    <w:rsid w:val="004E5D9E"/>
    <w:rsid w:val="005048C9"/>
    <w:rsid w:val="0051490F"/>
    <w:rsid w:val="00527D7E"/>
    <w:rsid w:val="00536B4A"/>
    <w:rsid w:val="00544D86"/>
    <w:rsid w:val="00547078"/>
    <w:rsid w:val="00563521"/>
    <w:rsid w:val="00565ABD"/>
    <w:rsid w:val="00570A0C"/>
    <w:rsid w:val="00586764"/>
    <w:rsid w:val="005D52A5"/>
    <w:rsid w:val="005D793C"/>
    <w:rsid w:val="005E2732"/>
    <w:rsid w:val="005E523A"/>
    <w:rsid w:val="005F6D72"/>
    <w:rsid w:val="00605931"/>
    <w:rsid w:val="00632838"/>
    <w:rsid w:val="006408F2"/>
    <w:rsid w:val="00645558"/>
    <w:rsid w:val="006460C6"/>
    <w:rsid w:val="00670318"/>
    <w:rsid w:val="00693EDE"/>
    <w:rsid w:val="006A2C77"/>
    <w:rsid w:val="006B694E"/>
    <w:rsid w:val="006C4ABA"/>
    <w:rsid w:val="006D2CFA"/>
    <w:rsid w:val="006D533A"/>
    <w:rsid w:val="006F7E93"/>
    <w:rsid w:val="007051D7"/>
    <w:rsid w:val="0071208C"/>
    <w:rsid w:val="007150DE"/>
    <w:rsid w:val="00727677"/>
    <w:rsid w:val="00735A25"/>
    <w:rsid w:val="00760070"/>
    <w:rsid w:val="0077280B"/>
    <w:rsid w:val="00780F54"/>
    <w:rsid w:val="007834B9"/>
    <w:rsid w:val="00791227"/>
    <w:rsid w:val="007A3D8C"/>
    <w:rsid w:val="007E7F38"/>
    <w:rsid w:val="00806078"/>
    <w:rsid w:val="008141F0"/>
    <w:rsid w:val="00830EC1"/>
    <w:rsid w:val="00832CE4"/>
    <w:rsid w:val="00866873"/>
    <w:rsid w:val="00866989"/>
    <w:rsid w:val="0087144D"/>
    <w:rsid w:val="008748A1"/>
    <w:rsid w:val="008943E3"/>
    <w:rsid w:val="008B19A7"/>
    <w:rsid w:val="008E08AD"/>
    <w:rsid w:val="008F3F3A"/>
    <w:rsid w:val="00913557"/>
    <w:rsid w:val="009157F8"/>
    <w:rsid w:val="00935DF0"/>
    <w:rsid w:val="00943435"/>
    <w:rsid w:val="009603DD"/>
    <w:rsid w:val="0096505D"/>
    <w:rsid w:val="009852DA"/>
    <w:rsid w:val="009857EC"/>
    <w:rsid w:val="009A312B"/>
    <w:rsid w:val="009B7FE6"/>
    <w:rsid w:val="009C2ED7"/>
    <w:rsid w:val="009D416F"/>
    <w:rsid w:val="009E75E7"/>
    <w:rsid w:val="009F5854"/>
    <w:rsid w:val="00A04ECA"/>
    <w:rsid w:val="00A205BF"/>
    <w:rsid w:val="00A24ADF"/>
    <w:rsid w:val="00A37524"/>
    <w:rsid w:val="00A377EF"/>
    <w:rsid w:val="00A477BE"/>
    <w:rsid w:val="00A64425"/>
    <w:rsid w:val="00A67575"/>
    <w:rsid w:val="00A7009C"/>
    <w:rsid w:val="00A827FB"/>
    <w:rsid w:val="00A91494"/>
    <w:rsid w:val="00AA4DC9"/>
    <w:rsid w:val="00AB1F79"/>
    <w:rsid w:val="00AD6F90"/>
    <w:rsid w:val="00AF409D"/>
    <w:rsid w:val="00B152D5"/>
    <w:rsid w:val="00B16E54"/>
    <w:rsid w:val="00B34BAB"/>
    <w:rsid w:val="00B42FAA"/>
    <w:rsid w:val="00B66024"/>
    <w:rsid w:val="00B665F2"/>
    <w:rsid w:val="00B6665B"/>
    <w:rsid w:val="00B73859"/>
    <w:rsid w:val="00C0359C"/>
    <w:rsid w:val="00C40F36"/>
    <w:rsid w:val="00C46764"/>
    <w:rsid w:val="00C643C0"/>
    <w:rsid w:val="00C657DD"/>
    <w:rsid w:val="00C83EBB"/>
    <w:rsid w:val="00C86703"/>
    <w:rsid w:val="00CA3890"/>
    <w:rsid w:val="00CB3815"/>
    <w:rsid w:val="00CD58AB"/>
    <w:rsid w:val="00CE271E"/>
    <w:rsid w:val="00CF675F"/>
    <w:rsid w:val="00D101C2"/>
    <w:rsid w:val="00D1608F"/>
    <w:rsid w:val="00D27551"/>
    <w:rsid w:val="00D31A5F"/>
    <w:rsid w:val="00D43421"/>
    <w:rsid w:val="00D57E3A"/>
    <w:rsid w:val="00D6671A"/>
    <w:rsid w:val="00D729F0"/>
    <w:rsid w:val="00D73B40"/>
    <w:rsid w:val="00D813D5"/>
    <w:rsid w:val="00D8798F"/>
    <w:rsid w:val="00E14E13"/>
    <w:rsid w:val="00E15904"/>
    <w:rsid w:val="00E159A3"/>
    <w:rsid w:val="00E15AC9"/>
    <w:rsid w:val="00E37B2B"/>
    <w:rsid w:val="00E45F33"/>
    <w:rsid w:val="00E521AC"/>
    <w:rsid w:val="00E52FCD"/>
    <w:rsid w:val="00E53B93"/>
    <w:rsid w:val="00E5625F"/>
    <w:rsid w:val="00E568C1"/>
    <w:rsid w:val="00E95DCD"/>
    <w:rsid w:val="00EA054C"/>
    <w:rsid w:val="00EB3C8F"/>
    <w:rsid w:val="00EB502B"/>
    <w:rsid w:val="00EB6033"/>
    <w:rsid w:val="00EB7AAE"/>
    <w:rsid w:val="00EC0685"/>
    <w:rsid w:val="00EC3C50"/>
    <w:rsid w:val="00EE2119"/>
    <w:rsid w:val="00EE3547"/>
    <w:rsid w:val="00EF1648"/>
    <w:rsid w:val="00EF7244"/>
    <w:rsid w:val="00F02D86"/>
    <w:rsid w:val="00F31D1A"/>
    <w:rsid w:val="00F33DE0"/>
    <w:rsid w:val="00F4497B"/>
    <w:rsid w:val="00F475E2"/>
    <w:rsid w:val="00F66788"/>
    <w:rsid w:val="00F72059"/>
    <w:rsid w:val="00F931E7"/>
    <w:rsid w:val="00FB0205"/>
    <w:rsid w:val="00FC1309"/>
    <w:rsid w:val="00FC18B0"/>
    <w:rsid w:val="00FD4EC1"/>
    <w:rsid w:val="00FE2C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E4BD"/>
  <w15:chartTrackingRefBased/>
  <w15:docId w15:val="{5C58B709-2BE9-4FF7-B834-BEE52515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421"/>
    <w:rPr>
      <w:rFonts w:eastAsiaTheme="majorEastAsia" w:cstheme="majorBidi"/>
      <w:color w:val="272727" w:themeColor="text1" w:themeTint="D8"/>
    </w:rPr>
  </w:style>
  <w:style w:type="paragraph" w:styleId="Title">
    <w:name w:val="Title"/>
    <w:basedOn w:val="Normal"/>
    <w:next w:val="Normal"/>
    <w:link w:val="TitleChar"/>
    <w:uiPriority w:val="10"/>
    <w:qFormat/>
    <w:rsid w:val="00D43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421"/>
    <w:pPr>
      <w:spacing w:before="160"/>
      <w:jc w:val="center"/>
    </w:pPr>
    <w:rPr>
      <w:i/>
      <w:iCs/>
      <w:color w:val="404040" w:themeColor="text1" w:themeTint="BF"/>
    </w:rPr>
  </w:style>
  <w:style w:type="character" w:customStyle="1" w:styleId="QuoteChar">
    <w:name w:val="Quote Char"/>
    <w:basedOn w:val="DefaultParagraphFont"/>
    <w:link w:val="Quote"/>
    <w:uiPriority w:val="29"/>
    <w:rsid w:val="00D43421"/>
    <w:rPr>
      <w:i/>
      <w:iCs/>
      <w:color w:val="404040" w:themeColor="text1" w:themeTint="BF"/>
    </w:rPr>
  </w:style>
  <w:style w:type="paragraph" w:styleId="ListParagraph">
    <w:name w:val="List Paragraph"/>
    <w:basedOn w:val="Normal"/>
    <w:uiPriority w:val="34"/>
    <w:qFormat/>
    <w:rsid w:val="00D43421"/>
    <w:pPr>
      <w:ind w:left="720"/>
      <w:contextualSpacing/>
    </w:pPr>
  </w:style>
  <w:style w:type="character" w:styleId="IntenseEmphasis">
    <w:name w:val="Intense Emphasis"/>
    <w:basedOn w:val="DefaultParagraphFont"/>
    <w:uiPriority w:val="21"/>
    <w:qFormat/>
    <w:rsid w:val="00D43421"/>
    <w:rPr>
      <w:i/>
      <w:iCs/>
      <w:color w:val="0F4761" w:themeColor="accent1" w:themeShade="BF"/>
    </w:rPr>
  </w:style>
  <w:style w:type="paragraph" w:styleId="IntenseQuote">
    <w:name w:val="Intense Quote"/>
    <w:basedOn w:val="Normal"/>
    <w:next w:val="Normal"/>
    <w:link w:val="IntenseQuoteChar"/>
    <w:uiPriority w:val="30"/>
    <w:qFormat/>
    <w:rsid w:val="00D43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421"/>
    <w:rPr>
      <w:i/>
      <w:iCs/>
      <w:color w:val="0F4761" w:themeColor="accent1" w:themeShade="BF"/>
    </w:rPr>
  </w:style>
  <w:style w:type="character" w:styleId="IntenseReference">
    <w:name w:val="Intense Reference"/>
    <w:basedOn w:val="DefaultParagraphFont"/>
    <w:uiPriority w:val="32"/>
    <w:qFormat/>
    <w:rsid w:val="00D43421"/>
    <w:rPr>
      <w:b/>
      <w:bCs/>
      <w:smallCaps/>
      <w:color w:val="0F4761" w:themeColor="accent1" w:themeShade="BF"/>
      <w:spacing w:val="5"/>
    </w:rPr>
  </w:style>
  <w:style w:type="paragraph" w:styleId="Caption">
    <w:name w:val="caption"/>
    <w:basedOn w:val="Normal"/>
    <w:next w:val="Normal"/>
    <w:uiPriority w:val="35"/>
    <w:unhideWhenUsed/>
    <w:qFormat/>
    <w:rsid w:val="001F2686"/>
    <w:pPr>
      <w:spacing w:after="200" w:line="240" w:lineRule="auto"/>
    </w:pPr>
    <w:rPr>
      <w:i/>
      <w:iCs/>
      <w:color w:val="0E2841" w:themeColor="text2"/>
      <w:sz w:val="18"/>
      <w:szCs w:val="18"/>
    </w:rPr>
  </w:style>
  <w:style w:type="character" w:styleId="CommentReference">
    <w:name w:val="annotation reference"/>
    <w:unhideWhenUsed/>
    <w:rsid w:val="00165F95"/>
    <w:rPr>
      <w:sz w:val="16"/>
      <w:szCs w:val="16"/>
    </w:rPr>
  </w:style>
  <w:style w:type="paragraph" w:styleId="CommentText">
    <w:name w:val="annotation text"/>
    <w:basedOn w:val="Normal"/>
    <w:link w:val="CommentTextChar"/>
    <w:semiHidden/>
    <w:rsid w:val="00165F95"/>
    <w:pPr>
      <w:spacing w:before="80" w:after="80" w:line="240" w:lineRule="auto"/>
      <w:jc w:val="both"/>
    </w:pPr>
    <w:rPr>
      <w:rFonts w:ascii="Verdana" w:eastAsia="Times New Roman" w:hAnsi="Verdana" w:cs="Times New Roman"/>
      <w:kern w:val="0"/>
      <w:sz w:val="20"/>
      <w:szCs w:val="24"/>
      <w14:ligatures w14:val="none"/>
    </w:rPr>
  </w:style>
  <w:style w:type="character" w:customStyle="1" w:styleId="CommentTextChar">
    <w:name w:val="Comment Text Char"/>
    <w:basedOn w:val="DefaultParagraphFont"/>
    <w:link w:val="CommentText"/>
    <w:semiHidden/>
    <w:rsid w:val="00165F95"/>
    <w:rPr>
      <w:rFonts w:ascii="Verdana" w:eastAsia="Times New Roman" w:hAnsi="Verdana" w:cs="Times New Roman"/>
      <w:kern w:val="0"/>
      <w:sz w:val="20"/>
      <w:szCs w:val="24"/>
      <w14:ligatures w14:val="none"/>
    </w:rPr>
  </w:style>
  <w:style w:type="paragraph" w:styleId="Bibliography">
    <w:name w:val="Bibliography"/>
    <w:basedOn w:val="Normal"/>
    <w:next w:val="Normal"/>
    <w:uiPriority w:val="37"/>
    <w:unhideWhenUsed/>
    <w:rsid w:val="006C4ABA"/>
    <w:pPr>
      <w:tabs>
        <w:tab w:val="left" w:pos="384"/>
      </w:tabs>
      <w:spacing w:after="0" w:line="480" w:lineRule="auto"/>
      <w:ind w:left="384" w:hanging="384"/>
    </w:pPr>
  </w:style>
  <w:style w:type="paragraph" w:styleId="CommentSubject">
    <w:name w:val="annotation subject"/>
    <w:basedOn w:val="CommentText"/>
    <w:next w:val="CommentText"/>
    <w:link w:val="CommentSubjectChar"/>
    <w:uiPriority w:val="99"/>
    <w:semiHidden/>
    <w:unhideWhenUsed/>
    <w:rsid w:val="006408F2"/>
    <w:pPr>
      <w:spacing w:before="0" w:after="160"/>
      <w:jc w:val="left"/>
    </w:pPr>
    <w:rPr>
      <w:rFonts w:asciiTheme="minorHAnsi" w:eastAsiaTheme="minorHAnsi" w:hAnsiTheme="minorHAnsi" w:cstheme="minorBidi"/>
      <w:b/>
      <w:bCs/>
      <w:kern w:val="2"/>
      <w:szCs w:val="20"/>
      <w14:ligatures w14:val="standardContextual"/>
    </w:rPr>
  </w:style>
  <w:style w:type="character" w:customStyle="1" w:styleId="CommentSubjectChar">
    <w:name w:val="Comment Subject Char"/>
    <w:basedOn w:val="CommentTextChar"/>
    <w:link w:val="CommentSubject"/>
    <w:uiPriority w:val="99"/>
    <w:semiHidden/>
    <w:rsid w:val="006408F2"/>
    <w:rPr>
      <w:rFonts w:ascii="Verdana" w:eastAsia="Times New Roman" w:hAnsi="Verdana" w:cs="Times New Roman"/>
      <w:b/>
      <w:bCs/>
      <w:kern w:val="0"/>
      <w:sz w:val="20"/>
      <w:szCs w:val="20"/>
      <w14:ligatures w14:val="none"/>
    </w:rPr>
  </w:style>
  <w:style w:type="paragraph" w:styleId="Revision">
    <w:name w:val="Revision"/>
    <w:hidden/>
    <w:uiPriority w:val="99"/>
    <w:semiHidden/>
    <w:rsid w:val="00EC0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8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363DF2-4244-408B-B06E-4796BA8ED633}">
  <we:reference id="wa200001361" version="2.129.3.0" store="en-US" storeType="OMEX"/>
  <we:alternateReferences>
    <we:reference id="wa200001361" version="2.129.3.0" store="wa200001361" storeType="OMEX"/>
  </we:alternateReferences>
  <we:properties>
    <we:property name="paperpal-document-id" value="&quot;9f41b8ff-d9ff-4348-b050-ae18695970f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329F-1F77-49A4-8ADB-0E4F07D48F13}">
  <ds:schemaRefs>
    <ds:schemaRef ds:uri="http://schemas.openxmlformats.org/officeDocument/2006/bibliography"/>
  </ds:schemaRefs>
</ds:datastoreItem>
</file>

<file path=docMetadata/LabelInfo.xml><?xml version="1.0" encoding="utf-8"?>
<clbl:labelList xmlns:clbl="http://schemas.microsoft.com/office/2020/mipLabelMetadata">
  <clbl:label id="{d2b2326c-f811-4ccc-abcb-1b955c303c2e}" enabled="1" method="Standard" siteId="{dc781727-710e-4855-bc4c-690266a1b551}" removed="0"/>
</clbl:labelList>
</file>

<file path=docProps/app.xml><?xml version="1.0" encoding="utf-8"?>
<Properties xmlns="http://schemas.openxmlformats.org/officeDocument/2006/extended-properties" xmlns:vt="http://schemas.openxmlformats.org/officeDocument/2006/docPropsVTypes">
  <Template>Normal.dotm</Template>
  <TotalTime>943</TotalTime>
  <Pages>11</Pages>
  <Words>3548</Words>
  <Characters>20869</Characters>
  <Application>Microsoft Office Word</Application>
  <DocSecurity>0</DocSecurity>
  <Lines>425</Lines>
  <Paragraphs>218</Paragraphs>
  <ScaleCrop>false</ScaleCrop>
  <Company>University of Canterbury</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Livio Dreyer</dc:creator>
  <cp:keywords/>
  <dc:description/>
  <cp:lastModifiedBy>Livio Dreyer</cp:lastModifiedBy>
  <cp:revision>104</cp:revision>
  <dcterms:created xsi:type="dcterms:W3CDTF">2025-09-26T04:05:00Z</dcterms:created>
  <dcterms:modified xsi:type="dcterms:W3CDTF">2026-04-06T00:37:00Z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id="BaYNUMkB"/&gt;&lt;style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MSIP_Label_d2b2326c-f811-4ccc-abcb-1b955c303c2e_Enabled">
    <vt:lpwstr>true</vt:lpwstr>
  </property>
  <property fmtid="{D5CDD505-2E9C-101B-9397-08002B2CF9AE}" pid="5" name="MSIP_Label_d2b2326c-f811-4ccc-abcb-1b955c303c2e_SetDate">
    <vt:lpwstr>2025-09-26T04:05:51Z</vt:lpwstr>
  </property>
  <property fmtid="{D5CDD505-2E9C-101B-9397-08002B2CF9AE}" pid="6" name="MSIP_Label_d2b2326c-f811-4ccc-abcb-1b955c303c2e_Method">
    <vt:lpwstr>Standard</vt:lpwstr>
  </property>
  <property fmtid="{D5CDD505-2E9C-101B-9397-08002B2CF9AE}" pid="7" name="MSIP_Label_d2b2326c-f811-4ccc-abcb-1b955c303c2e_Name">
    <vt:lpwstr>In-Confidence</vt:lpwstr>
  </property>
  <property fmtid="{D5CDD505-2E9C-101B-9397-08002B2CF9AE}" pid="8" name="MSIP_Label_d2b2326c-f811-4ccc-abcb-1b955c303c2e_SiteId">
    <vt:lpwstr>dc781727-710e-4855-bc4c-690266a1b551</vt:lpwstr>
  </property>
  <property fmtid="{D5CDD505-2E9C-101B-9397-08002B2CF9AE}" pid="9" name="MSIP_Label_d2b2326c-f811-4ccc-abcb-1b955c303c2e_ActionId">
    <vt:lpwstr>f76091fa-b19d-403d-99ff-470195278f5e</vt:lpwstr>
  </property>
  <property fmtid="{D5CDD505-2E9C-101B-9397-08002B2CF9AE}" pid="10" name="MSIP_Label_d2b2326c-f811-4ccc-abcb-1b955c303c2e_ContentBits">
    <vt:lpwstr>2</vt:lpwstr>
  </property>
  <property fmtid="{D5CDD505-2E9C-101B-9397-08002B2CF9AE}" pid="11" name="MSIP_Label_d2b2326c-f811-4ccc-abcb-1b955c303c2e_Tag">
    <vt:lpwstr>50, 3, 0, 1</vt:lpwstr>
  </property>
</Properties>
</file>