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304B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Supplementary Appendix</w:t>
      </w:r>
    </w:p>
    <w:p w14:paraId="74E1831C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Analytic Code, Model Specifications, Diagnostics, and Data Dictionary</w:t>
      </w:r>
    </w:p>
    <w:p w14:paraId="0A6FCF86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1. Mixed-Effects Model Specifications</w:t>
      </w:r>
    </w:p>
    <w:p w14:paraId="7E78EF03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Mixed-effects linear regression models were used to evaluate the association between glycemic variability (coefficient of variation, %CV) and continuous glucose monitoring (CGM) metrics. Random intercepts were included for participant ID to account for within-participant repeated measurements.</w:t>
      </w:r>
    </w:p>
    <w:p w14:paraId="00765428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Model 0 (Unadjusted):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Outcome_ij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= β0 + β1(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CV_ij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) + u0i +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εij</w:t>
      </w:r>
      <w:proofErr w:type="spellEnd"/>
    </w:p>
    <w:p w14:paraId="568744FE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Model 1 (Adjusted: Age + BMI):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Outcome_ij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= β0 + β1(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CV_ij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β2(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Age_i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β3(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BMI_i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) + u0i +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εij</w:t>
      </w:r>
      <w:proofErr w:type="spellEnd"/>
    </w:p>
    <w:p w14:paraId="1E6EA289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Model 2 (Adjusted: Age + Diabetes Duration):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Outcome_ij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= β0 + β1(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CV_ij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β2(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Age_i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β3(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DD_i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) + u0i +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εij</w:t>
      </w:r>
      <w:proofErr w:type="spellEnd"/>
    </w:p>
    <w:p w14:paraId="155E340B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Model 3 (Adjusted: Age + Insulinotropic therapy):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Outcome_ij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= β0 + β1(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CV_ij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β2(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Age_i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β3(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Insulinotropic_i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) + u0i +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εij</w:t>
      </w:r>
      <w:proofErr w:type="spellEnd"/>
    </w:p>
    <w:p w14:paraId="59FF4E68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Model 4 (Adjusted: Age + Mean Glucose):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Outcome_ij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= β0 + β1(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CV_ij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β2(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Age_i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 + β3(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Average_i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) + u0i +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εij</w:t>
      </w:r>
      <w:proofErr w:type="spellEnd"/>
    </w:p>
    <w:p w14:paraId="326FBF67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Where u0i represents the participant-level random intercept and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εij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represents the residual error term.</w:t>
      </w:r>
    </w:p>
    <w:p w14:paraId="040EA12C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2. Outcomes</w:t>
      </w:r>
    </w:p>
    <w:p w14:paraId="4049C4CA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- Time in Range (TIR, % of glucose values between 70–180 mg/dL)</w:t>
      </w:r>
    </w:p>
    <w:p w14:paraId="690F4EE0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- Time Above Range (TAR, % of glucose values &gt;180 mg/dL)</w:t>
      </w:r>
    </w:p>
    <w:p w14:paraId="0B51CAE2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- Time Below Range (TBR, % of glucose values &lt;70 mg/dL)</w:t>
      </w:r>
    </w:p>
    <w:p w14:paraId="5BE0FBF8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- Average glucose (mg/dL)</w:t>
      </w:r>
    </w:p>
    <w:p w14:paraId="612F37F4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3. Model Diagnostics</w:t>
      </w:r>
    </w:p>
    <w:p w14:paraId="6B8263D4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Model assumptions were evaluated using residual diagnostics. Residual vs fitted plots were examined to assess homoscedasticity. Normal Q–Q plots were used to evaluate approximate normality of residuals. Random-effects Q–Q plots assessed the distribution of participant-level random intercepts. Histograms of residuals were also inspected. Simulation-based residual diagnostics were additionally performed where appropriate.</w:t>
      </w:r>
    </w:p>
    <w:p w14:paraId="043CB434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4. Multicollinearity Assessment</w:t>
      </w:r>
    </w:p>
    <w:p w14:paraId="27D9EFDB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Multicollinearity among fixed-effect predictors was assessed using Variance Inflation Factors (VIF). VIF values were calculated from corresponding linear models including the same fixed effects. VIF values &lt;5 </w:t>
      </w:r>
      <w:proofErr w:type="gramStart"/>
      <w:r w:rsidRPr="002432B6">
        <w:rPr>
          <w:rFonts w:ascii="Times New Roman" w:hAnsi="Times New Roman" w:cs="Times New Roman"/>
          <w:sz w:val="20"/>
          <w:szCs w:val="20"/>
        </w:rPr>
        <w:t>were</w:t>
      </w:r>
      <w:proofErr w:type="gramEnd"/>
      <w:r w:rsidRPr="002432B6">
        <w:rPr>
          <w:rFonts w:ascii="Times New Roman" w:hAnsi="Times New Roman" w:cs="Times New Roman"/>
          <w:sz w:val="20"/>
          <w:szCs w:val="20"/>
        </w:rPr>
        <w:t xml:space="preserve"> considered indicative of acceptable levels of multicollinearity.</w:t>
      </w:r>
    </w:p>
    <w:p w14:paraId="6ED36A8A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5. Sensitivity Analysis for Zero-Heavy Outcomes</w:t>
      </w:r>
    </w:p>
    <w:p w14:paraId="3FAB2300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 xml:space="preserve">Because time below range (TBR) is bounded and may contain many zero values, a sensitivity analysis was conducted using a mixed-effects logistic regression model evaluating the presence of any hypoglycemia </w:t>
      </w:r>
      <w:r w:rsidRPr="002432B6">
        <w:rPr>
          <w:rFonts w:ascii="Times New Roman" w:hAnsi="Times New Roman" w:cs="Times New Roman"/>
          <w:sz w:val="20"/>
          <w:szCs w:val="20"/>
        </w:rPr>
        <w:lastRenderedPageBreak/>
        <w:t>(TBR &gt; 0). This model assessed whether glycemic variability (%CV) was associated with the odds of experiencing any hypoglycemia event.</w:t>
      </w:r>
    </w:p>
    <w:p w14:paraId="236A7C03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t>6. Reproducible R Code</w:t>
      </w:r>
    </w:p>
    <w:p w14:paraId="54610314" w14:textId="61EABD91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  <w:r w:rsidRPr="002432B6">
        <w:rPr>
          <w:rFonts w:ascii="Times New Roman" w:hAnsi="Times New Roman" w:cs="Times New Roman"/>
          <w:sz w:val="20"/>
          <w:szCs w:val="20"/>
        </w:rPr>
        <w:t>The following example code illustrates the implementation of mixed-effects models used in this study.</w:t>
      </w:r>
      <w:r w:rsidRPr="002432B6">
        <w:rPr>
          <w:rFonts w:ascii="Times New Roman" w:hAnsi="Times New Roman" w:cs="Times New Roman"/>
          <w:sz w:val="20"/>
          <w:szCs w:val="20"/>
        </w:rPr>
        <w:br/>
        <w:t>library(lme4)</w:t>
      </w:r>
      <w:r w:rsidRPr="002432B6">
        <w:rPr>
          <w:rFonts w:ascii="Times New Roman" w:hAnsi="Times New Roman" w:cs="Times New Roman"/>
          <w:sz w:val="20"/>
          <w:szCs w:val="20"/>
        </w:rPr>
        <w:br/>
        <w:t>library(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lmerTest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</w:t>
      </w:r>
      <w:r w:rsidRPr="002432B6">
        <w:rPr>
          <w:rFonts w:ascii="Times New Roman" w:hAnsi="Times New Roman" w:cs="Times New Roman"/>
          <w:sz w:val="20"/>
          <w:szCs w:val="20"/>
        </w:rPr>
        <w:br/>
        <w:t>library(performance)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r w:rsidRPr="002432B6">
        <w:rPr>
          <w:rFonts w:ascii="Times New Roman" w:hAnsi="Times New Roman" w:cs="Times New Roman"/>
          <w:sz w:val="20"/>
          <w:szCs w:val="20"/>
        </w:rPr>
        <w:br/>
        <w:t># Mixed-effects model example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model_TBR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&lt;-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lmer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(TBR ~ CV + Age + DD + (1|ID), data=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r w:rsidRPr="002432B6">
        <w:rPr>
          <w:rFonts w:ascii="Times New Roman" w:hAnsi="Times New Roman" w:cs="Times New Roman"/>
          <w:sz w:val="20"/>
          <w:szCs w:val="20"/>
        </w:rPr>
        <w:br/>
        <w:t>summary(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model_TBR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r w:rsidRPr="002432B6">
        <w:rPr>
          <w:rFonts w:ascii="Times New Roman" w:hAnsi="Times New Roman" w:cs="Times New Roman"/>
          <w:sz w:val="20"/>
          <w:szCs w:val="20"/>
        </w:rPr>
        <w:br/>
        <w:t># Calculate marginal and conditional R2</w:t>
      </w:r>
      <w:r w:rsidRPr="002432B6">
        <w:rPr>
          <w:rFonts w:ascii="Times New Roman" w:hAnsi="Times New Roman" w:cs="Times New Roman"/>
          <w:sz w:val="20"/>
          <w:szCs w:val="20"/>
        </w:rPr>
        <w:br/>
        <w:t>r2(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model_TBR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r w:rsidRPr="002432B6">
        <w:rPr>
          <w:rFonts w:ascii="Times New Roman" w:hAnsi="Times New Roman" w:cs="Times New Roman"/>
          <w:sz w:val="20"/>
          <w:szCs w:val="20"/>
        </w:rPr>
        <w:br/>
        <w:t># Logistic sensitivity analysis</w:t>
      </w:r>
      <w:r w:rsidRPr="002432B6">
        <w:rPr>
          <w:rFonts w:ascii="Times New Roman" w:hAnsi="Times New Roman" w:cs="Times New Roman"/>
          <w:sz w:val="20"/>
          <w:szCs w:val="20"/>
        </w:rPr>
        <w:br/>
        <w:t xml:space="preserve">df$TBR01 &lt;-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ifelse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df$TBR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&gt; 0, 1, 0)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r w:rsidRPr="002432B6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model_logistic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 xml:space="preserve"> &lt;- 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glmer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(TBR01 ~ CV + Age + DD + (1|ID),</w:t>
      </w:r>
      <w:r w:rsidRPr="002432B6">
        <w:rPr>
          <w:rFonts w:ascii="Times New Roman" w:hAnsi="Times New Roman" w:cs="Times New Roman"/>
          <w:sz w:val="20"/>
          <w:szCs w:val="20"/>
        </w:rPr>
        <w:br/>
        <w:t xml:space="preserve">                        data=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,</w:t>
      </w:r>
      <w:r w:rsidRPr="002432B6">
        <w:rPr>
          <w:rFonts w:ascii="Times New Roman" w:hAnsi="Times New Roman" w:cs="Times New Roman"/>
          <w:sz w:val="20"/>
          <w:szCs w:val="20"/>
        </w:rPr>
        <w:br/>
        <w:t xml:space="preserve">                        family=binomial)</w:t>
      </w:r>
      <w:r w:rsidRPr="002432B6">
        <w:rPr>
          <w:rFonts w:ascii="Times New Roman" w:hAnsi="Times New Roman" w:cs="Times New Roman"/>
          <w:sz w:val="20"/>
          <w:szCs w:val="20"/>
        </w:rPr>
        <w:br/>
      </w:r>
      <w:r w:rsidRPr="002432B6">
        <w:rPr>
          <w:rFonts w:ascii="Times New Roman" w:hAnsi="Times New Roman" w:cs="Times New Roman"/>
          <w:sz w:val="20"/>
          <w:szCs w:val="20"/>
        </w:rPr>
        <w:br/>
        <w:t>summary(</w:t>
      </w:r>
      <w:proofErr w:type="spellStart"/>
      <w:r w:rsidRPr="002432B6">
        <w:rPr>
          <w:rFonts w:ascii="Times New Roman" w:hAnsi="Times New Roman" w:cs="Times New Roman"/>
          <w:sz w:val="20"/>
          <w:szCs w:val="20"/>
        </w:rPr>
        <w:t>model_logistic</w:t>
      </w:r>
      <w:proofErr w:type="spellEnd"/>
      <w:r w:rsidRPr="002432B6">
        <w:rPr>
          <w:rFonts w:ascii="Times New Roman" w:hAnsi="Times New Roman" w:cs="Times New Roman"/>
          <w:sz w:val="20"/>
          <w:szCs w:val="20"/>
        </w:rPr>
        <w:t>)</w:t>
      </w:r>
      <w:r w:rsidRPr="002432B6">
        <w:rPr>
          <w:rFonts w:ascii="Times New Roman" w:hAnsi="Times New Roman" w:cs="Times New Roman"/>
          <w:sz w:val="20"/>
          <w:szCs w:val="20"/>
        </w:rPr>
        <w:br/>
      </w:r>
    </w:p>
    <w:p w14:paraId="41B9EE41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3E972B01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23BDC11F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2E8EB0D4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4C37629D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3891DCFE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494967B0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62C352FA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62B9857A" w14:textId="77777777" w:rsid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4C7C2438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4B2F1ABC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2E4681B5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28BFEF6F" w14:textId="77777777" w:rsidR="002432B6" w:rsidRPr="002432B6" w:rsidRDefault="002432B6" w:rsidP="002432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32B6">
        <w:rPr>
          <w:rFonts w:ascii="Times New Roman" w:hAnsi="Times New Roman" w:cs="Times New Roman"/>
          <w:b/>
          <w:bCs/>
          <w:sz w:val="20"/>
          <w:szCs w:val="20"/>
        </w:rPr>
        <w:lastRenderedPageBreak/>
        <w:t>7. Data Dictionary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432B6" w:rsidRPr="002432B6" w14:paraId="2214324E" w14:textId="77777777">
        <w:tc>
          <w:tcPr>
            <w:tcW w:w="4320" w:type="dxa"/>
            <w:hideMark/>
          </w:tcPr>
          <w:p w14:paraId="66512EA4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4320" w:type="dxa"/>
            <w:hideMark/>
          </w:tcPr>
          <w:p w14:paraId="5377480E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</w:tr>
      <w:tr w:rsidR="002432B6" w:rsidRPr="002432B6" w14:paraId="07F3A992" w14:textId="77777777">
        <w:tc>
          <w:tcPr>
            <w:tcW w:w="4320" w:type="dxa"/>
            <w:hideMark/>
          </w:tcPr>
          <w:p w14:paraId="7BDA9F6B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4320" w:type="dxa"/>
            <w:hideMark/>
          </w:tcPr>
          <w:p w14:paraId="0D22B7D9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Participant identifier</w:t>
            </w:r>
          </w:p>
        </w:tc>
      </w:tr>
      <w:tr w:rsidR="002432B6" w:rsidRPr="002432B6" w14:paraId="3361B9C9" w14:textId="77777777">
        <w:tc>
          <w:tcPr>
            <w:tcW w:w="4320" w:type="dxa"/>
            <w:hideMark/>
          </w:tcPr>
          <w:p w14:paraId="29BD002F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4320" w:type="dxa"/>
            <w:hideMark/>
          </w:tcPr>
          <w:p w14:paraId="52BCE31D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Date of CGM observation</w:t>
            </w:r>
          </w:p>
        </w:tc>
      </w:tr>
      <w:tr w:rsidR="002432B6" w:rsidRPr="002432B6" w14:paraId="0FD126E2" w14:textId="77777777">
        <w:tc>
          <w:tcPr>
            <w:tcW w:w="4320" w:type="dxa"/>
            <w:hideMark/>
          </w:tcPr>
          <w:p w14:paraId="47211D39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4320" w:type="dxa"/>
            <w:hideMark/>
          </w:tcPr>
          <w:p w14:paraId="5C6AFF4D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Age of participant (years)</w:t>
            </w:r>
          </w:p>
        </w:tc>
      </w:tr>
      <w:tr w:rsidR="002432B6" w:rsidRPr="002432B6" w14:paraId="539AF472" w14:textId="77777777">
        <w:tc>
          <w:tcPr>
            <w:tcW w:w="4320" w:type="dxa"/>
            <w:hideMark/>
          </w:tcPr>
          <w:p w14:paraId="65CD73E2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4320" w:type="dxa"/>
            <w:hideMark/>
          </w:tcPr>
          <w:p w14:paraId="15E37F65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Diabetes duration (years)</w:t>
            </w:r>
          </w:p>
        </w:tc>
      </w:tr>
      <w:tr w:rsidR="002432B6" w:rsidRPr="002432B6" w14:paraId="1D86F4D1" w14:textId="77777777">
        <w:tc>
          <w:tcPr>
            <w:tcW w:w="4320" w:type="dxa"/>
            <w:hideMark/>
          </w:tcPr>
          <w:p w14:paraId="7AA0A070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4320" w:type="dxa"/>
            <w:hideMark/>
          </w:tcPr>
          <w:p w14:paraId="7F37DF85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Body mass index (kg/m²)</w:t>
            </w:r>
          </w:p>
        </w:tc>
      </w:tr>
      <w:tr w:rsidR="002432B6" w:rsidRPr="002432B6" w14:paraId="22830E03" w14:textId="77777777">
        <w:tc>
          <w:tcPr>
            <w:tcW w:w="4320" w:type="dxa"/>
            <w:hideMark/>
          </w:tcPr>
          <w:p w14:paraId="5D6AC75F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4320" w:type="dxa"/>
            <w:hideMark/>
          </w:tcPr>
          <w:p w14:paraId="646F725C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Mean interstitial glucose from CGM (mg/dL)</w:t>
            </w:r>
          </w:p>
        </w:tc>
      </w:tr>
      <w:tr w:rsidR="002432B6" w:rsidRPr="002432B6" w14:paraId="184CF7F0" w14:textId="77777777">
        <w:tc>
          <w:tcPr>
            <w:tcW w:w="4320" w:type="dxa"/>
            <w:hideMark/>
          </w:tcPr>
          <w:p w14:paraId="18BD53B9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TIR</w:t>
            </w:r>
          </w:p>
        </w:tc>
        <w:tc>
          <w:tcPr>
            <w:tcW w:w="4320" w:type="dxa"/>
            <w:hideMark/>
          </w:tcPr>
          <w:p w14:paraId="32419063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Time in range 70–180 mg/dL (%)</w:t>
            </w:r>
          </w:p>
        </w:tc>
      </w:tr>
      <w:tr w:rsidR="002432B6" w:rsidRPr="002432B6" w14:paraId="1C044556" w14:textId="77777777">
        <w:tc>
          <w:tcPr>
            <w:tcW w:w="4320" w:type="dxa"/>
            <w:hideMark/>
          </w:tcPr>
          <w:p w14:paraId="5BD08116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TBR</w:t>
            </w:r>
          </w:p>
        </w:tc>
        <w:tc>
          <w:tcPr>
            <w:tcW w:w="4320" w:type="dxa"/>
            <w:hideMark/>
          </w:tcPr>
          <w:p w14:paraId="68F50D18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Time below range &lt;70 mg/dL (%)</w:t>
            </w:r>
          </w:p>
        </w:tc>
      </w:tr>
      <w:tr w:rsidR="002432B6" w:rsidRPr="002432B6" w14:paraId="2DB29339" w14:textId="77777777">
        <w:tc>
          <w:tcPr>
            <w:tcW w:w="4320" w:type="dxa"/>
            <w:hideMark/>
          </w:tcPr>
          <w:p w14:paraId="6AE4B221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TAR</w:t>
            </w:r>
          </w:p>
        </w:tc>
        <w:tc>
          <w:tcPr>
            <w:tcW w:w="4320" w:type="dxa"/>
            <w:hideMark/>
          </w:tcPr>
          <w:p w14:paraId="62929D8A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Time above range &gt;180 mg/dL (%)</w:t>
            </w:r>
          </w:p>
        </w:tc>
      </w:tr>
      <w:tr w:rsidR="002432B6" w:rsidRPr="002432B6" w14:paraId="4818FE8C" w14:textId="77777777">
        <w:tc>
          <w:tcPr>
            <w:tcW w:w="4320" w:type="dxa"/>
            <w:hideMark/>
          </w:tcPr>
          <w:p w14:paraId="36C6AE40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CV</w:t>
            </w:r>
          </w:p>
        </w:tc>
        <w:tc>
          <w:tcPr>
            <w:tcW w:w="4320" w:type="dxa"/>
            <w:hideMark/>
          </w:tcPr>
          <w:p w14:paraId="7F179E18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Coefficient of variation of glucose (%)</w:t>
            </w:r>
          </w:p>
        </w:tc>
      </w:tr>
      <w:tr w:rsidR="002432B6" w:rsidRPr="002432B6" w14:paraId="3E65D8FB" w14:textId="77777777">
        <w:tc>
          <w:tcPr>
            <w:tcW w:w="4320" w:type="dxa"/>
            <w:hideMark/>
          </w:tcPr>
          <w:p w14:paraId="01EA1635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TBR01</w:t>
            </w:r>
          </w:p>
        </w:tc>
        <w:tc>
          <w:tcPr>
            <w:tcW w:w="4320" w:type="dxa"/>
            <w:hideMark/>
          </w:tcPr>
          <w:p w14:paraId="0C629E76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Binary indicator of hypoglycemia occurrence (1 if TBR &gt; 0)</w:t>
            </w:r>
          </w:p>
        </w:tc>
      </w:tr>
      <w:tr w:rsidR="002432B6" w:rsidRPr="002432B6" w14:paraId="600B8D94" w14:textId="77777777">
        <w:tc>
          <w:tcPr>
            <w:tcW w:w="4320" w:type="dxa"/>
            <w:hideMark/>
          </w:tcPr>
          <w:p w14:paraId="6441E3EC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20" w:type="dxa"/>
            <w:hideMark/>
          </w:tcPr>
          <w:p w14:paraId="4ED1C1FB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Number of glucose readings &lt;54 mg/dL</w:t>
            </w:r>
          </w:p>
        </w:tc>
      </w:tr>
      <w:tr w:rsidR="002432B6" w:rsidRPr="002432B6" w14:paraId="6F5ADE47" w14:textId="77777777">
        <w:tc>
          <w:tcPr>
            <w:tcW w:w="4320" w:type="dxa"/>
            <w:hideMark/>
          </w:tcPr>
          <w:p w14:paraId="364346F9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5469</w:t>
            </w:r>
          </w:p>
        </w:tc>
        <w:tc>
          <w:tcPr>
            <w:tcW w:w="4320" w:type="dxa"/>
            <w:hideMark/>
          </w:tcPr>
          <w:p w14:paraId="4E06A0FD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Number of glucose readings 54–69 mg/dL</w:t>
            </w:r>
          </w:p>
        </w:tc>
      </w:tr>
      <w:tr w:rsidR="002432B6" w:rsidRPr="002432B6" w14:paraId="4B61AF6B" w14:textId="77777777">
        <w:tc>
          <w:tcPr>
            <w:tcW w:w="4320" w:type="dxa"/>
            <w:hideMark/>
          </w:tcPr>
          <w:p w14:paraId="0C0E37DE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181250</w:t>
            </w:r>
          </w:p>
        </w:tc>
        <w:tc>
          <w:tcPr>
            <w:tcW w:w="4320" w:type="dxa"/>
            <w:hideMark/>
          </w:tcPr>
          <w:p w14:paraId="1881ECAF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Number of glucose readings 181–250 mg/dL</w:t>
            </w:r>
          </w:p>
        </w:tc>
      </w:tr>
      <w:tr w:rsidR="002432B6" w:rsidRPr="002432B6" w14:paraId="2535523E" w14:textId="77777777">
        <w:tc>
          <w:tcPr>
            <w:tcW w:w="4320" w:type="dxa"/>
            <w:hideMark/>
          </w:tcPr>
          <w:p w14:paraId="7D937E66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4320" w:type="dxa"/>
            <w:hideMark/>
          </w:tcPr>
          <w:p w14:paraId="1E6509CA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Number of glucose readings &gt;250 mg/dL</w:t>
            </w:r>
          </w:p>
        </w:tc>
      </w:tr>
      <w:tr w:rsidR="002432B6" w:rsidRPr="002432B6" w14:paraId="75F4880C" w14:textId="77777777">
        <w:tc>
          <w:tcPr>
            <w:tcW w:w="4320" w:type="dxa"/>
            <w:hideMark/>
          </w:tcPr>
          <w:p w14:paraId="09A0CF6C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Insulinotropic</w:t>
            </w:r>
          </w:p>
        </w:tc>
        <w:tc>
          <w:tcPr>
            <w:tcW w:w="4320" w:type="dxa"/>
            <w:hideMark/>
          </w:tcPr>
          <w:p w14:paraId="79420CDE" w14:textId="77777777" w:rsidR="002432B6" w:rsidRPr="002432B6" w:rsidRDefault="002432B6" w:rsidP="00243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2B6">
              <w:rPr>
                <w:rFonts w:ascii="Times New Roman" w:hAnsi="Times New Roman" w:cs="Times New Roman"/>
                <w:sz w:val="20"/>
                <w:szCs w:val="20"/>
              </w:rPr>
              <w:t>Indicator for insulin or sulfonylurea therapy</w:t>
            </w:r>
          </w:p>
        </w:tc>
      </w:tr>
    </w:tbl>
    <w:p w14:paraId="411427AD" w14:textId="77777777" w:rsidR="002432B6" w:rsidRPr="002432B6" w:rsidRDefault="002432B6" w:rsidP="002432B6">
      <w:pPr>
        <w:rPr>
          <w:rFonts w:ascii="Times New Roman" w:hAnsi="Times New Roman" w:cs="Times New Roman"/>
          <w:sz w:val="20"/>
          <w:szCs w:val="20"/>
        </w:rPr>
      </w:pPr>
    </w:p>
    <w:p w14:paraId="55E32F3E" w14:textId="77777777" w:rsidR="007B5ECB" w:rsidRPr="002432B6" w:rsidRDefault="007B5ECB" w:rsidP="002432B6">
      <w:pPr>
        <w:rPr>
          <w:rFonts w:ascii="Times New Roman" w:hAnsi="Times New Roman" w:cs="Times New Roman"/>
          <w:sz w:val="20"/>
          <w:szCs w:val="20"/>
        </w:rPr>
      </w:pPr>
    </w:p>
    <w:sectPr w:rsidR="007B5ECB" w:rsidRPr="002432B6" w:rsidSect="004A0E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86"/>
    <w:rsid w:val="002432B6"/>
    <w:rsid w:val="00460BAD"/>
    <w:rsid w:val="004A0E86"/>
    <w:rsid w:val="007B5ECB"/>
    <w:rsid w:val="00E10294"/>
    <w:rsid w:val="00E63CE1"/>
    <w:rsid w:val="00FA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5B145"/>
  <w15:chartTrackingRefBased/>
  <w15:docId w15:val="{37F3D6C5-2A72-4DC2-8F30-72F12A73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E86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E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E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E8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E8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E8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E8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E8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E8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E8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0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E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E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0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E8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0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E8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0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E86"/>
    <w:pPr>
      <w:spacing w:after="160" w:line="259" w:lineRule="auto"/>
      <w:ind w:left="720"/>
      <w:contextualSpacing/>
    </w:pPr>
    <w:rPr>
      <w:rFonts w:eastAsiaTheme="minorHAns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0E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E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E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Azhar Hussain</dc:creator>
  <cp:keywords/>
  <dc:description/>
  <cp:lastModifiedBy>Mohammed Azhar Hussain</cp:lastModifiedBy>
  <cp:revision>3</cp:revision>
  <dcterms:created xsi:type="dcterms:W3CDTF">2026-03-01T14:04:00Z</dcterms:created>
  <dcterms:modified xsi:type="dcterms:W3CDTF">2026-03-13T09:44:00Z</dcterms:modified>
</cp:coreProperties>
</file>