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5B120" w14:textId="77D491B3" w:rsidR="0017275A" w:rsidRDefault="00A92278">
      <w:r>
        <w:rPr>
          <w:noProof/>
        </w:rPr>
        <w:drawing>
          <wp:inline distT="0" distB="0" distL="0" distR="0" wp14:anchorId="1ECED417" wp14:editId="1242AB33">
            <wp:extent cx="5725160" cy="2425065"/>
            <wp:effectExtent l="0" t="0" r="8890" b="0"/>
            <wp:docPr id="211903102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5160" cy="2425065"/>
                    </a:xfrm>
                    <a:prstGeom prst="rect">
                      <a:avLst/>
                    </a:prstGeom>
                    <a:noFill/>
                    <a:ln>
                      <a:noFill/>
                    </a:ln>
                  </pic:spPr>
                </pic:pic>
              </a:graphicData>
            </a:graphic>
          </wp:inline>
        </w:drawing>
      </w:r>
    </w:p>
    <w:p w14:paraId="0A78EB60" w14:textId="505B6197" w:rsidR="00A92278" w:rsidRPr="00886B55" w:rsidRDefault="00A92278" w:rsidP="00A92278">
      <w:pPr>
        <w:spacing w:line="480" w:lineRule="auto"/>
        <w:jc w:val="both"/>
        <w:rPr>
          <w:rFonts w:ascii="Times New Roman" w:hAnsi="Times New Roman" w:cs="Times New Roman"/>
        </w:rPr>
      </w:pPr>
      <w:r>
        <w:rPr>
          <w:rFonts w:ascii="Times New Roman" w:hAnsi="Times New Roman" w:cs="Times New Roman" w:hint="eastAsia"/>
          <w:b/>
          <w:bCs/>
        </w:rPr>
        <w:t xml:space="preserve">Supplemental </w:t>
      </w:r>
      <w:r w:rsidRPr="00886B55">
        <w:rPr>
          <w:rFonts w:ascii="Times New Roman" w:hAnsi="Times New Roman" w:cs="Times New Roman"/>
          <w:b/>
          <w:bCs/>
        </w:rPr>
        <w:t>Figure 1</w:t>
      </w:r>
      <w:r w:rsidRPr="00886B55">
        <w:rPr>
          <w:rFonts w:ascii="Times New Roman" w:hAnsi="Times New Roman" w:cs="Times New Roman"/>
        </w:rPr>
        <w:t xml:space="preserve">. Ultrasound assessment of the quadriceps muscles. (Left) Transverse image obtained at 50% of the femur length, showing the rectus femoris (RF) and vastus intermedius (VI). RF muscle thickness and cross-sectional area were manually traced. VI muscle thickness was measured in the same image, and quadriceps femoris thickness was defined as RFT + VIT. (Right) Longitudinal image of the vastus lateralis (VL) obtained at the distal third of the thigh. VL muscle thickness was measured between the superficial and deep aponeuroses. The pennation angle was defined as the angle between the deep aponeurosis and muscle fascicles. </w:t>
      </w:r>
    </w:p>
    <w:p w14:paraId="7153CA3B" w14:textId="77777777" w:rsidR="00A92278" w:rsidRPr="00A92278" w:rsidRDefault="00A92278"/>
    <w:p w14:paraId="5660842A" w14:textId="77777777" w:rsidR="00A92278" w:rsidRDefault="00A92278"/>
    <w:p w14:paraId="56DB8FF8" w14:textId="77777777" w:rsidR="00A92278" w:rsidRDefault="00A92278"/>
    <w:p w14:paraId="169007E5" w14:textId="15E36868" w:rsidR="00A92278" w:rsidRDefault="00A92278">
      <w:r>
        <w:rPr>
          <w:noProof/>
        </w:rPr>
        <w:lastRenderedPageBreak/>
        <w:drawing>
          <wp:inline distT="0" distB="0" distL="0" distR="0" wp14:anchorId="50292569" wp14:editId="43B6CDCA">
            <wp:extent cx="5731510" cy="5715639"/>
            <wp:effectExtent l="0" t="0" r="2540" b="0"/>
            <wp:docPr id="1923841444" name="그림 2" descr="텍스트, 도표, 라인, 그래프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41444" name="그림 2" descr="텍스트, 도표, 라인, 그래프이(가) 표시된 사진&#10;&#10;AI 생성 콘텐츠는 정확하지 않을 수 있습니다."/>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5715639"/>
                    </a:xfrm>
                    <a:prstGeom prst="rect">
                      <a:avLst/>
                    </a:prstGeom>
                    <a:noFill/>
                    <a:ln>
                      <a:noFill/>
                    </a:ln>
                  </pic:spPr>
                </pic:pic>
              </a:graphicData>
            </a:graphic>
          </wp:inline>
        </w:drawing>
      </w:r>
    </w:p>
    <w:p w14:paraId="339DF63E" w14:textId="4CE32FF0" w:rsidR="00A92278" w:rsidRPr="00886B55" w:rsidRDefault="00A92278" w:rsidP="00A92278">
      <w:pPr>
        <w:spacing w:line="480" w:lineRule="auto"/>
        <w:jc w:val="both"/>
        <w:rPr>
          <w:rFonts w:ascii="Times New Roman" w:hAnsi="Times New Roman" w:cs="Times New Roman"/>
        </w:rPr>
      </w:pPr>
      <w:r>
        <w:rPr>
          <w:rFonts w:ascii="Times New Roman" w:hAnsi="Times New Roman" w:cs="Times New Roman" w:hint="eastAsia"/>
          <w:b/>
          <w:bCs/>
        </w:rPr>
        <w:t xml:space="preserve">Supplemental </w:t>
      </w:r>
      <w:r w:rsidRPr="00886B55">
        <w:rPr>
          <w:rFonts w:ascii="Times New Roman" w:hAnsi="Times New Roman" w:cs="Times New Roman"/>
          <w:b/>
          <w:bCs/>
        </w:rPr>
        <w:t>Figure 2.</w:t>
      </w:r>
      <w:r w:rsidRPr="00886B55">
        <w:rPr>
          <w:rFonts w:ascii="Times New Roman" w:hAnsi="Times New Roman" w:cs="Times New Roman"/>
        </w:rPr>
        <w:t xml:space="preserve"> Receiver operating characteristic (ROC) curves of ultrasound-derived predictors of sarcopenia. ROC curves showing the diagnostic performance of quadriceps femoris thickness (QFT, red), </w:t>
      </w:r>
      <w:proofErr w:type="gramStart"/>
      <w:r w:rsidRPr="00886B55">
        <w:rPr>
          <w:rFonts w:ascii="Times New Roman" w:hAnsi="Times New Roman" w:cs="Times New Roman"/>
        </w:rPr>
        <w:t>rectus</w:t>
      </w:r>
      <w:proofErr w:type="gramEnd"/>
      <w:r w:rsidRPr="00886B55">
        <w:rPr>
          <w:rFonts w:ascii="Times New Roman" w:hAnsi="Times New Roman" w:cs="Times New Roman"/>
        </w:rPr>
        <w:t xml:space="preserve"> femoris cross-sectional area (RFCSA, blue), and vastus lateralis thickness (VLT, green) for identifying sarcopenia. The corresponding AUC values were 0.866 for QFT, 0.838 for RFCSA, and 0.817 for VLT.</w:t>
      </w:r>
    </w:p>
    <w:p w14:paraId="29718E9B" w14:textId="77777777" w:rsidR="00A92278" w:rsidRPr="00A92278" w:rsidRDefault="00A92278"/>
    <w:p w14:paraId="2A97877E" w14:textId="7545EC56" w:rsidR="00A92278" w:rsidRPr="00886B55" w:rsidRDefault="00A92278" w:rsidP="00A92278">
      <w:pPr>
        <w:spacing w:line="480" w:lineRule="auto"/>
        <w:jc w:val="both"/>
        <w:rPr>
          <w:rFonts w:ascii="Times New Roman" w:hAnsi="Times New Roman" w:cs="Times New Roman"/>
        </w:rPr>
      </w:pPr>
      <w:r>
        <w:rPr>
          <w:noProof/>
        </w:rPr>
        <w:lastRenderedPageBreak/>
        <w:drawing>
          <wp:inline distT="0" distB="0" distL="0" distR="0" wp14:anchorId="45C03946" wp14:editId="16889ED9">
            <wp:extent cx="5731510" cy="2718468"/>
            <wp:effectExtent l="0" t="0" r="2540" b="5715"/>
            <wp:docPr id="1234161120" name="그림 3" descr="텍스트, 라인, 그래프, 도표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61120" name="그림 3" descr="텍스트, 라인, 그래프, 도표이(가) 표시된 사진&#10;&#10;AI 생성 콘텐츠는 정확하지 않을 수 있습니다."/>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718468"/>
                    </a:xfrm>
                    <a:prstGeom prst="rect">
                      <a:avLst/>
                    </a:prstGeom>
                    <a:noFill/>
                    <a:ln>
                      <a:noFill/>
                    </a:ln>
                  </pic:spPr>
                </pic:pic>
              </a:graphicData>
            </a:graphic>
          </wp:inline>
        </w:drawing>
      </w:r>
      <w:r w:rsidRPr="00A92278">
        <w:rPr>
          <w:rFonts w:ascii="Times New Roman" w:hAnsi="Times New Roman" w:cs="Times New Roman"/>
          <w:b/>
          <w:bCs/>
        </w:rPr>
        <w:t xml:space="preserve"> </w:t>
      </w:r>
      <w:r>
        <w:rPr>
          <w:rFonts w:ascii="Times New Roman" w:hAnsi="Times New Roman" w:cs="Times New Roman" w:hint="eastAsia"/>
          <w:b/>
          <w:bCs/>
        </w:rPr>
        <w:t xml:space="preserve">Supplemental </w:t>
      </w:r>
      <w:r w:rsidRPr="00886B55">
        <w:rPr>
          <w:rFonts w:ascii="Times New Roman" w:hAnsi="Times New Roman" w:cs="Times New Roman"/>
          <w:b/>
          <w:bCs/>
        </w:rPr>
        <w:t>Figure 3.</w:t>
      </w:r>
      <w:r w:rsidRPr="00886B55">
        <w:rPr>
          <w:rFonts w:ascii="Times New Roman" w:hAnsi="Times New Roman" w:cs="Times New Roman"/>
        </w:rPr>
        <w:t xml:space="preserve"> A scatter plot showing the relationship between the ultrasound-based score and handgrip strength (Left) and skeletal muscle mass index (Right). Each dot represents an individual participant, and the red line indicates the fitted linear regression with 95% confidence intervals (gray band). Higher ultrasound-based scores were associated with lower grip strength (r = –0.352, p &lt; 0.001) and lower skeletal muscle index (r = –0.468, p &lt; 0.001).</w:t>
      </w:r>
    </w:p>
    <w:p w14:paraId="79051AD3" w14:textId="67207290" w:rsidR="00605B08" w:rsidRDefault="00605B08">
      <w:r>
        <w:br w:type="page"/>
      </w:r>
    </w:p>
    <w:p w14:paraId="6766590B" w14:textId="2A536BDC" w:rsidR="004C1626" w:rsidRPr="00EF6A6C" w:rsidRDefault="004C1626" w:rsidP="004C1626">
      <w:pPr>
        <w:spacing w:line="480" w:lineRule="auto"/>
        <w:jc w:val="both"/>
        <w:rPr>
          <w:rFonts w:ascii="Times New Roman" w:hAnsi="Times New Roman" w:cs="Times New Roman"/>
        </w:rPr>
      </w:pPr>
      <w:r>
        <w:rPr>
          <w:rFonts w:ascii="Times New Roman" w:hAnsi="Times New Roman" w:cs="Times New Roman" w:hint="eastAsia"/>
          <w:b/>
          <w:bCs/>
        </w:rPr>
        <w:lastRenderedPageBreak/>
        <w:t xml:space="preserve">Supplemental </w:t>
      </w:r>
      <w:r w:rsidRPr="00044045">
        <w:rPr>
          <w:rFonts w:ascii="Times New Roman" w:hAnsi="Times New Roman" w:cs="Times New Roman"/>
          <w:b/>
          <w:bCs/>
        </w:rPr>
        <w:t xml:space="preserve">Table </w:t>
      </w:r>
      <w:r w:rsidR="00651A43">
        <w:rPr>
          <w:rFonts w:ascii="Times New Roman" w:hAnsi="Times New Roman" w:cs="Times New Roman" w:hint="eastAsia"/>
          <w:b/>
          <w:bCs/>
        </w:rPr>
        <w:t>1</w:t>
      </w:r>
      <w:r w:rsidRPr="00044045">
        <w:rPr>
          <w:rFonts w:ascii="Times New Roman" w:hAnsi="Times New Roman" w:cs="Times New Roman"/>
          <w:b/>
          <w:bCs/>
        </w:rPr>
        <w:t>.</w:t>
      </w:r>
      <w:r w:rsidRPr="00EF6A6C">
        <w:rPr>
          <w:rFonts w:ascii="Times New Roman" w:hAnsi="Times New Roman" w:cs="Times New Roman"/>
        </w:rPr>
        <w:t xml:space="preserve"> Results of multivariable logistic regression of LASSO-selected ultrasound parameters for identifying sarcopenia </w:t>
      </w:r>
    </w:p>
    <w:tbl>
      <w:tblPr>
        <w:tblStyle w:val="ac"/>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4"/>
        <w:gridCol w:w="1274"/>
        <w:gridCol w:w="1274"/>
        <w:gridCol w:w="1274"/>
        <w:gridCol w:w="1274"/>
        <w:gridCol w:w="1274"/>
        <w:gridCol w:w="1274"/>
      </w:tblGrid>
      <w:tr w:rsidR="004C1626" w:rsidRPr="00044045" w14:paraId="02B9552B" w14:textId="77777777" w:rsidTr="00D57D70">
        <w:trPr>
          <w:trHeight w:val="494"/>
        </w:trPr>
        <w:tc>
          <w:tcPr>
            <w:tcW w:w="1274" w:type="dxa"/>
            <w:tcBorders>
              <w:top w:val="single" w:sz="4" w:space="0" w:color="auto"/>
              <w:bottom w:val="single" w:sz="4" w:space="0" w:color="auto"/>
            </w:tcBorders>
          </w:tcPr>
          <w:p w14:paraId="5C72D7C2" w14:textId="77777777" w:rsidR="004C1626" w:rsidRPr="00EF6A6C" w:rsidRDefault="004C1626" w:rsidP="00D57D70">
            <w:pPr>
              <w:spacing w:line="480" w:lineRule="auto"/>
              <w:jc w:val="both"/>
              <w:rPr>
                <w:rFonts w:ascii="Times New Roman" w:hAnsi="Times New Roman" w:cs="Times New Roman"/>
              </w:rPr>
            </w:pPr>
          </w:p>
        </w:tc>
        <w:tc>
          <w:tcPr>
            <w:tcW w:w="1274" w:type="dxa"/>
            <w:tcBorders>
              <w:top w:val="single" w:sz="4" w:space="0" w:color="auto"/>
              <w:bottom w:val="single" w:sz="4" w:space="0" w:color="auto"/>
            </w:tcBorders>
          </w:tcPr>
          <w:p w14:paraId="3CCC025F"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Beta</w:t>
            </w:r>
          </w:p>
        </w:tc>
        <w:tc>
          <w:tcPr>
            <w:tcW w:w="1274" w:type="dxa"/>
            <w:tcBorders>
              <w:top w:val="single" w:sz="4" w:space="0" w:color="auto"/>
              <w:bottom w:val="single" w:sz="4" w:space="0" w:color="auto"/>
            </w:tcBorders>
          </w:tcPr>
          <w:p w14:paraId="7983C8A1"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SE</w:t>
            </w:r>
          </w:p>
        </w:tc>
        <w:tc>
          <w:tcPr>
            <w:tcW w:w="1274" w:type="dxa"/>
            <w:tcBorders>
              <w:top w:val="single" w:sz="4" w:space="0" w:color="auto"/>
              <w:bottom w:val="single" w:sz="4" w:space="0" w:color="auto"/>
            </w:tcBorders>
          </w:tcPr>
          <w:p w14:paraId="4FB4CBB0"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p-value</w:t>
            </w:r>
          </w:p>
        </w:tc>
        <w:tc>
          <w:tcPr>
            <w:tcW w:w="1274" w:type="dxa"/>
            <w:tcBorders>
              <w:top w:val="single" w:sz="4" w:space="0" w:color="auto"/>
              <w:bottom w:val="single" w:sz="4" w:space="0" w:color="auto"/>
            </w:tcBorders>
          </w:tcPr>
          <w:p w14:paraId="65F6FADF"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OR</w:t>
            </w:r>
          </w:p>
        </w:tc>
        <w:tc>
          <w:tcPr>
            <w:tcW w:w="1274" w:type="dxa"/>
            <w:tcBorders>
              <w:top w:val="single" w:sz="4" w:space="0" w:color="auto"/>
              <w:bottom w:val="single" w:sz="4" w:space="0" w:color="auto"/>
            </w:tcBorders>
          </w:tcPr>
          <w:p w14:paraId="4F033858"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CI-low</w:t>
            </w:r>
          </w:p>
        </w:tc>
        <w:tc>
          <w:tcPr>
            <w:tcW w:w="1274" w:type="dxa"/>
            <w:tcBorders>
              <w:top w:val="single" w:sz="4" w:space="0" w:color="auto"/>
              <w:bottom w:val="single" w:sz="4" w:space="0" w:color="auto"/>
            </w:tcBorders>
          </w:tcPr>
          <w:p w14:paraId="4995610F"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CI-high</w:t>
            </w:r>
          </w:p>
        </w:tc>
      </w:tr>
      <w:tr w:rsidR="004C1626" w:rsidRPr="00044045" w14:paraId="60561E24" w14:textId="77777777" w:rsidTr="00D57D70">
        <w:trPr>
          <w:trHeight w:val="494"/>
        </w:trPr>
        <w:tc>
          <w:tcPr>
            <w:tcW w:w="1274" w:type="dxa"/>
            <w:tcBorders>
              <w:top w:val="single" w:sz="4" w:space="0" w:color="auto"/>
            </w:tcBorders>
          </w:tcPr>
          <w:p w14:paraId="1B05087F"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QFT</w:t>
            </w:r>
          </w:p>
        </w:tc>
        <w:tc>
          <w:tcPr>
            <w:tcW w:w="1274" w:type="dxa"/>
            <w:tcBorders>
              <w:top w:val="single" w:sz="4" w:space="0" w:color="auto"/>
            </w:tcBorders>
          </w:tcPr>
          <w:p w14:paraId="2B23BA9F"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−0.157</w:t>
            </w:r>
          </w:p>
        </w:tc>
        <w:tc>
          <w:tcPr>
            <w:tcW w:w="1274" w:type="dxa"/>
            <w:tcBorders>
              <w:top w:val="single" w:sz="4" w:space="0" w:color="auto"/>
            </w:tcBorders>
          </w:tcPr>
          <w:p w14:paraId="14BB1F03"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0.113</w:t>
            </w:r>
          </w:p>
        </w:tc>
        <w:tc>
          <w:tcPr>
            <w:tcW w:w="1274" w:type="dxa"/>
            <w:tcBorders>
              <w:top w:val="single" w:sz="4" w:space="0" w:color="auto"/>
            </w:tcBorders>
          </w:tcPr>
          <w:p w14:paraId="69A160DF"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0.165</w:t>
            </w:r>
          </w:p>
        </w:tc>
        <w:tc>
          <w:tcPr>
            <w:tcW w:w="1274" w:type="dxa"/>
            <w:tcBorders>
              <w:top w:val="single" w:sz="4" w:space="0" w:color="auto"/>
            </w:tcBorders>
          </w:tcPr>
          <w:p w14:paraId="6F0E4059"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0.855</w:t>
            </w:r>
          </w:p>
        </w:tc>
        <w:tc>
          <w:tcPr>
            <w:tcW w:w="1274" w:type="dxa"/>
            <w:tcBorders>
              <w:top w:val="single" w:sz="4" w:space="0" w:color="auto"/>
            </w:tcBorders>
          </w:tcPr>
          <w:p w14:paraId="10C78168"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0.686</w:t>
            </w:r>
          </w:p>
        </w:tc>
        <w:tc>
          <w:tcPr>
            <w:tcW w:w="1274" w:type="dxa"/>
            <w:tcBorders>
              <w:top w:val="single" w:sz="4" w:space="0" w:color="auto"/>
            </w:tcBorders>
          </w:tcPr>
          <w:p w14:paraId="50BC3BFC"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1.067</w:t>
            </w:r>
          </w:p>
        </w:tc>
      </w:tr>
      <w:tr w:rsidR="004C1626" w:rsidRPr="00044045" w14:paraId="7807D4C5" w14:textId="77777777" w:rsidTr="00D57D70">
        <w:trPr>
          <w:trHeight w:val="494"/>
        </w:trPr>
        <w:tc>
          <w:tcPr>
            <w:tcW w:w="1274" w:type="dxa"/>
          </w:tcPr>
          <w:p w14:paraId="62CF44FC"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VLT</w:t>
            </w:r>
          </w:p>
        </w:tc>
        <w:tc>
          <w:tcPr>
            <w:tcW w:w="1274" w:type="dxa"/>
          </w:tcPr>
          <w:p w14:paraId="449665B1"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−0.320</w:t>
            </w:r>
          </w:p>
        </w:tc>
        <w:tc>
          <w:tcPr>
            <w:tcW w:w="1274" w:type="dxa"/>
          </w:tcPr>
          <w:p w14:paraId="58C81197"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0.175</w:t>
            </w:r>
          </w:p>
        </w:tc>
        <w:tc>
          <w:tcPr>
            <w:tcW w:w="1274" w:type="dxa"/>
          </w:tcPr>
          <w:p w14:paraId="0E57A2FA"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0.068</w:t>
            </w:r>
          </w:p>
        </w:tc>
        <w:tc>
          <w:tcPr>
            <w:tcW w:w="1274" w:type="dxa"/>
          </w:tcPr>
          <w:p w14:paraId="5314117C"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0.727</w:t>
            </w:r>
          </w:p>
        </w:tc>
        <w:tc>
          <w:tcPr>
            <w:tcW w:w="1274" w:type="dxa"/>
          </w:tcPr>
          <w:p w14:paraId="43EF9285"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0.516</w:t>
            </w:r>
          </w:p>
        </w:tc>
        <w:tc>
          <w:tcPr>
            <w:tcW w:w="1274" w:type="dxa"/>
          </w:tcPr>
          <w:p w14:paraId="58D4D54D"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1.023</w:t>
            </w:r>
          </w:p>
        </w:tc>
      </w:tr>
      <w:tr w:rsidR="004C1626" w:rsidRPr="00044045" w14:paraId="663AFD45" w14:textId="77777777" w:rsidTr="00D57D70">
        <w:trPr>
          <w:trHeight w:val="494"/>
        </w:trPr>
        <w:tc>
          <w:tcPr>
            <w:tcW w:w="1274" w:type="dxa"/>
          </w:tcPr>
          <w:p w14:paraId="5F7A75B0"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RFCSA</w:t>
            </w:r>
          </w:p>
        </w:tc>
        <w:tc>
          <w:tcPr>
            <w:tcW w:w="1274" w:type="dxa"/>
          </w:tcPr>
          <w:p w14:paraId="7801BEF8"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−0.194</w:t>
            </w:r>
          </w:p>
        </w:tc>
        <w:tc>
          <w:tcPr>
            <w:tcW w:w="1274" w:type="dxa"/>
          </w:tcPr>
          <w:p w14:paraId="76082EB8"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0.590</w:t>
            </w:r>
          </w:p>
        </w:tc>
        <w:tc>
          <w:tcPr>
            <w:tcW w:w="1274" w:type="dxa"/>
          </w:tcPr>
          <w:p w14:paraId="32F54826"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0.742</w:t>
            </w:r>
          </w:p>
        </w:tc>
        <w:tc>
          <w:tcPr>
            <w:tcW w:w="1274" w:type="dxa"/>
          </w:tcPr>
          <w:p w14:paraId="06DDA4A9"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0.824</w:t>
            </w:r>
          </w:p>
        </w:tc>
        <w:tc>
          <w:tcPr>
            <w:tcW w:w="1274" w:type="dxa"/>
          </w:tcPr>
          <w:p w14:paraId="0002AC7C"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0.259</w:t>
            </w:r>
          </w:p>
        </w:tc>
        <w:tc>
          <w:tcPr>
            <w:tcW w:w="1274" w:type="dxa"/>
          </w:tcPr>
          <w:p w14:paraId="019FB04C" w14:textId="77777777" w:rsidR="004C1626" w:rsidRPr="00EF6A6C" w:rsidRDefault="004C1626" w:rsidP="00D57D70">
            <w:pPr>
              <w:spacing w:line="480" w:lineRule="auto"/>
              <w:jc w:val="both"/>
              <w:rPr>
                <w:rFonts w:ascii="Times New Roman" w:hAnsi="Times New Roman" w:cs="Times New Roman"/>
              </w:rPr>
            </w:pPr>
            <w:r w:rsidRPr="00EF6A6C">
              <w:rPr>
                <w:rFonts w:ascii="Times New Roman" w:hAnsi="Times New Roman" w:cs="Times New Roman"/>
              </w:rPr>
              <w:t>2.616</w:t>
            </w:r>
          </w:p>
        </w:tc>
      </w:tr>
    </w:tbl>
    <w:p w14:paraId="00132772" w14:textId="77777777" w:rsidR="004C1626" w:rsidRPr="00EF6A6C" w:rsidRDefault="004C1626" w:rsidP="004C1626">
      <w:pPr>
        <w:spacing w:line="480" w:lineRule="auto"/>
        <w:jc w:val="both"/>
        <w:rPr>
          <w:rFonts w:ascii="Times New Roman" w:hAnsi="Times New Roman" w:cs="Times New Roman"/>
        </w:rPr>
      </w:pPr>
      <w:r w:rsidRPr="00EF6A6C">
        <w:rPr>
          <w:rFonts w:ascii="Times New Roman" w:hAnsi="Times New Roman" w:cs="Times New Roman"/>
        </w:rPr>
        <w:t xml:space="preserve">LASSO, least absolute shrinkage and selection operator; QFT, quadriceps femoris thickness; VLT, vastus lateralis thickness; RFCSA, </w:t>
      </w:r>
      <w:proofErr w:type="gramStart"/>
      <w:r w:rsidRPr="00EF6A6C">
        <w:rPr>
          <w:rFonts w:ascii="Times New Roman" w:hAnsi="Times New Roman" w:cs="Times New Roman"/>
        </w:rPr>
        <w:t>rectus</w:t>
      </w:r>
      <w:proofErr w:type="gramEnd"/>
      <w:r w:rsidRPr="00EF6A6C">
        <w:rPr>
          <w:rFonts w:ascii="Times New Roman" w:hAnsi="Times New Roman" w:cs="Times New Roman"/>
        </w:rPr>
        <w:t xml:space="preserve"> femoris cross-sectional area; </w:t>
      </w:r>
      <w:proofErr w:type="gramStart"/>
      <w:r w:rsidRPr="00EF6A6C">
        <w:rPr>
          <w:rFonts w:ascii="Times New Roman" w:hAnsi="Times New Roman" w:cs="Times New Roman"/>
        </w:rPr>
        <w:t>OR,</w:t>
      </w:r>
      <w:proofErr w:type="gramEnd"/>
      <w:r w:rsidRPr="00EF6A6C">
        <w:rPr>
          <w:rFonts w:ascii="Times New Roman" w:hAnsi="Times New Roman" w:cs="Times New Roman"/>
        </w:rPr>
        <w:t xml:space="preserve"> odds ratio</w:t>
      </w:r>
    </w:p>
    <w:p w14:paraId="62D7DAB3" w14:textId="4B159B22" w:rsidR="00EF40A3" w:rsidRDefault="00EF40A3">
      <w:r>
        <w:br w:type="page"/>
      </w:r>
    </w:p>
    <w:p w14:paraId="16ED441E" w14:textId="6D532605" w:rsidR="00A92278" w:rsidRPr="00B04E7E" w:rsidRDefault="00EF40A3" w:rsidP="00EF40A3">
      <w:pPr>
        <w:spacing w:line="480" w:lineRule="auto"/>
        <w:rPr>
          <w:rFonts w:ascii="Times New Roman" w:hAnsi="Times New Roman" w:cs="Times New Roman"/>
        </w:rPr>
      </w:pPr>
      <w:r w:rsidRPr="00B04E7E">
        <w:rPr>
          <w:rFonts w:ascii="Times New Roman" w:hAnsi="Times New Roman" w:cs="Times New Roman"/>
          <w:b/>
          <w:bCs/>
        </w:rPr>
        <w:lastRenderedPageBreak/>
        <w:t xml:space="preserve">Supplementary Table </w:t>
      </w:r>
      <w:r w:rsidR="00651A43" w:rsidRPr="00B04E7E">
        <w:rPr>
          <w:rFonts w:ascii="Times New Roman" w:hAnsi="Times New Roman" w:cs="Times New Roman" w:hint="eastAsia"/>
          <w:b/>
          <w:bCs/>
        </w:rPr>
        <w:t>2</w:t>
      </w:r>
      <w:r w:rsidRPr="00B04E7E">
        <w:rPr>
          <w:rFonts w:ascii="Times New Roman" w:hAnsi="Times New Roman" w:cs="Times New Roman"/>
          <w:b/>
          <w:bCs/>
        </w:rPr>
        <w:t>.</w:t>
      </w:r>
      <w:r w:rsidRPr="00B04E7E">
        <w:rPr>
          <w:rFonts w:ascii="Times New Roman" w:hAnsi="Times New Roman" w:cs="Times New Roman"/>
        </w:rPr>
        <w:t xml:space="preserve"> Results of bootstrap internal validation for discrimination performance of the ultrasound-based sarcopenia prediction model</w:t>
      </w:r>
    </w:p>
    <w:tbl>
      <w:tblPr>
        <w:tblStyle w:val="ac"/>
        <w:tblW w:w="892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4"/>
        <w:gridCol w:w="4464"/>
      </w:tblGrid>
      <w:tr w:rsidR="00B04E7E" w:rsidRPr="00B04E7E" w14:paraId="45E5BCA6" w14:textId="77777777" w:rsidTr="00EF40A3">
        <w:trPr>
          <w:trHeight w:val="583"/>
        </w:trPr>
        <w:tc>
          <w:tcPr>
            <w:tcW w:w="4464" w:type="dxa"/>
            <w:tcBorders>
              <w:top w:val="single" w:sz="4" w:space="0" w:color="auto"/>
              <w:bottom w:val="single" w:sz="4" w:space="0" w:color="auto"/>
            </w:tcBorders>
            <w:vAlign w:val="center"/>
          </w:tcPr>
          <w:p w14:paraId="3201A087" w14:textId="5818047B" w:rsidR="00EF40A3" w:rsidRPr="00B04E7E" w:rsidRDefault="00EF40A3" w:rsidP="00EF40A3">
            <w:pPr>
              <w:spacing w:line="480" w:lineRule="auto"/>
              <w:jc w:val="center"/>
              <w:rPr>
                <w:rFonts w:ascii="Times New Roman" w:hAnsi="Times New Roman" w:cs="Times New Roman"/>
              </w:rPr>
            </w:pPr>
            <w:r w:rsidRPr="00B04E7E">
              <w:rPr>
                <w:rFonts w:ascii="Times New Roman" w:eastAsia="굴림" w:hAnsi="Times New Roman" w:cs="Times New Roman"/>
                <w:b/>
                <w:bCs/>
                <w:kern w:val="0"/>
                <w:sz w:val="24"/>
                <w14:ligatures w14:val="none"/>
              </w:rPr>
              <w:t>Validation metric</w:t>
            </w:r>
          </w:p>
        </w:tc>
        <w:tc>
          <w:tcPr>
            <w:tcW w:w="4464" w:type="dxa"/>
            <w:tcBorders>
              <w:top w:val="single" w:sz="4" w:space="0" w:color="auto"/>
              <w:bottom w:val="single" w:sz="4" w:space="0" w:color="auto"/>
            </w:tcBorders>
            <w:vAlign w:val="center"/>
          </w:tcPr>
          <w:p w14:paraId="03782BF8" w14:textId="2C70D2A1" w:rsidR="00EF40A3" w:rsidRPr="00B04E7E" w:rsidRDefault="00EF40A3" w:rsidP="00EF40A3">
            <w:pPr>
              <w:spacing w:line="480" w:lineRule="auto"/>
              <w:jc w:val="center"/>
              <w:rPr>
                <w:rFonts w:ascii="Times New Roman" w:hAnsi="Times New Roman" w:cs="Times New Roman"/>
              </w:rPr>
            </w:pPr>
            <w:r w:rsidRPr="00B04E7E">
              <w:rPr>
                <w:rFonts w:ascii="Times New Roman" w:eastAsia="굴림" w:hAnsi="Times New Roman" w:cs="Times New Roman"/>
                <w:b/>
                <w:bCs/>
                <w:kern w:val="0"/>
                <w:sz w:val="24"/>
                <w14:ligatures w14:val="none"/>
              </w:rPr>
              <w:t>Value</w:t>
            </w:r>
          </w:p>
        </w:tc>
      </w:tr>
      <w:tr w:rsidR="00B04E7E" w:rsidRPr="00B04E7E" w14:paraId="3E27356C" w14:textId="77777777" w:rsidTr="00EF40A3">
        <w:trPr>
          <w:trHeight w:val="574"/>
        </w:trPr>
        <w:tc>
          <w:tcPr>
            <w:tcW w:w="4464" w:type="dxa"/>
            <w:tcBorders>
              <w:top w:val="single" w:sz="4" w:space="0" w:color="auto"/>
            </w:tcBorders>
            <w:vAlign w:val="center"/>
          </w:tcPr>
          <w:p w14:paraId="7B3A4C4B" w14:textId="7F4D2C32" w:rsidR="00EF40A3" w:rsidRPr="00B04E7E" w:rsidRDefault="00EF40A3" w:rsidP="00EF40A3">
            <w:pPr>
              <w:spacing w:line="480" w:lineRule="auto"/>
              <w:jc w:val="center"/>
              <w:rPr>
                <w:rFonts w:ascii="Times New Roman" w:hAnsi="Times New Roman" w:cs="Times New Roman"/>
              </w:rPr>
            </w:pPr>
            <w:r w:rsidRPr="00B04E7E">
              <w:rPr>
                <w:rFonts w:ascii="Times New Roman" w:eastAsia="굴림" w:hAnsi="Times New Roman" w:cs="Times New Roman"/>
                <w:kern w:val="0"/>
                <w:sz w:val="24"/>
                <w14:ligatures w14:val="none"/>
              </w:rPr>
              <w:t>Apparent AUC</w:t>
            </w:r>
          </w:p>
        </w:tc>
        <w:tc>
          <w:tcPr>
            <w:tcW w:w="4464" w:type="dxa"/>
            <w:tcBorders>
              <w:top w:val="single" w:sz="4" w:space="0" w:color="auto"/>
            </w:tcBorders>
            <w:vAlign w:val="center"/>
          </w:tcPr>
          <w:p w14:paraId="068DC85E" w14:textId="4EA585D4" w:rsidR="00EF40A3" w:rsidRPr="00B04E7E" w:rsidRDefault="00EF40A3" w:rsidP="00EF40A3">
            <w:pPr>
              <w:spacing w:line="480" w:lineRule="auto"/>
              <w:jc w:val="center"/>
              <w:rPr>
                <w:rFonts w:ascii="Times New Roman" w:hAnsi="Times New Roman" w:cs="Times New Roman"/>
              </w:rPr>
            </w:pPr>
            <w:r w:rsidRPr="00B04E7E">
              <w:rPr>
                <w:rFonts w:ascii="Times New Roman" w:eastAsia="굴림" w:hAnsi="Times New Roman" w:cs="Times New Roman"/>
                <w:kern w:val="0"/>
                <w:sz w:val="24"/>
                <w14:ligatures w14:val="none"/>
              </w:rPr>
              <w:t>0.871</w:t>
            </w:r>
          </w:p>
        </w:tc>
      </w:tr>
      <w:tr w:rsidR="00B04E7E" w:rsidRPr="00B04E7E" w14:paraId="43835D91" w14:textId="77777777" w:rsidTr="00EF40A3">
        <w:trPr>
          <w:trHeight w:val="583"/>
        </w:trPr>
        <w:tc>
          <w:tcPr>
            <w:tcW w:w="4464" w:type="dxa"/>
            <w:vAlign w:val="center"/>
          </w:tcPr>
          <w:p w14:paraId="588C9ABB" w14:textId="3F0C0609" w:rsidR="00EF40A3" w:rsidRPr="00B04E7E" w:rsidRDefault="00EF40A3" w:rsidP="00EF40A3">
            <w:pPr>
              <w:spacing w:line="480" w:lineRule="auto"/>
              <w:jc w:val="center"/>
              <w:rPr>
                <w:rFonts w:ascii="Times New Roman" w:hAnsi="Times New Roman" w:cs="Times New Roman"/>
              </w:rPr>
            </w:pPr>
            <w:r w:rsidRPr="00B04E7E">
              <w:rPr>
                <w:rFonts w:ascii="Times New Roman" w:eastAsia="굴림" w:hAnsi="Times New Roman" w:cs="Times New Roman"/>
                <w:kern w:val="0"/>
                <w:sz w:val="24"/>
                <w14:ligatures w14:val="none"/>
              </w:rPr>
              <w:t>Optimism</w:t>
            </w:r>
          </w:p>
        </w:tc>
        <w:tc>
          <w:tcPr>
            <w:tcW w:w="4464" w:type="dxa"/>
            <w:vAlign w:val="center"/>
          </w:tcPr>
          <w:p w14:paraId="2518D90B" w14:textId="4B504FF3" w:rsidR="00EF40A3" w:rsidRPr="00B04E7E" w:rsidRDefault="00EF40A3" w:rsidP="00EF40A3">
            <w:pPr>
              <w:spacing w:line="480" w:lineRule="auto"/>
              <w:jc w:val="center"/>
              <w:rPr>
                <w:rFonts w:ascii="Times New Roman" w:hAnsi="Times New Roman" w:cs="Times New Roman"/>
              </w:rPr>
            </w:pPr>
            <w:r w:rsidRPr="00B04E7E">
              <w:rPr>
                <w:rFonts w:ascii="Times New Roman" w:eastAsia="굴림" w:hAnsi="Times New Roman" w:cs="Times New Roman"/>
                <w:kern w:val="0"/>
                <w:sz w:val="24"/>
                <w14:ligatures w14:val="none"/>
              </w:rPr>
              <w:t>0.025</w:t>
            </w:r>
          </w:p>
        </w:tc>
      </w:tr>
      <w:tr w:rsidR="00B04E7E" w:rsidRPr="00B04E7E" w14:paraId="61697CF7" w14:textId="77777777" w:rsidTr="00EF40A3">
        <w:trPr>
          <w:trHeight w:val="574"/>
        </w:trPr>
        <w:tc>
          <w:tcPr>
            <w:tcW w:w="4464" w:type="dxa"/>
            <w:vAlign w:val="center"/>
          </w:tcPr>
          <w:p w14:paraId="14AFD637" w14:textId="6317FE75" w:rsidR="00EF40A3" w:rsidRPr="00B04E7E" w:rsidRDefault="00EF40A3" w:rsidP="00EF40A3">
            <w:pPr>
              <w:spacing w:line="480" w:lineRule="auto"/>
              <w:jc w:val="center"/>
              <w:rPr>
                <w:rFonts w:ascii="Times New Roman" w:hAnsi="Times New Roman" w:cs="Times New Roman"/>
              </w:rPr>
            </w:pPr>
            <w:r w:rsidRPr="00B04E7E">
              <w:rPr>
                <w:rFonts w:ascii="Times New Roman" w:eastAsia="굴림" w:hAnsi="Times New Roman" w:cs="Times New Roman"/>
                <w:kern w:val="0"/>
                <w:sz w:val="24"/>
                <w14:ligatures w14:val="none"/>
              </w:rPr>
              <w:t>Optimism-corrected AUC</w:t>
            </w:r>
          </w:p>
        </w:tc>
        <w:tc>
          <w:tcPr>
            <w:tcW w:w="4464" w:type="dxa"/>
            <w:vAlign w:val="center"/>
          </w:tcPr>
          <w:p w14:paraId="38B9CB1B" w14:textId="2A89BEE6" w:rsidR="00EF40A3" w:rsidRPr="00B04E7E" w:rsidRDefault="00EF40A3" w:rsidP="00EF40A3">
            <w:pPr>
              <w:spacing w:line="480" w:lineRule="auto"/>
              <w:jc w:val="center"/>
              <w:rPr>
                <w:rFonts w:ascii="Times New Roman" w:hAnsi="Times New Roman" w:cs="Times New Roman"/>
              </w:rPr>
            </w:pPr>
            <w:r w:rsidRPr="00B04E7E">
              <w:rPr>
                <w:rFonts w:ascii="Times New Roman" w:eastAsia="굴림" w:hAnsi="Times New Roman" w:cs="Times New Roman"/>
                <w:kern w:val="0"/>
                <w:sz w:val="24"/>
                <w14:ligatures w14:val="none"/>
              </w:rPr>
              <w:t>0.846</w:t>
            </w:r>
          </w:p>
        </w:tc>
      </w:tr>
    </w:tbl>
    <w:p w14:paraId="6BD8966F" w14:textId="37A71904" w:rsidR="00EF40A3" w:rsidRPr="00B04E7E" w:rsidRDefault="00EF40A3" w:rsidP="00EF40A3">
      <w:pPr>
        <w:spacing w:line="480" w:lineRule="auto"/>
        <w:rPr>
          <w:rFonts w:ascii="Times New Roman" w:hAnsi="Times New Roman" w:cs="Times New Roman"/>
        </w:rPr>
      </w:pPr>
      <w:r w:rsidRPr="00B04E7E">
        <w:rPr>
          <w:rFonts w:ascii="Times New Roman" w:hAnsi="Times New Roman" w:cs="Times New Roman"/>
        </w:rPr>
        <w:t>AUC, area under the receiver operating characteristic curve.</w:t>
      </w:r>
      <w:r w:rsidRPr="00B04E7E">
        <w:rPr>
          <w:rFonts w:ascii="Times New Roman" w:hAnsi="Times New Roman" w:cs="Times New Roman"/>
        </w:rPr>
        <w:br/>
        <w:t>Internal validation was performed using bootstrap resampling.</w:t>
      </w:r>
    </w:p>
    <w:sectPr w:rsidR="00EF40A3" w:rsidRPr="00B04E7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A5D05" w14:textId="77777777" w:rsidR="00CA0F46" w:rsidRDefault="00CA0F46" w:rsidP="00605B08">
      <w:pPr>
        <w:spacing w:after="0"/>
      </w:pPr>
      <w:r>
        <w:separator/>
      </w:r>
    </w:p>
  </w:endnote>
  <w:endnote w:type="continuationSeparator" w:id="0">
    <w:p w14:paraId="3720CC7E" w14:textId="77777777" w:rsidR="00CA0F46" w:rsidRDefault="00CA0F46" w:rsidP="00605B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AA300" w14:textId="77777777" w:rsidR="00CA0F46" w:rsidRDefault="00CA0F46" w:rsidP="00605B08">
      <w:pPr>
        <w:spacing w:after="0"/>
      </w:pPr>
      <w:r>
        <w:separator/>
      </w:r>
    </w:p>
  </w:footnote>
  <w:footnote w:type="continuationSeparator" w:id="0">
    <w:p w14:paraId="6FC6B68B" w14:textId="77777777" w:rsidR="00CA0F46" w:rsidRDefault="00CA0F46" w:rsidP="00605B0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278"/>
    <w:rsid w:val="0017275A"/>
    <w:rsid w:val="002777C3"/>
    <w:rsid w:val="00302AD9"/>
    <w:rsid w:val="004217B9"/>
    <w:rsid w:val="0048064A"/>
    <w:rsid w:val="004C1626"/>
    <w:rsid w:val="00605B08"/>
    <w:rsid w:val="00651A43"/>
    <w:rsid w:val="00740CAE"/>
    <w:rsid w:val="00A92278"/>
    <w:rsid w:val="00B04E7E"/>
    <w:rsid w:val="00B74AF3"/>
    <w:rsid w:val="00C80984"/>
    <w:rsid w:val="00CA0F46"/>
    <w:rsid w:val="00E00754"/>
    <w:rsid w:val="00E06541"/>
    <w:rsid w:val="00E75ED1"/>
    <w:rsid w:val="00EF40A3"/>
    <w:rsid w:val="00FB44F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28A86"/>
  <w15:chartTrackingRefBased/>
  <w15:docId w15:val="{431E2904-7C29-44C8-BFA6-3A70B83D5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A9227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A9227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A9227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A9227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A9227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A9227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A9227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A9227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A9227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92278"/>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A92278"/>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A92278"/>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A92278"/>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A92278"/>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A92278"/>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A92278"/>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A92278"/>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A92278"/>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A92278"/>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9227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9227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A92278"/>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92278"/>
    <w:pPr>
      <w:spacing w:before="160"/>
      <w:jc w:val="center"/>
    </w:pPr>
    <w:rPr>
      <w:i/>
      <w:iCs/>
      <w:color w:val="404040" w:themeColor="text1" w:themeTint="BF"/>
    </w:rPr>
  </w:style>
  <w:style w:type="character" w:customStyle="1" w:styleId="Char1">
    <w:name w:val="인용 Char"/>
    <w:basedOn w:val="a0"/>
    <w:link w:val="a5"/>
    <w:uiPriority w:val="29"/>
    <w:rsid w:val="00A92278"/>
    <w:rPr>
      <w:i/>
      <w:iCs/>
      <w:color w:val="404040" w:themeColor="text1" w:themeTint="BF"/>
    </w:rPr>
  </w:style>
  <w:style w:type="paragraph" w:styleId="a6">
    <w:name w:val="List Paragraph"/>
    <w:basedOn w:val="a"/>
    <w:uiPriority w:val="34"/>
    <w:qFormat/>
    <w:rsid w:val="00A92278"/>
    <w:pPr>
      <w:ind w:left="720"/>
      <w:contextualSpacing/>
    </w:pPr>
  </w:style>
  <w:style w:type="character" w:styleId="a7">
    <w:name w:val="Intense Emphasis"/>
    <w:basedOn w:val="a0"/>
    <w:uiPriority w:val="21"/>
    <w:qFormat/>
    <w:rsid w:val="00A92278"/>
    <w:rPr>
      <w:i/>
      <w:iCs/>
      <w:color w:val="0F4761" w:themeColor="accent1" w:themeShade="BF"/>
    </w:rPr>
  </w:style>
  <w:style w:type="paragraph" w:styleId="a8">
    <w:name w:val="Intense Quote"/>
    <w:basedOn w:val="a"/>
    <w:next w:val="a"/>
    <w:link w:val="Char2"/>
    <w:uiPriority w:val="30"/>
    <w:qFormat/>
    <w:rsid w:val="00A92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A92278"/>
    <w:rPr>
      <w:i/>
      <w:iCs/>
      <w:color w:val="0F4761" w:themeColor="accent1" w:themeShade="BF"/>
    </w:rPr>
  </w:style>
  <w:style w:type="character" w:styleId="a9">
    <w:name w:val="Intense Reference"/>
    <w:basedOn w:val="a0"/>
    <w:uiPriority w:val="32"/>
    <w:qFormat/>
    <w:rsid w:val="00A92278"/>
    <w:rPr>
      <w:b/>
      <w:bCs/>
      <w:smallCaps/>
      <w:color w:val="0F4761" w:themeColor="accent1" w:themeShade="BF"/>
      <w:spacing w:val="5"/>
    </w:rPr>
  </w:style>
  <w:style w:type="paragraph" w:styleId="aa">
    <w:name w:val="header"/>
    <w:basedOn w:val="a"/>
    <w:link w:val="Char3"/>
    <w:uiPriority w:val="99"/>
    <w:unhideWhenUsed/>
    <w:rsid w:val="00605B08"/>
    <w:pPr>
      <w:tabs>
        <w:tab w:val="center" w:pos="4513"/>
        <w:tab w:val="right" w:pos="9026"/>
      </w:tabs>
      <w:snapToGrid w:val="0"/>
    </w:pPr>
  </w:style>
  <w:style w:type="character" w:customStyle="1" w:styleId="Char3">
    <w:name w:val="머리글 Char"/>
    <w:basedOn w:val="a0"/>
    <w:link w:val="aa"/>
    <w:uiPriority w:val="99"/>
    <w:rsid w:val="00605B08"/>
  </w:style>
  <w:style w:type="paragraph" w:styleId="ab">
    <w:name w:val="footer"/>
    <w:basedOn w:val="a"/>
    <w:link w:val="Char4"/>
    <w:uiPriority w:val="99"/>
    <w:unhideWhenUsed/>
    <w:rsid w:val="00605B08"/>
    <w:pPr>
      <w:tabs>
        <w:tab w:val="center" w:pos="4513"/>
        <w:tab w:val="right" w:pos="9026"/>
      </w:tabs>
      <w:snapToGrid w:val="0"/>
    </w:pPr>
  </w:style>
  <w:style w:type="character" w:customStyle="1" w:styleId="Char4">
    <w:name w:val="바닥글 Char"/>
    <w:basedOn w:val="a0"/>
    <w:link w:val="ab"/>
    <w:uiPriority w:val="99"/>
    <w:rsid w:val="00605B08"/>
  </w:style>
  <w:style w:type="table" w:styleId="ac">
    <w:name w:val="Table Grid"/>
    <w:basedOn w:val="a1"/>
    <w:uiPriority w:val="39"/>
    <w:rsid w:val="004C162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356</Words>
  <Characters>2030</Characters>
  <Application>Microsoft Office Word</Application>
  <DocSecurity>0</DocSecurity>
  <Lines>16</Lines>
  <Paragraphs>4</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병찬 이</dc:creator>
  <cp:keywords/>
  <dc:description/>
  <cp:lastModifiedBy>병찬 이</cp:lastModifiedBy>
  <cp:revision>2</cp:revision>
  <cp:lastPrinted>2026-03-20T08:12:00Z</cp:lastPrinted>
  <dcterms:created xsi:type="dcterms:W3CDTF">2026-03-21T14:38:00Z</dcterms:created>
  <dcterms:modified xsi:type="dcterms:W3CDTF">2026-03-21T14:38:00Z</dcterms:modified>
</cp:coreProperties>
</file>