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984" w:rsidRDefault="00E42E76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bCs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Trend test of association of number of LNR and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sz w:val="20"/>
          <w:szCs w:val="20"/>
        </w:rPr>
        <w:t>otal mortality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(Stratification by histology)</w:t>
      </w:r>
    </w:p>
    <w:tbl>
      <w:tblPr>
        <w:tblW w:w="14332" w:type="dxa"/>
        <w:tblInd w:w="42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2410"/>
        <w:gridCol w:w="2409"/>
        <w:gridCol w:w="2552"/>
        <w:gridCol w:w="2551"/>
        <w:gridCol w:w="2410"/>
      </w:tblGrid>
      <w:tr w:rsidR="00E34984">
        <w:trPr>
          <w:trHeight w:val="284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 w:hint="eastAsia"/>
                <w:b/>
                <w:bCs/>
                <w:sz w:val="20"/>
                <w:szCs w:val="20"/>
              </w:rPr>
              <w:t>L</w:t>
            </w:r>
            <w:r>
              <w:rPr>
                <w:rFonts w:eastAsia="等线" w:cs="Times New Roman"/>
                <w:b/>
                <w:bCs/>
                <w:sz w:val="20"/>
                <w:szCs w:val="20"/>
              </w:rPr>
              <w:t>NR</w:t>
            </w:r>
          </w:p>
        </w:tc>
        <w:tc>
          <w:tcPr>
            <w:tcW w:w="1233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jc w:val="center"/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>Histology</w:t>
            </w:r>
          </w:p>
        </w:tc>
      </w:tr>
      <w:tr w:rsidR="00E34984">
        <w:trPr>
          <w:trHeight w:val="284"/>
        </w:trPr>
        <w:tc>
          <w:tcPr>
            <w:tcW w:w="2000" w:type="dxa"/>
            <w:vMerge/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>SCC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>ADC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>ADSC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>Large-cell carcinoma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>Other</w:t>
            </w:r>
          </w:p>
        </w:tc>
      </w:tr>
      <w:tr w:rsidR="00E34984">
        <w:trPr>
          <w:trHeight w:val="284"/>
        </w:trPr>
        <w:tc>
          <w:tcPr>
            <w:tcW w:w="20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 xml:space="preserve">HR (95% CI) </w:t>
            </w:r>
            <w:r>
              <w:rPr>
                <w:rFonts w:eastAsia="等线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eastAsia="等线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 xml:space="preserve">HR (95% CI) </w:t>
            </w:r>
            <w:r>
              <w:rPr>
                <w:rFonts w:eastAsia="等线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eastAsia="等线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 xml:space="preserve">HR (95% CI) </w:t>
            </w:r>
            <w:r>
              <w:rPr>
                <w:rFonts w:eastAsia="等线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eastAsia="等线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 xml:space="preserve">HR (95% CI) </w:t>
            </w:r>
            <w:r>
              <w:rPr>
                <w:rFonts w:eastAsia="等线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eastAsia="等线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 xml:space="preserve">HR (95% CI) </w:t>
            </w:r>
            <w:r>
              <w:rPr>
                <w:rFonts w:eastAsia="等线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eastAsia="等线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E34984">
        <w:trPr>
          <w:trHeight w:val="284"/>
        </w:trPr>
        <w:tc>
          <w:tcPr>
            <w:tcW w:w="20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Model I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　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</w:tcPr>
          <w:p w:rsidR="00E34984" w:rsidRDefault="00E42E76">
            <w:pPr>
              <w:ind w:firstLineChars="150" w:firstLine="300"/>
              <w:rPr>
                <w:rFonts w:eastAsia="等线" w:cs="Times New Roman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≥</w:t>
            </w:r>
            <w:r>
              <w:rPr>
                <w:rFonts w:eastAsia="等线" w:cs="Times New Roman" w:hint="eastAsia"/>
                <w:sz w:val="20"/>
                <w:szCs w:val="20"/>
              </w:rPr>
              <w:t>0,</w:t>
            </w:r>
            <w:r>
              <w:rPr>
                <w:rFonts w:eastAsia="等线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等线" w:cs="Times New Roman"/>
                <w:sz w:val="20"/>
                <w:szCs w:val="20"/>
              </w:rPr>
              <w:t>&lt;0.1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</w:tcPr>
          <w:p w:rsidR="00E34984" w:rsidRDefault="00E42E76">
            <w:pPr>
              <w:ind w:firstLineChars="150" w:firstLine="300"/>
              <w:rPr>
                <w:rFonts w:eastAsia="等线" w:cs="Times New Roman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≥</w:t>
            </w:r>
            <w:r>
              <w:rPr>
                <w:rFonts w:eastAsia="等线" w:cs="Times New Roman"/>
                <w:sz w:val="20"/>
                <w:szCs w:val="20"/>
              </w:rPr>
              <w:t>0.1, &lt;0.4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1.78 (1.54, 2.06) &lt;0.0001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2.48 (2.26, 2.71) &lt;0.0001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1.53 (1.10, 2.15) 0.0126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3.72 (1.95, 7.11) &lt;0.0001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2.08 (1.76, 2.44) &lt;0.0001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   </w:t>
            </w: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≥</w:t>
            </w:r>
            <w:r>
              <w:rPr>
                <w:rFonts w:eastAsia="等线" w:cs="Times New Roman"/>
                <w:sz w:val="20"/>
                <w:szCs w:val="20"/>
              </w:rPr>
              <w:t xml:space="preserve">0.4, </w:t>
            </w: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≤</w:t>
            </w:r>
            <w:r>
              <w:rPr>
                <w:rFonts w:eastAsia="等线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3.14 (2.43, 4.07) &lt;0.0001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3.44 (2.94, 4.01) &lt;0.0001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2.64 (1.49, 4.67) 0.0009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7.64 (2.40, 24.27) 0.0006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3.20 (2.41, 4.24) &lt;0.0001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eastAsia="等线" w:cs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Increase of per level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1.78 (1.61, 1.96)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2.07 (1.95, 2.19)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1.58 (1.27, 1.98)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3.10 (2.03, 4.76)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1.90 (1.71, 2.11)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Model II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sz w:val="20"/>
                <w:szCs w:val="20"/>
              </w:rPr>
            </w:pP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</w:tcPr>
          <w:p w:rsidR="00E34984" w:rsidRDefault="00E42E76">
            <w:pPr>
              <w:ind w:firstLineChars="150" w:firstLine="300"/>
              <w:rPr>
                <w:rFonts w:eastAsia="等线" w:cs="Times New Roman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≥</w:t>
            </w:r>
            <w:r>
              <w:rPr>
                <w:rFonts w:eastAsia="等线" w:cs="Times New Roman" w:hint="eastAsia"/>
                <w:sz w:val="20"/>
                <w:szCs w:val="20"/>
              </w:rPr>
              <w:t>0,</w:t>
            </w:r>
            <w:r>
              <w:rPr>
                <w:rFonts w:eastAsia="等线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等线" w:cs="Times New Roman"/>
                <w:sz w:val="20"/>
                <w:szCs w:val="20"/>
              </w:rPr>
              <w:t>&lt;0.1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</w:tcPr>
          <w:p w:rsidR="00E34984" w:rsidRDefault="00E42E76">
            <w:pPr>
              <w:ind w:firstLineChars="150" w:firstLine="300"/>
              <w:rPr>
                <w:rFonts w:eastAsia="等线" w:cs="Times New Roman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≥</w:t>
            </w:r>
            <w:r>
              <w:rPr>
                <w:rFonts w:eastAsia="等线" w:cs="Times New Roman"/>
                <w:sz w:val="20"/>
                <w:szCs w:val="20"/>
              </w:rPr>
              <w:t>0.1, &lt;0.4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1.83 (1.58, 2.11) &lt;0.0001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2.52 (2.30, 2.76) &lt;0.0001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1.53 (1.10, 2.15) 0.0128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4.05 (2.11, 7.77) &lt;0.0001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2.19 (1.86, 2.58) &lt;0.0001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   </w:t>
            </w: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≥</w:t>
            </w:r>
            <w:r>
              <w:rPr>
                <w:rFonts w:eastAsia="等线" w:cs="Times New Roman"/>
                <w:sz w:val="20"/>
                <w:szCs w:val="20"/>
              </w:rPr>
              <w:t xml:space="preserve">0.4, </w:t>
            </w: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≤</w:t>
            </w:r>
            <w:r>
              <w:rPr>
                <w:rFonts w:eastAsia="等线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3.16 (2.44, 4.09) &lt;0.0001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3.62 (3.10, 4.22) &lt;0.0001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3.35 (1.88, 5.96) </w:t>
            </w: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10.85 (3.34, 35.29) &lt;0.0001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3.38 (2.54, 4.48) &lt;0.0001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eastAsia="等线" w:cs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Increase of per level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1.80 (1.63, 1.98)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2.11 (1.99, 2.24)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1.69 (1.35, 2.12)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3.59 (2.30, 5.58)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1.97 (1.77, 2.19)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Model III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34984" w:rsidRDefault="00E34984">
            <w:pPr>
              <w:rPr>
                <w:rFonts w:eastAsia="等线" w:cs="Times New Roman"/>
                <w:sz w:val="20"/>
                <w:szCs w:val="20"/>
              </w:rPr>
            </w:pP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</w:tcPr>
          <w:p w:rsidR="00E34984" w:rsidRDefault="00E42E76">
            <w:pPr>
              <w:ind w:firstLineChars="150" w:firstLine="300"/>
              <w:rPr>
                <w:rFonts w:eastAsia="等线" w:cs="Times New Roman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≥</w:t>
            </w:r>
            <w:r>
              <w:rPr>
                <w:rFonts w:eastAsia="等线" w:cs="Times New Roman" w:hint="eastAsia"/>
                <w:sz w:val="20"/>
                <w:szCs w:val="20"/>
              </w:rPr>
              <w:t>0,</w:t>
            </w:r>
            <w:r>
              <w:rPr>
                <w:rFonts w:eastAsia="等线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等线" w:cs="Times New Roman"/>
                <w:sz w:val="20"/>
                <w:szCs w:val="20"/>
              </w:rPr>
              <w:t>&lt;0.1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1.0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</w:tcPr>
          <w:p w:rsidR="00E34984" w:rsidRDefault="00E42E76">
            <w:pPr>
              <w:ind w:firstLineChars="150" w:firstLine="300"/>
              <w:rPr>
                <w:rFonts w:eastAsia="等线" w:cs="Times New Roman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≥</w:t>
            </w:r>
            <w:r>
              <w:rPr>
                <w:rFonts w:eastAsia="等线" w:cs="Times New Roman"/>
                <w:sz w:val="20"/>
                <w:szCs w:val="20"/>
              </w:rPr>
              <w:t>0.1, &lt;0.4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1.90 (1.64, 2.20) &lt;0.0001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2.09 (1.90, 2.30) &lt;0.0001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1.38 (0.97, 1.97) 0.0723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3.97 (1.91, 8.28) 0.0002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1.59 (1.34, 1.88) &lt;0.0001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   </w:t>
            </w: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≥</w:t>
            </w:r>
            <w:r>
              <w:rPr>
                <w:rFonts w:eastAsia="等线" w:cs="Times New Roman"/>
                <w:sz w:val="20"/>
                <w:szCs w:val="20"/>
              </w:rPr>
              <w:t xml:space="preserve">0.4, </w:t>
            </w:r>
            <w:r>
              <w:rPr>
                <w:rFonts w:ascii="等线" w:eastAsia="等线" w:hAnsi="等线" w:cs="Times New Roman" w:hint="eastAsia"/>
                <w:sz w:val="20"/>
                <w:szCs w:val="20"/>
              </w:rPr>
              <w:t>≤</w:t>
            </w:r>
            <w:r>
              <w:rPr>
                <w:rFonts w:eastAsia="等线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3.00 (2.31, 3.90) &lt;0.0001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2.90 (2.48, 3.40) &lt;0.0001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3.27 (1.81, 5.88) &lt;0.0001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21.83</w:t>
            </w:r>
            <w:r>
              <w:rPr>
                <w:rFonts w:eastAsia="等线" w:cs="Times New Roman"/>
                <w:sz w:val="20"/>
                <w:szCs w:val="20"/>
              </w:rPr>
              <w:t xml:space="preserve"> (6.04, 78.86) &lt;0.0001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2.51 (1.88, 3.35) &lt;0.0001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eastAsia="等线" w:cs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0.0001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&lt;0.0001</w:t>
            </w:r>
          </w:p>
        </w:tc>
      </w:tr>
      <w:tr w:rsidR="00E34984">
        <w:trPr>
          <w:trHeight w:val="284"/>
        </w:trPr>
        <w:tc>
          <w:tcPr>
            <w:tcW w:w="2000" w:type="dxa"/>
            <w:shd w:val="clear" w:color="auto" w:fill="auto"/>
            <w:vAlign w:val="center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>Increase of per level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1.80 (1.63, 1.99) </w:t>
            </w:r>
          </w:p>
        </w:tc>
        <w:tc>
          <w:tcPr>
            <w:tcW w:w="2409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1.84 (1.73, 1.95) </w:t>
            </w:r>
          </w:p>
        </w:tc>
        <w:tc>
          <w:tcPr>
            <w:tcW w:w="2552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1.60 (1.26, 2.04) </w:t>
            </w:r>
          </w:p>
        </w:tc>
        <w:tc>
          <w:tcPr>
            <w:tcW w:w="2551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4.35 (2.62, 7.21) </w:t>
            </w:r>
          </w:p>
        </w:tc>
        <w:tc>
          <w:tcPr>
            <w:tcW w:w="2410" w:type="dxa"/>
            <w:shd w:val="clear" w:color="auto" w:fill="auto"/>
          </w:tcPr>
          <w:p w:rsidR="00E34984" w:rsidRDefault="00E42E76">
            <w:pPr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sz w:val="20"/>
                <w:szCs w:val="20"/>
              </w:rPr>
              <w:t xml:space="preserve">1.59 (1.41, 1.78) </w:t>
            </w:r>
          </w:p>
        </w:tc>
      </w:tr>
    </w:tbl>
    <w:p w:rsidR="00E34984" w:rsidRDefault="00E42E76">
      <w:pPr>
        <w:ind w:leftChars="202" w:left="485" w:rightChars="312" w:right="749" w:firstLine="1"/>
        <w:rPr>
          <w:rFonts w:eastAsia="等线" w:cs="Times New Roman"/>
          <w:sz w:val="20"/>
          <w:szCs w:val="20"/>
        </w:rPr>
      </w:pPr>
      <w:r>
        <w:rPr>
          <w:rFonts w:cs="Times New Roman"/>
          <w:sz w:val="18"/>
          <w:szCs w:val="18"/>
          <w:shd w:val="clear" w:color="auto" w:fill="FFFFFF"/>
        </w:rPr>
        <w:t> </w:t>
      </w:r>
      <w:r>
        <w:rPr>
          <w:rFonts w:eastAsia="等线" w:cs="Times New Roman"/>
          <w:sz w:val="18"/>
          <w:szCs w:val="18"/>
        </w:rPr>
        <w:t xml:space="preserve">Model I adjusted for: None. Model </w:t>
      </w:r>
      <w:r>
        <w:rPr>
          <w:rFonts w:eastAsia="等线" w:cs="Times New Roman"/>
          <w:sz w:val="18"/>
          <w:szCs w:val="18"/>
        </w:rPr>
        <w:t>II model adjusted for: Age; Sex. Model III adjusted for: Age; Sex; Primary site; Grade; T stage; Operation type; Radiotherapy; Chemotherapy.</w:t>
      </w:r>
      <w:r>
        <w:rPr>
          <w:rStyle w:val="phrs-text"/>
          <w:rFonts w:cs="Times New Roman"/>
          <w:sz w:val="18"/>
          <w:szCs w:val="18"/>
          <w:shd w:val="clear" w:color="auto" w:fill="FFFFFF"/>
        </w:rPr>
        <w:t xml:space="preserve"> A</w:t>
      </w:r>
      <w:r>
        <w:rPr>
          <w:rFonts w:eastAsia="等线" w:cs="Times New Roman"/>
          <w:sz w:val="18"/>
          <w:szCs w:val="18"/>
        </w:rPr>
        <w:t>bbreviation: LNR, Lymph Nodes Ratio; HR: hazard ratio; CI:</w:t>
      </w:r>
      <w:r>
        <w:rPr>
          <w:rFonts w:cs="Times New Roman"/>
          <w:sz w:val="18"/>
          <w:szCs w:val="18"/>
          <w:shd w:val="clear" w:color="auto" w:fill="FFFFFF"/>
        </w:rPr>
        <w:t xml:space="preserve"> </w:t>
      </w:r>
      <w:r>
        <w:rPr>
          <w:rFonts w:eastAsia="等线" w:cs="Times New Roman"/>
          <w:sz w:val="18"/>
          <w:szCs w:val="18"/>
        </w:rPr>
        <w:t>Confidence Interval.</w:t>
      </w:r>
      <w:r>
        <w:rPr>
          <w:rFonts w:eastAsia="等线" w:cs="Times New Roman"/>
          <w:sz w:val="20"/>
          <w:szCs w:val="20"/>
        </w:rPr>
        <w:t>; SCC, squamous cell carcinoma; ADC</w:t>
      </w:r>
      <w:r>
        <w:rPr>
          <w:rFonts w:eastAsia="等线" w:cs="Times New Roman"/>
          <w:sz w:val="20"/>
          <w:szCs w:val="20"/>
        </w:rPr>
        <w:t>, adenocarcinoma; ADSC, adenosquamous carcinoma.</w:t>
      </w:r>
    </w:p>
    <w:p w:rsidR="00E34984" w:rsidRDefault="00E34984">
      <w:pPr>
        <w:rPr>
          <w:rFonts w:eastAsia="等线" w:cs="Times New Roman"/>
          <w:sz w:val="20"/>
          <w:szCs w:val="20"/>
        </w:rPr>
      </w:pPr>
    </w:p>
    <w:p w:rsidR="00E34984" w:rsidRDefault="00E34984"/>
    <w:sectPr w:rsidR="00E34984">
      <w:headerReference w:type="even" r:id="rId8"/>
      <w:headerReference w:type="default" r:id="rId9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42E76">
      <w:pPr>
        <w:spacing w:before="0" w:after="0"/>
      </w:pPr>
      <w:r>
        <w:separator/>
      </w:r>
    </w:p>
  </w:endnote>
  <w:endnote w:type="continuationSeparator" w:id="0">
    <w:p w:rsidR="00000000" w:rsidRDefault="00E42E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984" w:rsidRDefault="00E42E76">
      <w:pPr>
        <w:spacing w:before="0" w:after="0"/>
      </w:pPr>
      <w:r>
        <w:separator/>
      </w:r>
    </w:p>
  </w:footnote>
  <w:footnote w:type="continuationSeparator" w:id="0">
    <w:p w:rsidR="00E34984" w:rsidRDefault="00E42E7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984" w:rsidRDefault="00E42E76">
    <w:pPr>
      <w:pStyle w:val="Header"/>
      <w:jc w:val="right"/>
    </w:pPr>
    <w:r>
      <w:rPr>
        <w:rFonts w:cs="Arial"/>
        <w:bCs/>
        <w:sz w:val="28"/>
        <w:szCs w:val="28"/>
      </w:rPr>
      <w:t>Predicting NSCLC survival with LNR</w:t>
    </w:r>
  </w:p>
  <w:p w:rsidR="00E34984" w:rsidRDefault="00E349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984" w:rsidRDefault="00E34984">
    <w:pPr>
      <w:pStyle w:val="Header"/>
    </w:pPr>
  </w:p>
  <w:p w:rsidR="00E34984" w:rsidRDefault="00E349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01A"/>
    <w:multiLevelType w:val="multilevel"/>
    <w:tmpl w:val="1EC0601A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dp09eadeuf9szne0fxk5zwztp09zvttr5sta&quot;&gt;郭强文献管理&lt;record-ids&gt;&lt;item&gt;1668&lt;/item&gt;&lt;item&gt;1669&lt;/item&gt;&lt;item&gt;1670&lt;/item&gt;&lt;item&gt;1671&lt;/item&gt;&lt;item&gt;1676&lt;/item&gt;&lt;item&gt;1677&lt;/item&gt;&lt;item&gt;1679&lt;/item&gt;&lt;item&gt;1680&lt;/item&gt;&lt;item&gt;1681&lt;/item&gt;&lt;item&gt;1682&lt;/item&gt;&lt;item&gt;1684&lt;/item&gt;&lt;item&gt;1685&lt;/item&gt;&lt;item&gt;1686&lt;/item&gt;&lt;item&gt;1689&lt;/item&gt;&lt;item&gt;1690&lt;/item&gt;&lt;item&gt;1691&lt;/item&gt;&lt;item&gt;1692&lt;/item&gt;&lt;item&gt;1693&lt;/item&gt;&lt;item&gt;1694&lt;/item&gt;&lt;item&gt;1695&lt;/item&gt;&lt;item&gt;1696&lt;/item&gt;&lt;item&gt;1697&lt;/item&gt;&lt;item&gt;1698&lt;/item&gt;&lt;item&gt;1699&lt;/item&gt;&lt;item&gt;1700&lt;/item&gt;&lt;item&gt;1701&lt;/item&gt;&lt;item&gt;1702&lt;/item&gt;&lt;item&gt;1703&lt;/item&gt;&lt;item&gt;1704&lt;/item&gt;&lt;item&gt;1705&lt;/item&gt;&lt;item&gt;1706&lt;/item&gt;&lt;item&gt;1707&lt;/item&gt;&lt;item&gt;1708&lt;/item&gt;&lt;item&gt;1709&lt;/item&gt;&lt;item&gt;1953&lt;/item&gt;&lt;item&gt;1954&lt;/item&gt;&lt;item&gt;1955&lt;/item&gt;&lt;item&gt;1957&lt;/item&gt;&lt;item&gt;1958&lt;/item&gt;&lt;item&gt;1959&lt;/item&gt;&lt;item&gt;1960&lt;/item&gt;&lt;item&gt;1961&lt;/item&gt;&lt;item&gt;1962&lt;/item&gt;&lt;item&gt;1963&lt;/item&gt;&lt;item&gt;1964&lt;/item&gt;&lt;item&gt;1965&lt;/item&gt;&lt;item&gt;1966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681821"/>
    <w:rsid w:val="00005743"/>
    <w:rsid w:val="00011400"/>
    <w:rsid w:val="00034304"/>
    <w:rsid w:val="00035434"/>
    <w:rsid w:val="0004555F"/>
    <w:rsid w:val="00045678"/>
    <w:rsid w:val="000458E4"/>
    <w:rsid w:val="00045F1B"/>
    <w:rsid w:val="00046D3E"/>
    <w:rsid w:val="00047035"/>
    <w:rsid w:val="00054562"/>
    <w:rsid w:val="00060F4A"/>
    <w:rsid w:val="00063D84"/>
    <w:rsid w:val="000652DC"/>
    <w:rsid w:val="00065D82"/>
    <w:rsid w:val="0006636D"/>
    <w:rsid w:val="00075323"/>
    <w:rsid w:val="00077D53"/>
    <w:rsid w:val="00081394"/>
    <w:rsid w:val="00085096"/>
    <w:rsid w:val="000B34BD"/>
    <w:rsid w:val="000C0964"/>
    <w:rsid w:val="000C4AE1"/>
    <w:rsid w:val="000C7E2A"/>
    <w:rsid w:val="000F4CFB"/>
    <w:rsid w:val="00104630"/>
    <w:rsid w:val="0011143E"/>
    <w:rsid w:val="00117666"/>
    <w:rsid w:val="001223A7"/>
    <w:rsid w:val="0012443C"/>
    <w:rsid w:val="00134256"/>
    <w:rsid w:val="001377E3"/>
    <w:rsid w:val="00140570"/>
    <w:rsid w:val="00143231"/>
    <w:rsid w:val="00147395"/>
    <w:rsid w:val="001552C9"/>
    <w:rsid w:val="00177D84"/>
    <w:rsid w:val="001811C3"/>
    <w:rsid w:val="00195266"/>
    <w:rsid w:val="001964EF"/>
    <w:rsid w:val="001B1A2C"/>
    <w:rsid w:val="001B78B4"/>
    <w:rsid w:val="001B79E7"/>
    <w:rsid w:val="001C141C"/>
    <w:rsid w:val="001D17DE"/>
    <w:rsid w:val="001D273B"/>
    <w:rsid w:val="001D5C23"/>
    <w:rsid w:val="001E20C7"/>
    <w:rsid w:val="001E2EA9"/>
    <w:rsid w:val="001F11E0"/>
    <w:rsid w:val="001F4C07"/>
    <w:rsid w:val="001F5080"/>
    <w:rsid w:val="001F5E39"/>
    <w:rsid w:val="001F7906"/>
    <w:rsid w:val="002019FB"/>
    <w:rsid w:val="00220AEA"/>
    <w:rsid w:val="00223B20"/>
    <w:rsid w:val="00226954"/>
    <w:rsid w:val="00230B78"/>
    <w:rsid w:val="00233CAF"/>
    <w:rsid w:val="00241799"/>
    <w:rsid w:val="00246F24"/>
    <w:rsid w:val="002535CD"/>
    <w:rsid w:val="00261A62"/>
    <w:rsid w:val="002629A3"/>
    <w:rsid w:val="00263B97"/>
    <w:rsid w:val="0026442B"/>
    <w:rsid w:val="00265660"/>
    <w:rsid w:val="00267D18"/>
    <w:rsid w:val="0027473D"/>
    <w:rsid w:val="002868E2"/>
    <w:rsid w:val="002869C3"/>
    <w:rsid w:val="00291340"/>
    <w:rsid w:val="002936E4"/>
    <w:rsid w:val="00294B98"/>
    <w:rsid w:val="00296B88"/>
    <w:rsid w:val="002A142F"/>
    <w:rsid w:val="002B04A3"/>
    <w:rsid w:val="002C22FD"/>
    <w:rsid w:val="002C74CA"/>
    <w:rsid w:val="002D4A13"/>
    <w:rsid w:val="002E12CD"/>
    <w:rsid w:val="002E230C"/>
    <w:rsid w:val="002F3290"/>
    <w:rsid w:val="002F744D"/>
    <w:rsid w:val="00303DE6"/>
    <w:rsid w:val="00310124"/>
    <w:rsid w:val="003123A8"/>
    <w:rsid w:val="00314927"/>
    <w:rsid w:val="00330B1A"/>
    <w:rsid w:val="003544FB"/>
    <w:rsid w:val="00365781"/>
    <w:rsid w:val="00365D63"/>
    <w:rsid w:val="0036793B"/>
    <w:rsid w:val="00372682"/>
    <w:rsid w:val="00376CC5"/>
    <w:rsid w:val="0038326A"/>
    <w:rsid w:val="0039693B"/>
    <w:rsid w:val="003B5AF9"/>
    <w:rsid w:val="003B67D6"/>
    <w:rsid w:val="003D2F2D"/>
    <w:rsid w:val="003F207E"/>
    <w:rsid w:val="00401590"/>
    <w:rsid w:val="004072D9"/>
    <w:rsid w:val="00422C94"/>
    <w:rsid w:val="00425B02"/>
    <w:rsid w:val="00450EC2"/>
    <w:rsid w:val="00463E3D"/>
    <w:rsid w:val="004645AE"/>
    <w:rsid w:val="00473DCF"/>
    <w:rsid w:val="00475AB1"/>
    <w:rsid w:val="00484FBC"/>
    <w:rsid w:val="004A1169"/>
    <w:rsid w:val="004C0187"/>
    <w:rsid w:val="004C7C58"/>
    <w:rsid w:val="004D34A0"/>
    <w:rsid w:val="004D3E33"/>
    <w:rsid w:val="00517BFD"/>
    <w:rsid w:val="00520232"/>
    <w:rsid w:val="005250F2"/>
    <w:rsid w:val="005260E9"/>
    <w:rsid w:val="00535396"/>
    <w:rsid w:val="00565009"/>
    <w:rsid w:val="00565099"/>
    <w:rsid w:val="00570B60"/>
    <w:rsid w:val="005922F7"/>
    <w:rsid w:val="005A0448"/>
    <w:rsid w:val="005A1D84"/>
    <w:rsid w:val="005A24B0"/>
    <w:rsid w:val="005A70EA"/>
    <w:rsid w:val="005B2646"/>
    <w:rsid w:val="005B6E1B"/>
    <w:rsid w:val="005B7FC2"/>
    <w:rsid w:val="005C3963"/>
    <w:rsid w:val="005C5BDB"/>
    <w:rsid w:val="005D1840"/>
    <w:rsid w:val="005D35E4"/>
    <w:rsid w:val="005D647D"/>
    <w:rsid w:val="005D7910"/>
    <w:rsid w:val="005F4316"/>
    <w:rsid w:val="00614A4E"/>
    <w:rsid w:val="0062145B"/>
    <w:rsid w:val="0062154F"/>
    <w:rsid w:val="00627A94"/>
    <w:rsid w:val="00627BBE"/>
    <w:rsid w:val="00631A8C"/>
    <w:rsid w:val="00632B65"/>
    <w:rsid w:val="00651CA2"/>
    <w:rsid w:val="00653D60"/>
    <w:rsid w:val="006556F3"/>
    <w:rsid w:val="00655E7E"/>
    <w:rsid w:val="00660D05"/>
    <w:rsid w:val="00671D9A"/>
    <w:rsid w:val="00673952"/>
    <w:rsid w:val="00681821"/>
    <w:rsid w:val="0068262F"/>
    <w:rsid w:val="00686C9D"/>
    <w:rsid w:val="006A0B6D"/>
    <w:rsid w:val="006A0D75"/>
    <w:rsid w:val="006B0E15"/>
    <w:rsid w:val="006B2D5B"/>
    <w:rsid w:val="006B2FF9"/>
    <w:rsid w:val="006B361D"/>
    <w:rsid w:val="006B7015"/>
    <w:rsid w:val="006B7D14"/>
    <w:rsid w:val="006C12F6"/>
    <w:rsid w:val="006D3169"/>
    <w:rsid w:val="006D5B93"/>
    <w:rsid w:val="006D7B08"/>
    <w:rsid w:val="00705A76"/>
    <w:rsid w:val="007165FC"/>
    <w:rsid w:val="00725A7D"/>
    <w:rsid w:val="00727B28"/>
    <w:rsid w:val="0073085C"/>
    <w:rsid w:val="00733784"/>
    <w:rsid w:val="007414A3"/>
    <w:rsid w:val="00746505"/>
    <w:rsid w:val="00752701"/>
    <w:rsid w:val="00753FAE"/>
    <w:rsid w:val="007766A4"/>
    <w:rsid w:val="00790BB3"/>
    <w:rsid w:val="00792043"/>
    <w:rsid w:val="00797EDD"/>
    <w:rsid w:val="007A5268"/>
    <w:rsid w:val="007A5D2C"/>
    <w:rsid w:val="007B0322"/>
    <w:rsid w:val="007C0E3F"/>
    <w:rsid w:val="007C14C4"/>
    <w:rsid w:val="007C206C"/>
    <w:rsid w:val="007C5729"/>
    <w:rsid w:val="007C6A78"/>
    <w:rsid w:val="007D3C6C"/>
    <w:rsid w:val="007F560F"/>
    <w:rsid w:val="008111E4"/>
    <w:rsid w:val="0081301C"/>
    <w:rsid w:val="00817DD6"/>
    <w:rsid w:val="00820A9E"/>
    <w:rsid w:val="0082137F"/>
    <w:rsid w:val="008324C9"/>
    <w:rsid w:val="0083364E"/>
    <w:rsid w:val="008629A9"/>
    <w:rsid w:val="008709D5"/>
    <w:rsid w:val="00874B69"/>
    <w:rsid w:val="0088513A"/>
    <w:rsid w:val="00885688"/>
    <w:rsid w:val="00893C19"/>
    <w:rsid w:val="008B0973"/>
    <w:rsid w:val="008B69AE"/>
    <w:rsid w:val="008B7136"/>
    <w:rsid w:val="008D1DB3"/>
    <w:rsid w:val="008D6C8D"/>
    <w:rsid w:val="008D7962"/>
    <w:rsid w:val="008D79CA"/>
    <w:rsid w:val="008E2B54"/>
    <w:rsid w:val="008E4404"/>
    <w:rsid w:val="008E58C7"/>
    <w:rsid w:val="008F5021"/>
    <w:rsid w:val="008F54B5"/>
    <w:rsid w:val="008F63D8"/>
    <w:rsid w:val="00907037"/>
    <w:rsid w:val="00911434"/>
    <w:rsid w:val="009325A2"/>
    <w:rsid w:val="00943573"/>
    <w:rsid w:val="00946FA6"/>
    <w:rsid w:val="00951348"/>
    <w:rsid w:val="0095316F"/>
    <w:rsid w:val="009547AE"/>
    <w:rsid w:val="009571FD"/>
    <w:rsid w:val="00971B61"/>
    <w:rsid w:val="009752C6"/>
    <w:rsid w:val="00980C31"/>
    <w:rsid w:val="009955FF"/>
    <w:rsid w:val="0099640D"/>
    <w:rsid w:val="00997293"/>
    <w:rsid w:val="009A39C6"/>
    <w:rsid w:val="009B6C24"/>
    <w:rsid w:val="009B742E"/>
    <w:rsid w:val="009D259D"/>
    <w:rsid w:val="009D7097"/>
    <w:rsid w:val="009F0D3D"/>
    <w:rsid w:val="00A07749"/>
    <w:rsid w:val="00A14EE4"/>
    <w:rsid w:val="00A15090"/>
    <w:rsid w:val="00A20738"/>
    <w:rsid w:val="00A46C13"/>
    <w:rsid w:val="00A50D9D"/>
    <w:rsid w:val="00A51316"/>
    <w:rsid w:val="00A53000"/>
    <w:rsid w:val="00A545C6"/>
    <w:rsid w:val="00A55FE0"/>
    <w:rsid w:val="00A5748C"/>
    <w:rsid w:val="00A652D0"/>
    <w:rsid w:val="00A6779D"/>
    <w:rsid w:val="00A75F87"/>
    <w:rsid w:val="00A8513A"/>
    <w:rsid w:val="00A91339"/>
    <w:rsid w:val="00A92441"/>
    <w:rsid w:val="00A95D8B"/>
    <w:rsid w:val="00AA4EFA"/>
    <w:rsid w:val="00AB0473"/>
    <w:rsid w:val="00AC0270"/>
    <w:rsid w:val="00AC3EA3"/>
    <w:rsid w:val="00AC792D"/>
    <w:rsid w:val="00AF161B"/>
    <w:rsid w:val="00B02BF3"/>
    <w:rsid w:val="00B24310"/>
    <w:rsid w:val="00B55F37"/>
    <w:rsid w:val="00B62580"/>
    <w:rsid w:val="00B657B8"/>
    <w:rsid w:val="00B71D14"/>
    <w:rsid w:val="00B734AB"/>
    <w:rsid w:val="00B77525"/>
    <w:rsid w:val="00B84920"/>
    <w:rsid w:val="00B8556A"/>
    <w:rsid w:val="00B86D9C"/>
    <w:rsid w:val="00B96A9D"/>
    <w:rsid w:val="00BA51CE"/>
    <w:rsid w:val="00BB0203"/>
    <w:rsid w:val="00BC4B47"/>
    <w:rsid w:val="00BF5A25"/>
    <w:rsid w:val="00C012A3"/>
    <w:rsid w:val="00C16F19"/>
    <w:rsid w:val="00C25280"/>
    <w:rsid w:val="00C47F97"/>
    <w:rsid w:val="00C51690"/>
    <w:rsid w:val="00C52A7B"/>
    <w:rsid w:val="00C6324C"/>
    <w:rsid w:val="00C679AA"/>
    <w:rsid w:val="00C67CF3"/>
    <w:rsid w:val="00C724CF"/>
    <w:rsid w:val="00C75972"/>
    <w:rsid w:val="00C76A17"/>
    <w:rsid w:val="00C808AF"/>
    <w:rsid w:val="00C82792"/>
    <w:rsid w:val="00C82CA9"/>
    <w:rsid w:val="00C948FD"/>
    <w:rsid w:val="00CA35C1"/>
    <w:rsid w:val="00CA7CEA"/>
    <w:rsid w:val="00CB0B19"/>
    <w:rsid w:val="00CB43D5"/>
    <w:rsid w:val="00CB57A5"/>
    <w:rsid w:val="00CC76F9"/>
    <w:rsid w:val="00CD066B"/>
    <w:rsid w:val="00CD428B"/>
    <w:rsid w:val="00CD46E2"/>
    <w:rsid w:val="00D00D0B"/>
    <w:rsid w:val="00D04B69"/>
    <w:rsid w:val="00D31A92"/>
    <w:rsid w:val="00D47D6A"/>
    <w:rsid w:val="00D537FA"/>
    <w:rsid w:val="00D5547D"/>
    <w:rsid w:val="00D5653D"/>
    <w:rsid w:val="00D646C7"/>
    <w:rsid w:val="00D65B5F"/>
    <w:rsid w:val="00D80D99"/>
    <w:rsid w:val="00D9503C"/>
    <w:rsid w:val="00DA6B73"/>
    <w:rsid w:val="00DC0914"/>
    <w:rsid w:val="00DC62CA"/>
    <w:rsid w:val="00DD21E3"/>
    <w:rsid w:val="00DD5644"/>
    <w:rsid w:val="00DD73EF"/>
    <w:rsid w:val="00DE23E8"/>
    <w:rsid w:val="00E0128B"/>
    <w:rsid w:val="00E34516"/>
    <w:rsid w:val="00E34984"/>
    <w:rsid w:val="00E37BB4"/>
    <w:rsid w:val="00E42E76"/>
    <w:rsid w:val="00E53407"/>
    <w:rsid w:val="00E541E9"/>
    <w:rsid w:val="00E64E17"/>
    <w:rsid w:val="00E725BF"/>
    <w:rsid w:val="00E84E69"/>
    <w:rsid w:val="00E91781"/>
    <w:rsid w:val="00E9370E"/>
    <w:rsid w:val="00EA3D3C"/>
    <w:rsid w:val="00EA7D92"/>
    <w:rsid w:val="00EC2BFD"/>
    <w:rsid w:val="00EC7CC3"/>
    <w:rsid w:val="00EC7F03"/>
    <w:rsid w:val="00ED04E9"/>
    <w:rsid w:val="00EE656C"/>
    <w:rsid w:val="00F105D8"/>
    <w:rsid w:val="00F1108F"/>
    <w:rsid w:val="00F13AC4"/>
    <w:rsid w:val="00F40990"/>
    <w:rsid w:val="00F46494"/>
    <w:rsid w:val="00F46E9F"/>
    <w:rsid w:val="00F51C4E"/>
    <w:rsid w:val="00F523C6"/>
    <w:rsid w:val="00F52FC9"/>
    <w:rsid w:val="00F558AB"/>
    <w:rsid w:val="00F61D89"/>
    <w:rsid w:val="00F749FA"/>
    <w:rsid w:val="00F7568A"/>
    <w:rsid w:val="00F86ABB"/>
    <w:rsid w:val="00FB4F10"/>
    <w:rsid w:val="00FD16FB"/>
    <w:rsid w:val="00FD7648"/>
    <w:rsid w:val="01FA47FF"/>
    <w:rsid w:val="1C751985"/>
    <w:rsid w:val="21B3742D"/>
    <w:rsid w:val="2D321468"/>
    <w:rsid w:val="345541C6"/>
    <w:rsid w:val="419D1EC4"/>
    <w:rsid w:val="492434DC"/>
    <w:rsid w:val="4A1D49C3"/>
    <w:rsid w:val="4F390CC2"/>
    <w:rsid w:val="60216CBD"/>
    <w:rsid w:val="60AA051A"/>
    <w:rsid w:val="636724EC"/>
    <w:rsid w:val="71AC32EA"/>
    <w:rsid w:val="7224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CA0C34-A7F9-417B-A1D0-7B158C3C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EastAsia" w:hAnsiTheme="maj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240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ListParagraph"/>
    <w:next w:val="Normal"/>
    <w:link w:val="Heading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"/>
    <w:qFormat/>
    <w:pPr>
      <w:numPr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Caption">
    <w:name w:val="caption"/>
    <w:basedOn w:val="Normal"/>
    <w:next w:val="NoSpacing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Pr>
      <w:rFonts w:ascii="Times New Roman" w:hAnsi="Times New Roman"/>
      <w:sz w:val="24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Title">
    <w:name w:val="Title"/>
    <w:basedOn w:val="Normal"/>
    <w:next w:val="Normal"/>
    <w:link w:val="TitleChar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Pr>
      <w:rFonts w:ascii="Times New Roman" w:hAnsi="Times New Roman"/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rFonts w:ascii="Times New Roman" w:hAnsi="Times New Roman"/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hAnsi="Times New Roman"/>
      <w:b/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hAnsi="Times New Roman" w:cs="Times New Roman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qFormat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basedOn w:val="Subtitle"/>
    <w:next w:val="Normal"/>
    <w:uiPriority w:val="1"/>
    <w:qFormat/>
  </w:style>
  <w:style w:type="character" w:customStyle="1" w:styleId="1">
    <w:name w:val="不明显强调1"/>
    <w:basedOn w:val="DefaultParagraphFont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10">
    <w:name w:val="明显强调1"/>
    <w:basedOn w:val="DefaultParagraphFont"/>
    <w:uiPriority w:val="21"/>
    <w:unhideWhenUsed/>
    <w:qFormat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1">
    <w:name w:val="明显参考1"/>
    <w:basedOn w:val="DefaultParagraphFont"/>
    <w:uiPriority w:val="32"/>
    <w:qFormat/>
    <w:rPr>
      <w:b/>
      <w:bCs/>
      <w:smallCaps/>
      <w:color w:val="auto"/>
      <w:spacing w:val="5"/>
    </w:rPr>
  </w:style>
  <w:style w:type="character" w:customStyle="1" w:styleId="12">
    <w:name w:val="书籍标题1"/>
    <w:basedOn w:val="DefaultParagraphFont"/>
    <w:uiPriority w:val="33"/>
    <w:qFormat/>
    <w:rPr>
      <w:rFonts w:ascii="Times New Roman" w:hAnsi="Times New Roman"/>
      <w:b/>
      <w:bCs/>
      <w:i/>
      <w:iCs/>
      <w:spacing w:val="5"/>
    </w:rPr>
  </w:style>
  <w:style w:type="paragraph" w:customStyle="1" w:styleId="13">
    <w:name w:val="修订1"/>
    <w:hidden/>
    <w:uiPriority w:val="99"/>
    <w:semiHidden/>
    <w:qFormat/>
    <w:rPr>
      <w:rFonts w:ascii="Times New Roman" w:hAnsi="Times New Roman"/>
      <w:sz w:val="24"/>
      <w:szCs w:val="22"/>
    </w:rPr>
  </w:style>
  <w:style w:type="character" w:customStyle="1" w:styleId="14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ranslated-span">
    <w:name w:val="translated-span"/>
    <w:basedOn w:val="DefaultParagraphFont"/>
    <w:qFormat/>
  </w:style>
  <w:style w:type="paragraph" w:customStyle="1" w:styleId="EndNoteBibliography">
    <w:name w:val="EndNote Bibliography"/>
    <w:basedOn w:val="Normal"/>
    <w:link w:val="EndNoteBibliography0"/>
    <w:qFormat/>
    <w:pPr>
      <w:widowControl w:val="0"/>
      <w:spacing w:before="0" w:after="0"/>
      <w:jc w:val="both"/>
    </w:pPr>
    <w:rPr>
      <w:rFonts w:ascii="Arial" w:hAnsi="Arial" w:cs="Arial"/>
      <w:color w:val="000000"/>
      <w:sz w:val="20"/>
      <w:szCs w:val="20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Arial" w:hAnsi="Arial" w:cs="Arial"/>
      <w:color w:val="000000"/>
      <w:sz w:val="20"/>
      <w:szCs w:val="20"/>
      <w:lang w:eastAsia="zh-CN"/>
    </w:rPr>
  </w:style>
  <w:style w:type="character" w:customStyle="1" w:styleId="tgt">
    <w:name w:val="tgt"/>
    <w:basedOn w:val="DefaultParagraphFont"/>
    <w:qFormat/>
  </w:style>
  <w:style w:type="paragraph" w:customStyle="1" w:styleId="EndNoteCategoryHeading">
    <w:name w:val="EndNote Category Heading"/>
    <w:basedOn w:val="Normal"/>
    <w:link w:val="EndNoteCategoryHeading0"/>
    <w:qFormat/>
    <w:pPr>
      <w:widowControl w:val="0"/>
      <w:spacing w:after="120"/>
    </w:pPr>
    <w:rPr>
      <w:rFonts w:ascii="Arial" w:hAnsi="Arial" w:cs="Times New Roman"/>
      <w:b/>
      <w:color w:val="000000"/>
      <w:sz w:val="20"/>
      <w:szCs w:val="20"/>
      <w:lang w:eastAsia="zh-CN"/>
    </w:rPr>
  </w:style>
  <w:style w:type="character" w:customStyle="1" w:styleId="EndNoteCategoryHeading0">
    <w:name w:val="EndNote Category Heading 字符"/>
    <w:basedOn w:val="DefaultParagraphFont"/>
    <w:link w:val="EndNoteCategoryHeading"/>
    <w:qFormat/>
    <w:rPr>
      <w:rFonts w:ascii="Arial" w:hAnsi="Arial" w:cs="Times New Roman"/>
      <w:b/>
      <w:color w:val="000000"/>
      <w:sz w:val="20"/>
      <w:szCs w:val="20"/>
      <w:lang w:eastAsia="zh-CN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spacing w:after="0"/>
      <w:jc w:val="center"/>
    </w:pPr>
    <w:rPr>
      <w:rFonts w:ascii="Arial" w:hAnsi="Arial" w:cs="Arial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Arial" w:hAnsi="Arial" w:cs="Arial"/>
      <w:sz w:val="20"/>
    </w:rPr>
  </w:style>
  <w:style w:type="paragraph" w:customStyle="1" w:styleId="src">
    <w:name w:val="src"/>
    <w:basedOn w:val="Normal"/>
    <w:qFormat/>
    <w:pPr>
      <w:spacing w:before="100" w:beforeAutospacing="1" w:after="100" w:afterAutospacing="1"/>
    </w:pPr>
    <w:rPr>
      <w:rFonts w:ascii="SimSun" w:eastAsia="SimSun" w:hAnsi="SimSun" w:cs="SimSun"/>
      <w:szCs w:val="24"/>
      <w:lang w:eastAsia="zh-CN"/>
    </w:rPr>
  </w:style>
  <w:style w:type="character" w:customStyle="1" w:styleId="phrs-text">
    <w:name w:val="phrs-text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CAB52E3-1C93-4303-B3C7-22D47ECD4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Senn</dc:creator>
  <cp:lastModifiedBy>Sivanantham V</cp:lastModifiedBy>
  <cp:revision>99</cp:revision>
  <cp:lastPrinted>2013-10-03T12:51:00Z</cp:lastPrinted>
  <dcterms:created xsi:type="dcterms:W3CDTF">2022-01-13T10:29:00Z</dcterms:created>
  <dcterms:modified xsi:type="dcterms:W3CDTF">2026-04-06T15:30:00Z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eyJoZGlkIjoiYmUxNGMxMGFjZTA5ZmM3ZTVjNjQxMmY2YTFjNTg0ZjQiLCJ1c2VySWQiOiIyMDU3MzAzNDEifQ==</vt:lpwstr>
  </property>
  <property fmtid="{D5CDD505-2E9C-101B-9397-08002B2CF9AE}" pid="3" name="KSOProductBuildVer">
    <vt:lpwstr>2052-12.1.0.24657</vt:lpwstr>
  </property>
  <property fmtid="{D5CDD505-2E9C-101B-9397-08002B2CF9AE}" pid="4" name="ICV">
    <vt:lpwstr>A7E4C6901D5E4AAD9ACD677A233A86B9_12</vt:lpwstr>
  </property>
</Properties>
</file>