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9F59D" w14:textId="02893ACD" w:rsidR="00E15874" w:rsidRPr="00E15874" w:rsidRDefault="00E15874" w:rsidP="00E15874">
      <w:pPr>
        <w:spacing w:after="0" w:line="240" w:lineRule="auto"/>
        <w:rPr>
          <w:rFonts w:cstheme="minorHAnsi"/>
          <w:b/>
          <w:bCs/>
          <w:color w:val="0000FF"/>
          <w:sz w:val="44"/>
          <w:szCs w:val="44"/>
        </w:rPr>
      </w:pPr>
      <w:r>
        <w:rPr>
          <w:rFonts w:cstheme="minorHAnsi"/>
          <w:sz w:val="32"/>
          <w:szCs w:val="32"/>
        </w:rPr>
        <w:t xml:space="preserve">Supplementary Materials: </w:t>
      </w:r>
      <w:r w:rsidRPr="00951423">
        <w:rPr>
          <w:rFonts w:cstheme="minorHAnsi"/>
          <w:sz w:val="32"/>
          <w:szCs w:val="32"/>
        </w:rPr>
        <w:t>A Spatial and Technical Assessment of Floating Offshore Wind Energy in the Red Sea Using a GIS–AHP Framework</w:t>
      </w:r>
      <w:r w:rsidRPr="00951423">
        <w:rPr>
          <w:rFonts w:cstheme="minorHAnsi"/>
          <w:b/>
          <w:bCs/>
          <w:color w:val="0000FF"/>
          <w:sz w:val="44"/>
          <w:szCs w:val="44"/>
        </w:rPr>
        <w:t xml:space="preserve"> </w:t>
      </w:r>
    </w:p>
    <w:p w14:paraId="794DFC01" w14:textId="17ED134B" w:rsidR="00E15874" w:rsidRDefault="00E15874" w:rsidP="00E15874">
      <w:pPr>
        <w:pStyle w:val="Heading1"/>
        <w:ind w:left="432" w:hanging="432"/>
      </w:pPr>
      <w:r>
        <w:t>Appendix</w:t>
      </w:r>
    </w:p>
    <w:p w14:paraId="3FC998CA" w14:textId="77777777" w:rsidR="00E15874" w:rsidRPr="00BF2DAF" w:rsidRDefault="00E15874" w:rsidP="00E15874">
      <w:pPr>
        <w:pStyle w:val="EndNoteBibliography"/>
        <w:rPr>
          <w:rStyle w:val="IntenseEmphasis"/>
        </w:rPr>
      </w:pPr>
      <w:r w:rsidRPr="00BF2DAF">
        <w:rPr>
          <w:rStyle w:val="IntenseEmphasis"/>
        </w:rPr>
        <w:t>Appendix A: Red Sea Character</w:t>
      </w:r>
      <w:r>
        <w:rPr>
          <w:rStyle w:val="IntenseEmphasis"/>
        </w:rPr>
        <w:t>i</w:t>
      </w:r>
      <w:r w:rsidRPr="00BF2DAF">
        <w:rPr>
          <w:rStyle w:val="IntenseEmphasis"/>
        </w:rPr>
        <w:t xml:space="preserve">stics </w:t>
      </w:r>
    </w:p>
    <w:p w14:paraId="33F762E9" w14:textId="77777777" w:rsidR="00E15874" w:rsidRDefault="00E15874" w:rsidP="00E15874">
      <w:r>
        <w:t>To assess the potential for offshore wind on the Red Sea, a better understanding of the characteristics of the Red Sea is required. The significant role of the Red Sea in global trade, being part of the East-West Shipping Lane, makes it an area of congested marine traffic. The Red Sea extends from Bab El-Mandeb in the south, which connects with the Gulf of Aden, all the way north to the Gulf of Suez in Egypt and the Gulf of Aqaba in Jordan. The area of the Red Sea is approximately 450,000 km</w:t>
      </w:r>
      <w:r w:rsidRPr="00B67946">
        <w:rPr>
          <w:vertAlign w:val="superscript"/>
        </w:rPr>
        <w:t>2</w:t>
      </w:r>
      <w:r>
        <w:t xml:space="preserve">, and its length from Bab Al-Mandeb to the Suez is about 1,930 km. The Gulf of Aqaba is about 180 km long and has an average width of 20 km </w:t>
      </w:r>
      <w:r>
        <w:fldChar w:fldCharType="begin"/>
      </w:r>
      <w:r>
        <w:instrText xml:space="preserve"> ADDIN EN.CITE &lt;EndNote&gt;&lt;Cite&gt;&lt;Author&gt;Batayneh&lt;/Author&gt;&lt;Year&gt;2014&lt;/Year&gt;&lt;RecNum&gt;15&lt;/RecNum&gt;&lt;DisplayText&gt;[30]&lt;/DisplayText&gt;&lt;record&gt;&lt;rec-number&gt;15&lt;/rec-number&gt;&lt;foreign-keys&gt;&lt;key app="EN" db-id="v0xr0tf57at9wbea5ry5xataww2rsv2sexfp" timestamp="1707818452"&gt;15&lt;/key&gt;&lt;/foreign-keys&gt;&lt;ref-type name="Journal Article"&gt;17&lt;/ref-type&gt;&lt;contributors&gt;&lt;authors&gt;&lt;author&gt;Batayneh, Awni&lt;/author&gt;&lt;author&gt;Elawadi, Eslam&lt;/author&gt;&lt;author&gt;Zaman, Haider&lt;/author&gt;&lt;author&gt;Al-Taani, Ahmed A.&lt;/author&gt;&lt;author&gt;Nazzal, Yousef&lt;/author&gt;&lt;author&gt;Ghrefat, Habes&lt;/author&gt;&lt;/authors&gt;&lt;/contributors&gt;&lt;titles&gt;&lt;title&gt;Environmental Assessment of the Gulf of Aqaba Coastal Surface Waters, Saudi Arabia&lt;/title&gt;&lt;secondary-title&gt;Journal of Coastal Research&lt;/secondary-title&gt;&lt;/titles&gt;&lt;periodical&gt;&lt;full-title&gt;Journal of Coastal Research&lt;/full-title&gt;&lt;/periodical&gt;&lt;pages&gt;283-290&lt;/pages&gt;&lt;volume&gt;294&lt;/volume&gt;&lt;section&gt;283&lt;/section&gt;&lt;dates&gt;&lt;year&gt;2014&lt;/year&gt;&lt;/dates&gt;&lt;isbn&gt;0749-0208&amp;#xD;1551-5036&lt;/isbn&gt;&lt;urls&gt;&lt;/urls&gt;&lt;electronic-resource-num&gt;10.2112/jcoastres-d-13-00112.1&lt;/electronic-resource-num&gt;&lt;/record&gt;&lt;/Cite&gt;&lt;/EndNote&gt;</w:instrText>
      </w:r>
      <w:r>
        <w:fldChar w:fldCharType="separate"/>
      </w:r>
      <w:r>
        <w:rPr>
          <w:noProof/>
        </w:rPr>
        <w:t>[</w:t>
      </w:r>
      <w:hyperlink w:anchor="_ENREF_30" w:tooltip="Batayneh, 2014 #15" w:history="1">
        <w:r w:rsidRPr="000707DD">
          <w:rPr>
            <w:rStyle w:val="Hyperlink"/>
          </w:rPr>
          <w:t>30</w:t>
        </w:r>
      </w:hyperlink>
      <w:r>
        <w:rPr>
          <w:noProof/>
        </w:rPr>
        <w:t>]</w:t>
      </w:r>
      <w:r>
        <w:fldChar w:fldCharType="end"/>
      </w:r>
      <w:r>
        <w:t xml:space="preserve">. The Gulf of Suez is about 300 km long and has a maximum width of 50 km </w:t>
      </w:r>
      <w:r>
        <w:fldChar w:fldCharType="begin"/>
      </w:r>
      <w:r>
        <w:instrText xml:space="preserve"> ADDIN EN.CITE &lt;EndNote&gt;&lt;Cite&gt;&lt;Author&gt;Abdel-Gawad&lt;/Author&gt;&lt;Year&gt;1970&lt;/Year&gt;&lt;RecNum&gt;14&lt;/RecNum&gt;&lt;DisplayText&gt;[31]&lt;/DisplayText&gt;&lt;record&gt;&lt;rec-number&gt;14&lt;/rec-number&gt;&lt;foreign-keys&gt;&lt;key app="EN" db-id="v0xr0tf57at9wbea5ry5xataww2rsv2sexfp" timestamp="1707818121"&gt;14&lt;/key&gt;&lt;/foreign-keys&gt;&lt;ref-type name="Journal Article"&gt;17&lt;/ref-type&gt;&lt;contributors&gt;&lt;authors&gt;&lt;author&gt;Abdel-Gawad, M.&lt;/author&gt;&lt;author&gt;Robson, D. A.&lt;/author&gt;&lt;/authors&gt;&lt;/contributors&gt;&lt;titles&gt;&lt;title&gt;The Gulf of Suez: A Brief Review of Stratigraphy and Structure [and Discussion]&lt;/title&gt;&lt;secondary-title&gt;Philosophical Transactions of the Royal Society of London. Series A, Mathematical and Physical Sciences&lt;/secondary-title&gt;&lt;/titles&gt;&lt;periodical&gt;&lt;full-title&gt;Philosophical Transactions of the Royal Society of London. Series A, Mathematical and Physical Sciences&lt;/full-title&gt;&lt;/periodical&gt;&lt;pages&gt;41-48&lt;/pages&gt;&lt;volume&gt;267&lt;/volume&gt;&lt;number&gt;1181&lt;/number&gt;&lt;dates&gt;&lt;year&gt;1970&lt;/year&gt;&lt;/dates&gt;&lt;publisher&gt;Royal Society&lt;/publisher&gt;&lt;isbn&gt;00804614&lt;/isbn&gt;&lt;urls&gt;&lt;related-urls&gt;&lt;url&gt;http://www.jstor.org/stable/73607&lt;/url&gt;&lt;/related-urls&gt;&lt;/urls&gt;&lt;custom1&gt;Full publication date: Oct. 29, 1970&lt;/custom1&gt;&lt;remote-database-name&gt;JSTOR&lt;/remote-database-name&gt;&lt;access-date&gt;2024/02/13/&lt;/access-date&gt;&lt;/record&gt;&lt;/Cite&gt;&lt;/EndNote&gt;</w:instrText>
      </w:r>
      <w:r>
        <w:fldChar w:fldCharType="separate"/>
      </w:r>
      <w:r>
        <w:rPr>
          <w:noProof/>
        </w:rPr>
        <w:t>[</w:t>
      </w:r>
      <w:hyperlink w:anchor="_ENREF_31" w:tooltip="Abdel-Gawad, 1970 #14" w:history="1">
        <w:r w:rsidRPr="000707DD">
          <w:rPr>
            <w:rStyle w:val="Hyperlink"/>
          </w:rPr>
          <w:t>31</w:t>
        </w:r>
      </w:hyperlink>
      <w:r>
        <w:rPr>
          <w:noProof/>
        </w:rPr>
        <w:t>]</w:t>
      </w:r>
      <w:r>
        <w:fldChar w:fldCharType="end"/>
      </w:r>
      <w:r>
        <w:t>.</w:t>
      </w:r>
    </w:p>
    <w:p w14:paraId="349A6334" w14:textId="77777777" w:rsidR="00E15874" w:rsidRPr="00BF2DAF" w:rsidRDefault="00E15874" w:rsidP="00E15874">
      <w:pPr>
        <w:pStyle w:val="Heading2"/>
        <w:ind w:left="576" w:hanging="576"/>
        <w:rPr>
          <w:rStyle w:val="Strong"/>
          <w:sz w:val="24"/>
          <w:szCs w:val="24"/>
        </w:rPr>
      </w:pPr>
      <w:r w:rsidRPr="00BF2DAF">
        <w:rPr>
          <w:rStyle w:val="Strong"/>
          <w:sz w:val="24"/>
          <w:szCs w:val="24"/>
        </w:rPr>
        <w:t>Water depth</w:t>
      </w:r>
    </w:p>
    <w:p w14:paraId="21DCA493" w14:textId="77777777" w:rsidR="00E15874" w:rsidRDefault="00E15874" w:rsidP="00E15874">
      <w:r>
        <w:t xml:space="preserve">Figure 3a below depicts the range of depth on the Red Sea in meters, where the maximum depth of the Red Sea is observed at approximately 3,040 m. The Gulf of Suez has </w:t>
      </w:r>
      <w:proofErr w:type="gramStart"/>
      <w:r>
        <w:t>shallower</w:t>
      </w:r>
      <w:proofErr w:type="gramEnd"/>
      <w:r>
        <w:t xml:space="preserve"> waters that range from 54.86 m to 64 m and has a broad coastal plain. On the other hand, the Gulf of Aqaba has a contrasting narrow coastal </w:t>
      </w:r>
      <w:r w:rsidDel="0002741D">
        <w:t>plain</w:t>
      </w:r>
      <w:r>
        <w:t xml:space="preserve">, and a maximum depth of approximately 1,676.40 m with an average depth of 800 m.   The remaining Red Sea coastline that begins from the convergence of the Gulf of Suez and the Gulf of Aqaba towards the southern Bab Al-Mandeb has a maximum depth of around 1,219 m </w:t>
      </w:r>
      <w:r>
        <w:fldChar w:fldCharType="begin"/>
      </w:r>
      <w:r>
        <w:instrText xml:space="preserve"> ADDIN EN.CITE &lt;EndNote&gt;&lt;Cite&gt;&lt;Author&gt;Ryan&lt;/Author&gt;&lt;Year&gt;2022&lt;/Year&gt;&lt;RecNum&gt;56&lt;/RecNum&gt;&lt;DisplayText&gt;[74]&lt;/DisplayText&gt;&lt;record&gt;&lt;rec-number&gt;56&lt;/rec-number&gt;&lt;foreign-keys&gt;&lt;key app="EN" db-id="v0xr0tf57at9wbea5ry5xataww2rsv2sexfp" timestamp="1707827524"&gt;56&lt;/key&gt;&lt;/foreign-keys&gt;&lt;ref-type name="Web Page"&gt;12&lt;/ref-type&gt;&lt;contributors&gt;&lt;authors&gt;&lt;author&gt;Ryan, William B.F. &lt;/author&gt;&lt;author&gt;Schreiber, B. Charlotte&lt;/author&gt;&lt;/authors&gt;&lt;/contributors&gt;&lt;titles&gt;&lt;title&gt;Red Sea&lt;/title&gt;&lt;secondary-title&gt;Encyclopedia Britannica&lt;/secondary-title&gt;&lt;/titles&gt;&lt;volume&gt;2023&lt;/volume&gt;&lt;number&gt;Mar&lt;/number&gt;&lt;dates&gt;&lt;year&gt;2022&lt;/year&gt;&lt;/dates&gt;&lt;urls&gt;&lt;related-urls&gt;&lt;url&gt;https://www.britannica.com/place/Red-Sea&lt;/url&gt;&lt;/related-urls&gt;&lt;/urls&gt;&lt;/record&gt;&lt;/Cite&gt;&lt;/EndNote&gt;</w:instrText>
      </w:r>
      <w:r>
        <w:fldChar w:fldCharType="separate"/>
      </w:r>
      <w:r>
        <w:rPr>
          <w:noProof/>
        </w:rPr>
        <w:t>[</w:t>
      </w:r>
      <w:hyperlink w:anchor="_ENREF_74" w:tooltip="Ryan, 2022 #56" w:history="1">
        <w:r w:rsidRPr="000707DD">
          <w:rPr>
            <w:rStyle w:val="Hyperlink"/>
          </w:rPr>
          <w:t>74</w:t>
        </w:r>
      </w:hyperlink>
      <w:r>
        <w:rPr>
          <w:noProof/>
        </w:rPr>
        <w:t>]</w:t>
      </w:r>
      <w:r>
        <w:fldChar w:fldCharType="end"/>
      </w:r>
      <w:r>
        <w:t xml:space="preserve">.    </w:t>
      </w:r>
    </w:p>
    <w:p w14:paraId="28A25759" w14:textId="77777777" w:rsidR="00E15874" w:rsidRPr="00BF2DAF" w:rsidRDefault="00E15874" w:rsidP="00E15874">
      <w:pPr>
        <w:pStyle w:val="Heading2"/>
        <w:ind w:left="576" w:hanging="576"/>
        <w:rPr>
          <w:rStyle w:val="Strong"/>
          <w:sz w:val="24"/>
          <w:szCs w:val="24"/>
        </w:rPr>
      </w:pPr>
      <w:r w:rsidRPr="00BF2DAF">
        <w:rPr>
          <w:rStyle w:val="Strong"/>
          <w:sz w:val="24"/>
          <w:szCs w:val="24"/>
        </w:rPr>
        <w:t>Wind speed</w:t>
      </w:r>
    </w:p>
    <w:p w14:paraId="76FDB0CB" w14:textId="77777777" w:rsidR="00E15874" w:rsidRDefault="00E15874" w:rsidP="00E15874">
      <w:r>
        <w:t xml:space="preserve">In terms of wind characteristics on Saudi Arabia’s Red Sea Coast, the wind direction usually flows from the north-west, while wind speed depends on the location along the coast. Looking at speed observations in Saudi Arabia over the last decade collected by Windy </w:t>
      </w:r>
      <w:r>
        <w:fldChar w:fldCharType="begin"/>
      </w:r>
      <w:r>
        <w:instrText xml:space="preserve"> ADDIN EN.CITE &lt;EndNote&gt;&lt;Cite&gt;&lt;Author&gt;Windy&lt;/Author&gt;&lt;Year&gt;2023&lt;/Year&gt;&lt;RecNum&gt;65&lt;/RecNum&gt;&lt;DisplayText&gt;[75]&lt;/DisplayText&gt;&lt;record&gt;&lt;rec-number&gt;65&lt;/rec-number&gt;&lt;foreign-keys&gt;&lt;key app="EN" db-id="v0xr0tf57at9wbea5ry5xataww2rsv2sexfp" timestamp="1707828683"&gt;65&lt;/key&gt;&lt;/foreign-keys&gt;&lt;ref-type name="Web Page"&gt;12&lt;/ref-type&gt;&lt;contributors&gt;&lt;authors&gt;&lt;author&gt;Windy&lt;/author&gt;&lt;/authors&gt;&lt;/contributors&gt;&lt;titles&gt;&lt;title&gt;Wind forecasts &lt;/title&gt;&lt;/titles&gt;&lt;dates&gt;&lt;year&gt;2023&lt;/year&gt;&lt;/dates&gt;&lt;publisher&gt;Windy Weather World Inc,&lt;/publisher&gt;&lt;urls&gt;&lt;related-urls&gt;&lt;url&gt;https://windy.app/spots/Saudi%20Arabia&lt;/url&gt;&lt;/related-urls&gt;&lt;/urls&gt;&lt;/record&gt;&lt;/Cite&gt;&lt;/EndNote&gt;</w:instrText>
      </w:r>
      <w:r>
        <w:fldChar w:fldCharType="separate"/>
      </w:r>
      <w:r>
        <w:rPr>
          <w:noProof/>
        </w:rPr>
        <w:t>[</w:t>
      </w:r>
      <w:hyperlink w:anchor="_ENREF_75" w:tooltip="Windy, 2023 #65" w:history="1">
        <w:r w:rsidRPr="000707DD">
          <w:rPr>
            <w:rStyle w:val="Hyperlink"/>
          </w:rPr>
          <w:t>75</w:t>
        </w:r>
      </w:hyperlink>
      <w:r>
        <w:rPr>
          <w:noProof/>
        </w:rPr>
        <w:t>]</w:t>
      </w:r>
      <w:r>
        <w:fldChar w:fldCharType="end"/>
      </w:r>
      <w:r>
        <w:t xml:space="preserve">, a weather forecast application, highlights the differences in wind speed range along its coastline. On the north-most west coast region of Saudi Arabia, in the Aqaba area of Tabuk Province, wind speeds can range from a low of </w:t>
      </w:r>
      <w:r w:rsidRPr="008635CF">
        <w:t xml:space="preserve">4.11 meters per second (m/s) to a high of 11.83 m/s, however, the typical range in the region is between 7.17 to 8.75 m/s. In the central-west coast region of Saudi, between the coastlines of Makkah and Madinah provinces, </w:t>
      </w:r>
      <w:r>
        <w:t xml:space="preserve">typical average </w:t>
      </w:r>
      <w:r w:rsidRPr="008635CF">
        <w:t xml:space="preserve">wind speed profiles range from </w:t>
      </w:r>
      <w:r>
        <w:t>6</w:t>
      </w:r>
      <w:r w:rsidRPr="008635CF">
        <w:t xml:space="preserve">.11 to </w:t>
      </w:r>
      <w:r>
        <w:t>7</w:t>
      </w:r>
      <w:r w:rsidRPr="008635CF">
        <w:t xml:space="preserve">.83 m/s.  While on the south-west coast of the country, in Jazan province, </w:t>
      </w:r>
      <w:r>
        <w:t xml:space="preserve">average </w:t>
      </w:r>
      <w:r w:rsidRPr="008635CF">
        <w:t xml:space="preserve">wind speeds usually range from a low of </w:t>
      </w:r>
      <w:r>
        <w:t>5</w:t>
      </w:r>
      <w:r w:rsidRPr="008635CF">
        <w:t>.11 m/s to 6.17 m/s.</w:t>
      </w:r>
      <w:r>
        <w:t xml:space="preserve"> </w:t>
      </w:r>
    </w:p>
    <w:p w14:paraId="7D74562D" w14:textId="77777777" w:rsidR="00E15874" w:rsidRDefault="00E15874" w:rsidP="00E15874">
      <w:pPr>
        <w:keepNext/>
      </w:pPr>
      <w:r>
        <w:rPr>
          <w:noProof/>
        </w:rPr>
        <w:lastRenderedPageBreak/>
        <w:drawing>
          <wp:inline distT="0" distB="0" distL="0" distR="0" wp14:anchorId="00082802" wp14:editId="53F37F0F">
            <wp:extent cx="5943272" cy="3565525"/>
            <wp:effectExtent l="0" t="0" r="635" b="0"/>
            <wp:docPr id="1389059465" name="Picture 1389059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15760" name="Picture 56271576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272" cy="3565525"/>
                    </a:xfrm>
                    <a:prstGeom prst="rect">
                      <a:avLst/>
                    </a:prstGeom>
                  </pic:spPr>
                </pic:pic>
              </a:graphicData>
            </a:graphic>
          </wp:inline>
        </w:drawing>
      </w:r>
    </w:p>
    <w:p w14:paraId="731AF50E" w14:textId="77777777" w:rsidR="00E15874" w:rsidRDefault="00E15874" w:rsidP="00E15874">
      <w:pPr>
        <w:pStyle w:val="Caption"/>
      </w:pPr>
      <w:r>
        <w:t>Figure A1 (left)- Red Sea depth in meters [</w:t>
      </w:r>
      <w:r w:rsidRPr="00C6274D">
        <w:rPr>
          <w:color w:val="0070C0"/>
        </w:rPr>
        <w:t>6</w:t>
      </w:r>
      <w:r>
        <w:t xml:space="preserve">]. Figure 3b (Right)- Offshore wind potential in the Red Sea in meters/second. </w:t>
      </w:r>
      <w:r>
        <w:fldChar w:fldCharType="begin"/>
      </w:r>
      <w:r>
        <w:instrText xml:space="preserve"> ADDIN EN.CITE &lt;EndNote&gt;&lt;Cite&gt;&lt;Author&gt;Becker&lt;/Author&gt;&lt;Year&gt;2009&lt;/Year&gt;&lt;RecNum&gt;25&lt;/RecNum&gt;&lt;DisplayText&gt;[76]&lt;/DisplayText&gt;&lt;record&gt;&lt;rec-number&gt;25&lt;/rec-number&gt;&lt;foreign-keys&gt;&lt;key app="EN" db-id="v0xr0tf57at9wbea5ry5xataww2rsv2sexfp" timestamp="1707819368"&gt;25&lt;/key&gt;&lt;/foreign-keys&gt;&lt;ref-type name="Journal Article"&gt;17&lt;/ref-type&gt;&lt;contributors&gt;&lt;authors&gt;&lt;author&gt;Becker, J. J.&lt;/author&gt;&lt;author&gt;Sandwell, D. T.&lt;/author&gt;&lt;author&gt;Smith, W. H. F.&lt;/author&gt;&lt;author&gt;Braud, J.&lt;/author&gt;&lt;author&gt;Binder, B.&lt;/author&gt;&lt;author&gt;Depner, J.&lt;/author&gt;&lt;author&gt;Fabre, D.&lt;/author&gt;&lt;author&gt;Factor, J.&lt;/author&gt;&lt;author&gt;Ingalls, S.&lt;/author&gt;&lt;author&gt;Kim, S. H.&lt;/author&gt;&lt;author&gt;Ladner, R.&lt;/author&gt;&lt;author&gt;Marks, K.&lt;/author&gt;&lt;author&gt;Nelson, S.&lt;/author&gt;&lt;author&gt;Pharaoh, A.&lt;/author&gt;&lt;author&gt;Trimmer, R.&lt;/author&gt;&lt;author&gt;Von Rosenberg, J.&lt;/author&gt;&lt;author&gt;Wallace, G.&lt;/author&gt;&lt;author&gt;Weatherall, P.&lt;/author&gt;&lt;/authors&gt;&lt;/contributors&gt;&lt;titles&gt;&lt;title&gt;Global Bathymetry and Elevation Data at 30 Arc Seconds Resolution: SRTM30_PLUS&lt;/title&gt;&lt;secondary-title&gt;Marine Geodesy&lt;/secondary-title&gt;&lt;/titles&gt;&lt;periodical&gt;&lt;full-title&gt;Marine Geodesy&lt;/full-title&gt;&lt;/periodical&gt;&lt;pages&gt;355-371&lt;/pages&gt;&lt;volume&gt;32&lt;/volume&gt;&lt;number&gt;4&lt;/number&gt;&lt;section&gt;355&lt;/section&gt;&lt;dates&gt;&lt;year&gt;2009&lt;/year&gt;&lt;/dates&gt;&lt;isbn&gt;0149-0419&amp;#xD;1521-060X&lt;/isbn&gt;&lt;urls&gt;&lt;/urls&gt;&lt;electronic-resource-num&gt;10.1080/01490410903297766&lt;/electronic-resource-num&gt;&lt;/record&gt;&lt;/Cite&gt;&lt;/EndNote&gt;</w:instrText>
      </w:r>
      <w:r>
        <w:fldChar w:fldCharType="separate"/>
      </w:r>
      <w:r>
        <w:rPr>
          <w:noProof/>
        </w:rPr>
        <w:t>[</w:t>
      </w:r>
      <w:hyperlink w:anchor="_ENREF_76" w:tooltip="Becker, 2009 #25" w:history="1">
        <w:r w:rsidRPr="000707DD">
          <w:rPr>
            <w:rStyle w:val="Hyperlink"/>
            <w:i w:val="0"/>
            <w:iCs w:val="0"/>
            <w:sz w:val="22"/>
            <w:szCs w:val="22"/>
          </w:rPr>
          <w:t>76</w:t>
        </w:r>
      </w:hyperlink>
      <w:r>
        <w:rPr>
          <w:noProof/>
        </w:rPr>
        <w:t>]</w:t>
      </w:r>
      <w:r>
        <w:fldChar w:fldCharType="end"/>
      </w:r>
    </w:p>
    <w:p w14:paraId="6C380BE6" w14:textId="77777777" w:rsidR="00E15874" w:rsidRDefault="00E15874" w:rsidP="00E15874">
      <w:pPr>
        <w:spacing w:line="257" w:lineRule="auto"/>
        <w:rPr>
          <w:b/>
          <w:bCs/>
        </w:rPr>
      </w:pPr>
    </w:p>
    <w:p w14:paraId="3D2D7376" w14:textId="77777777" w:rsidR="00E15874" w:rsidRPr="00BF2DAF" w:rsidRDefault="00E15874" w:rsidP="00E15874">
      <w:pPr>
        <w:pStyle w:val="Heading2"/>
        <w:ind w:left="576" w:hanging="576"/>
        <w:rPr>
          <w:rStyle w:val="Strong"/>
          <w:sz w:val="24"/>
          <w:szCs w:val="24"/>
        </w:rPr>
      </w:pPr>
      <w:r w:rsidRPr="00BF2DAF">
        <w:rPr>
          <w:rStyle w:val="Strong"/>
          <w:sz w:val="24"/>
          <w:szCs w:val="24"/>
        </w:rPr>
        <w:t>Saudi Arabia’s Red Sea ports</w:t>
      </w:r>
    </w:p>
    <w:p w14:paraId="13B347EB" w14:textId="77777777" w:rsidR="00E15874" w:rsidRDefault="00E15874" w:rsidP="00E15874">
      <w:pPr>
        <w:spacing w:line="257" w:lineRule="auto"/>
      </w:pPr>
      <w:r>
        <w:t>Installation of large structures is always a challenge, especially when it is in the middle of the sea. However, unlike fixed offshore wind turbines, part of the FOWT installation is done onshore on a floating structure before it is moored to the desired location and tethered to the seabed. The sheer size of the wind turbine components means they need a dedicated large area in the port for installations. Saudi Arabia has the necessary port infrastructure on its Red Sea coast to support the installation and mooring of FOWT.</w:t>
      </w:r>
    </w:p>
    <w:p w14:paraId="5FDAB1E0" w14:textId="77777777" w:rsidR="00E15874" w:rsidRDefault="00E15874" w:rsidP="00E15874">
      <w:pPr>
        <w:pStyle w:val="EndNoteBibliography"/>
        <w:rPr>
          <w:rFonts w:eastAsia="Calibri"/>
        </w:rPr>
      </w:pPr>
      <w:r>
        <w:t>On its Red Sea coast, Saudi Arabia has six of its 11 ports. Figure 4 above, showcases the distribution of the ports along the Red Sea, starting from the north with Duba Port, Yanbu Commercial Port, Yanbu Industrial Port, King Abdullah Port (the only private port in the country), Jeddah Islamic Port, and Jizan Port. Saudi Arabia is endowed with a strategic geographic location along the East-West shipping lane, where around 13% of international trade passes through the Suez Canal. In KSA, seaborne trade makes up an estimated 94% of the goods transported in volume and 77% in value. In 2019, the Saudi Ports Authority (MAWANI) indicated that the throughput in all Red Sea coast ports, including the private King Abdullah Port in KAEC, was an estimated 6.4 million TEUs. The total throughput reported in 2019 by MAWANI, excluding crude oil, is 262 million tons or 9.98 million Twenty-foot Equivalent Units (TEUs) for its nine public ports. The Jeddah Islamic Port is a major container port, handling approximately 63% of the country’s container throughput with 1.76 million container TEUs handled in 2019. The Yanbu Industrial Port is a major port in liquid bulk, handling approximately 61% of the country’s liquid bulk throughput (excluding crude oil) with 3 million TEUs.</w:t>
      </w:r>
    </w:p>
    <w:p w14:paraId="63E6BE5B" w14:textId="77777777" w:rsidR="00E15874" w:rsidRDefault="00E15874" w:rsidP="00E15874">
      <w:pPr>
        <w:pStyle w:val="EndNoteBibliography"/>
        <w:rPr>
          <w:rFonts w:eastAsia="Calibri"/>
        </w:rPr>
      </w:pPr>
    </w:p>
    <w:p w14:paraId="26219D0D" w14:textId="77777777" w:rsidR="00E15874" w:rsidRPr="00BF2DAF" w:rsidRDefault="00E15874" w:rsidP="00E15874">
      <w:pPr>
        <w:pStyle w:val="EndNoteBibliography"/>
        <w:rPr>
          <w:rStyle w:val="IntenseEmphasis"/>
        </w:rPr>
      </w:pPr>
      <w:r w:rsidRPr="00BF2DAF">
        <w:rPr>
          <w:rStyle w:val="IntenseEmphasis"/>
        </w:rPr>
        <w:t>Appendix B: AHP matrix consistency ratio</w:t>
      </w:r>
    </w:p>
    <w:p w14:paraId="7292B617" w14:textId="77777777" w:rsidR="00E15874" w:rsidRDefault="00E15874" w:rsidP="00E15874">
      <w:pPr>
        <w:pStyle w:val="EndNoteBibliography"/>
        <w:rPr>
          <w:rFonts w:eastAsia="Calibri"/>
        </w:rPr>
      </w:pPr>
      <w:r w:rsidRPr="005E3D9D">
        <w:rPr>
          <w:rFonts w:eastAsia="Calibri"/>
        </w:rPr>
        <w:t xml:space="preserve">The CR is computed as the ratio of the consistency index (CI) to the random consistency index (RI), where CI = (λmax - n)/(n - 1), with λmax being the maximum eigenvalue of the pairwise comparison matrix and n the number of criteria. For our </w:t>
      </w:r>
      <w:r>
        <w:rPr>
          <w:rFonts w:eastAsia="Calibri"/>
        </w:rPr>
        <w:t>7</w:t>
      </w:r>
      <w:r w:rsidRPr="005E3D9D">
        <w:rPr>
          <w:rFonts w:eastAsia="Calibri"/>
        </w:rPr>
        <w:t xml:space="preserve">-criteria evaluation, the calculated CR value is </w:t>
      </w:r>
      <w:r>
        <w:rPr>
          <w:rFonts w:eastAsia="Calibri"/>
        </w:rPr>
        <w:t>0.08</w:t>
      </w:r>
      <w:r w:rsidRPr="005E3D9D">
        <w:rPr>
          <w:rFonts w:eastAsia="Calibri"/>
        </w:rPr>
        <w:t>, which is below the acceptable threshold of 0.1. This confirms that our pairwise comparisons are logically consistent and that the derived criteria weights are reliable and not the result of random judgments</w:t>
      </w:r>
    </w:p>
    <w:p w14:paraId="01607D4E" w14:textId="77777777" w:rsidR="00E15874" w:rsidRDefault="00E15874" w:rsidP="00E15874">
      <w:pPr>
        <w:pStyle w:val="Caption"/>
        <w:keepNext/>
      </w:pPr>
      <w:r>
        <w:t xml:space="preserve">Table B1: </w:t>
      </w:r>
      <w:r w:rsidRPr="00B05B88">
        <w:t>Normalized AHP Matrix and weights determination</w:t>
      </w:r>
    </w:p>
    <w:tbl>
      <w:tblPr>
        <w:tblW w:w="5000" w:type="pct"/>
        <w:tblLook w:val="04A0" w:firstRow="1" w:lastRow="0" w:firstColumn="1" w:lastColumn="0" w:noHBand="0" w:noVBand="1"/>
      </w:tblPr>
      <w:tblGrid>
        <w:gridCol w:w="1286"/>
        <w:gridCol w:w="1091"/>
        <w:gridCol w:w="1073"/>
        <w:gridCol w:w="881"/>
        <w:gridCol w:w="1249"/>
        <w:gridCol w:w="853"/>
        <w:gridCol w:w="1213"/>
        <w:gridCol w:w="881"/>
        <w:gridCol w:w="823"/>
      </w:tblGrid>
      <w:tr w:rsidR="00E15874" w:rsidRPr="00BF2DAF" w14:paraId="38F79705" w14:textId="77777777" w:rsidTr="00415F05">
        <w:trPr>
          <w:trHeight w:val="1152"/>
        </w:trPr>
        <w:tc>
          <w:tcPr>
            <w:tcW w:w="688" w:type="pct"/>
            <w:tcBorders>
              <w:top w:val="single" w:sz="4" w:space="0" w:color="A6A6A6"/>
              <w:left w:val="single" w:sz="4" w:space="0" w:color="A6A6A6"/>
              <w:bottom w:val="single" w:sz="4" w:space="0" w:color="A6A6A6"/>
              <w:right w:val="single" w:sz="4" w:space="0" w:color="A6A6A6"/>
            </w:tcBorders>
            <w:shd w:val="clear" w:color="000000" w:fill="44B3E1"/>
            <w:noWrap/>
            <w:vAlign w:val="center"/>
            <w:hideMark/>
          </w:tcPr>
          <w:p w14:paraId="6DB3D101" w14:textId="77777777" w:rsidR="00E15874" w:rsidRPr="00BF2DAF" w:rsidRDefault="00E15874" w:rsidP="00415F05">
            <w:pPr>
              <w:spacing w:after="0" w:line="240" w:lineRule="auto"/>
              <w:jc w:val="center"/>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Criteria</w:t>
            </w:r>
          </w:p>
        </w:tc>
        <w:tc>
          <w:tcPr>
            <w:tcW w:w="583" w:type="pct"/>
            <w:tcBorders>
              <w:top w:val="single" w:sz="4" w:space="0" w:color="A6A6A6"/>
              <w:left w:val="nil"/>
              <w:bottom w:val="single" w:sz="4" w:space="0" w:color="A6A6A6"/>
              <w:right w:val="single" w:sz="4" w:space="0" w:color="A6A6A6"/>
            </w:tcBorders>
            <w:shd w:val="clear" w:color="000000" w:fill="156082"/>
            <w:noWrap/>
            <w:vAlign w:val="center"/>
            <w:hideMark/>
          </w:tcPr>
          <w:p w14:paraId="266611FF"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Wind speed</w:t>
            </w:r>
            <w:r w:rsidRPr="00BF2DAF">
              <w:rPr>
                <w:rFonts w:ascii="Arial" w:eastAsia="Times New Roman" w:hAnsi="Arial" w:cs="Arial"/>
                <w:b/>
                <w:bCs/>
                <w:color w:val="FFFFFF"/>
                <w:sz w:val="18"/>
                <w:szCs w:val="18"/>
              </w:rPr>
              <w:t>​</w:t>
            </w:r>
          </w:p>
        </w:tc>
        <w:tc>
          <w:tcPr>
            <w:tcW w:w="574" w:type="pct"/>
            <w:tcBorders>
              <w:top w:val="single" w:sz="4" w:space="0" w:color="A6A6A6"/>
              <w:left w:val="nil"/>
              <w:bottom w:val="single" w:sz="4" w:space="0" w:color="A6A6A6"/>
              <w:right w:val="single" w:sz="4" w:space="0" w:color="A6A6A6"/>
            </w:tcBorders>
            <w:shd w:val="clear" w:color="000000" w:fill="156082"/>
            <w:noWrap/>
            <w:vAlign w:val="center"/>
            <w:hideMark/>
          </w:tcPr>
          <w:p w14:paraId="34CD219A"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Bathymetry</w:t>
            </w:r>
            <w:r w:rsidRPr="00BF2DAF">
              <w:rPr>
                <w:rFonts w:ascii="Arial" w:eastAsia="Times New Roman" w:hAnsi="Arial" w:cs="Arial"/>
                <w:b/>
                <w:bCs/>
                <w:color w:val="FFFFFF"/>
                <w:sz w:val="18"/>
                <w:szCs w:val="18"/>
              </w:rPr>
              <w:t>​</w:t>
            </w:r>
          </w:p>
        </w:tc>
        <w:tc>
          <w:tcPr>
            <w:tcW w:w="471" w:type="pct"/>
            <w:tcBorders>
              <w:top w:val="single" w:sz="4" w:space="0" w:color="A6A6A6"/>
              <w:left w:val="nil"/>
              <w:bottom w:val="single" w:sz="4" w:space="0" w:color="A6A6A6"/>
              <w:right w:val="single" w:sz="4" w:space="0" w:color="A6A6A6"/>
            </w:tcBorders>
            <w:shd w:val="clear" w:color="000000" w:fill="156082"/>
            <w:vAlign w:val="center"/>
            <w:hideMark/>
          </w:tcPr>
          <w:p w14:paraId="3C8EF31A"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Distance from Ports</w:t>
            </w:r>
            <w:r w:rsidRPr="00BF2DAF">
              <w:rPr>
                <w:rFonts w:ascii="Arial" w:eastAsia="Times New Roman" w:hAnsi="Arial" w:cs="Arial"/>
                <w:b/>
                <w:bCs/>
                <w:color w:val="FFFFFF"/>
                <w:sz w:val="18"/>
                <w:szCs w:val="18"/>
              </w:rPr>
              <w:t>​</w:t>
            </w:r>
          </w:p>
        </w:tc>
        <w:tc>
          <w:tcPr>
            <w:tcW w:w="668" w:type="pct"/>
            <w:tcBorders>
              <w:top w:val="single" w:sz="4" w:space="0" w:color="A6A6A6"/>
              <w:left w:val="nil"/>
              <w:bottom w:val="single" w:sz="4" w:space="0" w:color="A6A6A6"/>
              <w:right w:val="single" w:sz="4" w:space="0" w:color="A6A6A6"/>
            </w:tcBorders>
            <w:shd w:val="clear" w:color="000000" w:fill="156082"/>
            <w:vAlign w:val="center"/>
            <w:hideMark/>
          </w:tcPr>
          <w:p w14:paraId="53110456"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Distance from Grid infrastructure</w:t>
            </w:r>
            <w:r w:rsidRPr="00BF2DAF">
              <w:rPr>
                <w:rFonts w:ascii="Arial" w:eastAsia="Times New Roman" w:hAnsi="Arial" w:cs="Arial"/>
                <w:b/>
                <w:bCs/>
                <w:color w:val="FFFFFF"/>
                <w:sz w:val="18"/>
                <w:szCs w:val="18"/>
              </w:rPr>
              <w:t>​</w:t>
            </w:r>
          </w:p>
        </w:tc>
        <w:tc>
          <w:tcPr>
            <w:tcW w:w="456" w:type="pct"/>
            <w:tcBorders>
              <w:top w:val="single" w:sz="4" w:space="0" w:color="A6A6A6"/>
              <w:left w:val="nil"/>
              <w:bottom w:val="single" w:sz="4" w:space="0" w:color="A6A6A6"/>
              <w:right w:val="single" w:sz="4" w:space="0" w:color="A6A6A6"/>
            </w:tcBorders>
            <w:shd w:val="clear" w:color="000000" w:fill="156082"/>
            <w:vAlign w:val="center"/>
            <w:hideMark/>
          </w:tcPr>
          <w:p w14:paraId="4EE0338E"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 xml:space="preserve">Low shipping </w:t>
            </w:r>
            <w:r w:rsidRPr="00BF2DAF">
              <w:rPr>
                <w:rFonts w:ascii="Aptos Narrow" w:eastAsia="Times New Roman" w:hAnsi="Aptos Narrow" w:cs="Times New Roman"/>
                <w:b/>
                <w:bCs/>
                <w:color w:val="FFFFFF"/>
                <w:sz w:val="18"/>
                <w:szCs w:val="18"/>
              </w:rPr>
              <w:br/>
              <w:t>density</w:t>
            </w:r>
          </w:p>
        </w:tc>
        <w:tc>
          <w:tcPr>
            <w:tcW w:w="649" w:type="pct"/>
            <w:tcBorders>
              <w:top w:val="single" w:sz="4" w:space="0" w:color="A6A6A6"/>
              <w:left w:val="nil"/>
              <w:bottom w:val="single" w:sz="4" w:space="0" w:color="A6A6A6"/>
              <w:right w:val="single" w:sz="4" w:space="0" w:color="A6A6A6"/>
            </w:tcBorders>
            <w:shd w:val="clear" w:color="000000" w:fill="156082"/>
            <w:vAlign w:val="center"/>
            <w:hideMark/>
          </w:tcPr>
          <w:p w14:paraId="0A26A009"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Distance from Tourism &amp; Conservation</w:t>
            </w:r>
            <w:r w:rsidRPr="00BF2DAF">
              <w:rPr>
                <w:rFonts w:ascii="Arial" w:eastAsia="Times New Roman" w:hAnsi="Arial" w:cs="Arial"/>
                <w:b/>
                <w:bCs/>
                <w:color w:val="FFFFFF"/>
                <w:sz w:val="18"/>
                <w:szCs w:val="18"/>
              </w:rPr>
              <w:t>​</w:t>
            </w:r>
          </w:p>
        </w:tc>
        <w:tc>
          <w:tcPr>
            <w:tcW w:w="471" w:type="pct"/>
            <w:tcBorders>
              <w:top w:val="single" w:sz="4" w:space="0" w:color="A6A6A6"/>
              <w:left w:val="nil"/>
              <w:bottom w:val="single" w:sz="4" w:space="0" w:color="A6A6A6"/>
              <w:right w:val="single" w:sz="4" w:space="0" w:color="A6A6A6"/>
            </w:tcBorders>
            <w:shd w:val="clear" w:color="000000" w:fill="156082"/>
            <w:vAlign w:val="center"/>
            <w:hideMark/>
          </w:tcPr>
          <w:p w14:paraId="06D63DC2"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Distance from Aviation Radars</w:t>
            </w:r>
          </w:p>
        </w:tc>
        <w:tc>
          <w:tcPr>
            <w:tcW w:w="440" w:type="pct"/>
            <w:tcBorders>
              <w:top w:val="single" w:sz="4" w:space="0" w:color="A6A6A6"/>
              <w:left w:val="nil"/>
              <w:bottom w:val="single" w:sz="4" w:space="0" w:color="A6A6A6"/>
              <w:right w:val="single" w:sz="4" w:space="0" w:color="A6A6A6"/>
            </w:tcBorders>
            <w:shd w:val="clear" w:color="000000" w:fill="FFC7CE"/>
            <w:noWrap/>
            <w:vAlign w:val="center"/>
            <w:hideMark/>
          </w:tcPr>
          <w:p w14:paraId="640BEFB3" w14:textId="77777777" w:rsidR="00E15874" w:rsidRPr="00BF2DAF" w:rsidRDefault="00E15874" w:rsidP="00415F05">
            <w:pPr>
              <w:spacing w:after="0" w:line="240" w:lineRule="auto"/>
              <w:jc w:val="center"/>
              <w:rPr>
                <w:rFonts w:ascii="Aptos Narrow" w:eastAsia="Times New Roman" w:hAnsi="Aptos Narrow" w:cs="Times New Roman"/>
                <w:b/>
                <w:bCs/>
                <w:color w:val="9C0006"/>
                <w:sz w:val="18"/>
                <w:szCs w:val="18"/>
              </w:rPr>
            </w:pPr>
            <w:r w:rsidRPr="00BF2DAF">
              <w:rPr>
                <w:rFonts w:ascii="Aptos Narrow" w:eastAsia="Times New Roman" w:hAnsi="Aptos Narrow" w:cs="Times New Roman"/>
                <w:b/>
                <w:bCs/>
                <w:color w:val="9C0006"/>
                <w:sz w:val="18"/>
                <w:szCs w:val="18"/>
              </w:rPr>
              <w:t>Weights</w:t>
            </w:r>
          </w:p>
        </w:tc>
      </w:tr>
      <w:tr w:rsidR="00E15874" w:rsidRPr="00BF2DAF" w14:paraId="1DF49D08" w14:textId="77777777" w:rsidTr="00415F05">
        <w:trPr>
          <w:trHeight w:val="630"/>
        </w:trPr>
        <w:tc>
          <w:tcPr>
            <w:tcW w:w="688" w:type="pct"/>
            <w:tcBorders>
              <w:top w:val="nil"/>
              <w:left w:val="single" w:sz="4" w:space="0" w:color="A6A6A6"/>
              <w:bottom w:val="single" w:sz="4" w:space="0" w:color="A6A6A6"/>
              <w:right w:val="single" w:sz="4" w:space="0" w:color="A6A6A6"/>
            </w:tcBorders>
            <w:shd w:val="clear" w:color="000000" w:fill="156082"/>
            <w:noWrap/>
            <w:vAlign w:val="center"/>
            <w:hideMark/>
          </w:tcPr>
          <w:p w14:paraId="0D69715D"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Wind speed</w:t>
            </w:r>
            <w:r w:rsidRPr="00BF2DAF">
              <w:rPr>
                <w:rFonts w:ascii="Arial" w:eastAsia="Times New Roman" w:hAnsi="Arial" w:cs="Arial"/>
                <w:b/>
                <w:bCs/>
                <w:color w:val="FFFFFF"/>
                <w:sz w:val="18"/>
                <w:szCs w:val="18"/>
              </w:rPr>
              <w:t>​</w:t>
            </w:r>
          </w:p>
        </w:tc>
        <w:tc>
          <w:tcPr>
            <w:tcW w:w="583" w:type="pct"/>
            <w:tcBorders>
              <w:top w:val="single" w:sz="4" w:space="0" w:color="3F3F3F"/>
              <w:left w:val="single" w:sz="4" w:space="0" w:color="3F3F3F"/>
              <w:bottom w:val="single" w:sz="4" w:space="0" w:color="3F3F3F"/>
              <w:right w:val="single" w:sz="4" w:space="0" w:color="3F3F3F"/>
            </w:tcBorders>
            <w:shd w:val="clear" w:color="000000" w:fill="F2F2F2"/>
            <w:noWrap/>
            <w:vAlign w:val="center"/>
            <w:hideMark/>
          </w:tcPr>
          <w:p w14:paraId="212EA865"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0.47</w:t>
            </w:r>
          </w:p>
        </w:tc>
        <w:tc>
          <w:tcPr>
            <w:tcW w:w="574" w:type="pct"/>
            <w:tcBorders>
              <w:top w:val="single" w:sz="4" w:space="0" w:color="3F3F3F"/>
              <w:left w:val="nil"/>
              <w:bottom w:val="single" w:sz="4" w:space="0" w:color="3F3F3F"/>
              <w:right w:val="single" w:sz="4" w:space="0" w:color="3F3F3F"/>
            </w:tcBorders>
            <w:shd w:val="clear" w:color="000000" w:fill="F2F2F2"/>
            <w:noWrap/>
            <w:vAlign w:val="center"/>
            <w:hideMark/>
          </w:tcPr>
          <w:p w14:paraId="15FEF998"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0.70</w:t>
            </w:r>
          </w:p>
        </w:tc>
        <w:tc>
          <w:tcPr>
            <w:tcW w:w="471" w:type="pct"/>
            <w:tcBorders>
              <w:top w:val="single" w:sz="4" w:space="0" w:color="3F3F3F"/>
              <w:left w:val="nil"/>
              <w:bottom w:val="single" w:sz="4" w:space="0" w:color="3F3F3F"/>
              <w:right w:val="single" w:sz="4" w:space="0" w:color="3F3F3F"/>
            </w:tcBorders>
            <w:shd w:val="clear" w:color="000000" w:fill="F2F2F2"/>
            <w:noWrap/>
            <w:vAlign w:val="center"/>
            <w:hideMark/>
          </w:tcPr>
          <w:p w14:paraId="71B9F9F5"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0.39</w:t>
            </w:r>
          </w:p>
        </w:tc>
        <w:tc>
          <w:tcPr>
            <w:tcW w:w="668" w:type="pct"/>
            <w:tcBorders>
              <w:top w:val="single" w:sz="4" w:space="0" w:color="3F3F3F"/>
              <w:left w:val="nil"/>
              <w:bottom w:val="single" w:sz="4" w:space="0" w:color="3F3F3F"/>
              <w:right w:val="single" w:sz="4" w:space="0" w:color="3F3F3F"/>
            </w:tcBorders>
            <w:shd w:val="clear" w:color="000000" w:fill="F2F2F2"/>
            <w:noWrap/>
            <w:vAlign w:val="center"/>
            <w:hideMark/>
          </w:tcPr>
          <w:p w14:paraId="06B71F9F"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0.43</w:t>
            </w:r>
          </w:p>
        </w:tc>
        <w:tc>
          <w:tcPr>
            <w:tcW w:w="456" w:type="pct"/>
            <w:tcBorders>
              <w:top w:val="single" w:sz="4" w:space="0" w:color="3F3F3F"/>
              <w:left w:val="nil"/>
              <w:bottom w:val="single" w:sz="4" w:space="0" w:color="3F3F3F"/>
              <w:right w:val="single" w:sz="4" w:space="0" w:color="3F3F3F"/>
            </w:tcBorders>
            <w:shd w:val="clear" w:color="000000" w:fill="F2F2F2"/>
            <w:noWrap/>
            <w:vAlign w:val="center"/>
            <w:hideMark/>
          </w:tcPr>
          <w:p w14:paraId="3A44D4BA"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0.28</w:t>
            </w:r>
          </w:p>
        </w:tc>
        <w:tc>
          <w:tcPr>
            <w:tcW w:w="649" w:type="pct"/>
            <w:tcBorders>
              <w:top w:val="single" w:sz="4" w:space="0" w:color="3F3F3F"/>
              <w:left w:val="nil"/>
              <w:bottom w:val="single" w:sz="4" w:space="0" w:color="3F3F3F"/>
              <w:right w:val="single" w:sz="4" w:space="0" w:color="3F3F3F"/>
            </w:tcBorders>
            <w:shd w:val="clear" w:color="000000" w:fill="F2F2F2"/>
            <w:noWrap/>
            <w:vAlign w:val="center"/>
            <w:hideMark/>
          </w:tcPr>
          <w:p w14:paraId="7DA1C5B9"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0.24</w:t>
            </w:r>
          </w:p>
        </w:tc>
        <w:tc>
          <w:tcPr>
            <w:tcW w:w="471" w:type="pct"/>
            <w:tcBorders>
              <w:top w:val="single" w:sz="4" w:space="0" w:color="3F3F3F"/>
              <w:left w:val="nil"/>
              <w:bottom w:val="single" w:sz="4" w:space="0" w:color="3F3F3F"/>
              <w:right w:val="single" w:sz="4" w:space="0" w:color="3F3F3F"/>
            </w:tcBorders>
            <w:shd w:val="clear" w:color="000000" w:fill="F2F2F2"/>
            <w:noWrap/>
            <w:vAlign w:val="center"/>
            <w:hideMark/>
          </w:tcPr>
          <w:p w14:paraId="422B4876"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0.30</w:t>
            </w:r>
          </w:p>
        </w:tc>
        <w:tc>
          <w:tcPr>
            <w:tcW w:w="440" w:type="pct"/>
            <w:tcBorders>
              <w:top w:val="nil"/>
              <w:left w:val="single" w:sz="4" w:space="0" w:color="A6A6A6"/>
              <w:bottom w:val="single" w:sz="4" w:space="0" w:color="A6A6A6"/>
              <w:right w:val="single" w:sz="4" w:space="0" w:color="A6A6A6"/>
            </w:tcBorders>
            <w:shd w:val="clear" w:color="000000" w:fill="FFC7CE"/>
            <w:noWrap/>
            <w:vAlign w:val="bottom"/>
            <w:hideMark/>
          </w:tcPr>
          <w:p w14:paraId="1187B342" w14:textId="77777777" w:rsidR="00E15874" w:rsidRPr="00BF2DAF" w:rsidRDefault="00E15874" w:rsidP="00415F05">
            <w:pPr>
              <w:spacing w:after="0" w:line="240" w:lineRule="auto"/>
              <w:jc w:val="center"/>
              <w:rPr>
                <w:rFonts w:ascii="Aptos Narrow" w:eastAsia="Times New Roman" w:hAnsi="Aptos Narrow" w:cs="Times New Roman"/>
                <w:color w:val="9C0006"/>
                <w:sz w:val="18"/>
                <w:szCs w:val="18"/>
              </w:rPr>
            </w:pPr>
            <w:r>
              <w:rPr>
                <w:rFonts w:ascii="Aptos Narrow" w:hAnsi="Aptos Narrow"/>
                <w:color w:val="9C0006"/>
              </w:rPr>
              <w:t>40%</w:t>
            </w:r>
          </w:p>
        </w:tc>
      </w:tr>
      <w:tr w:rsidR="00E15874" w:rsidRPr="00BF2DAF" w14:paraId="539E7499" w14:textId="77777777" w:rsidTr="00415F05">
        <w:trPr>
          <w:trHeight w:val="591"/>
        </w:trPr>
        <w:tc>
          <w:tcPr>
            <w:tcW w:w="688" w:type="pct"/>
            <w:tcBorders>
              <w:top w:val="nil"/>
              <w:left w:val="single" w:sz="4" w:space="0" w:color="A6A6A6"/>
              <w:bottom w:val="single" w:sz="4" w:space="0" w:color="A6A6A6"/>
              <w:right w:val="single" w:sz="4" w:space="0" w:color="A6A6A6"/>
            </w:tcBorders>
            <w:shd w:val="clear" w:color="000000" w:fill="156082"/>
            <w:noWrap/>
            <w:vAlign w:val="center"/>
            <w:hideMark/>
          </w:tcPr>
          <w:p w14:paraId="4C38FC45"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Bathymetry</w:t>
            </w:r>
            <w:r w:rsidRPr="00BF2DAF">
              <w:rPr>
                <w:rFonts w:ascii="Arial" w:eastAsia="Times New Roman" w:hAnsi="Arial" w:cs="Arial"/>
                <w:b/>
                <w:bCs/>
                <w:color w:val="FFFFFF"/>
                <w:sz w:val="18"/>
                <w:szCs w:val="18"/>
              </w:rPr>
              <w:t>​</w:t>
            </w:r>
          </w:p>
        </w:tc>
        <w:tc>
          <w:tcPr>
            <w:tcW w:w="583" w:type="pct"/>
            <w:tcBorders>
              <w:top w:val="nil"/>
              <w:left w:val="single" w:sz="4" w:space="0" w:color="3F3F3F"/>
              <w:bottom w:val="single" w:sz="4" w:space="0" w:color="3F3F3F"/>
              <w:right w:val="single" w:sz="4" w:space="0" w:color="3F3F3F"/>
            </w:tcBorders>
            <w:shd w:val="clear" w:color="000000" w:fill="F2F2F2"/>
            <w:noWrap/>
            <w:vAlign w:val="center"/>
            <w:hideMark/>
          </w:tcPr>
          <w:p w14:paraId="4132BE08"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0.09</w:t>
            </w:r>
          </w:p>
        </w:tc>
        <w:tc>
          <w:tcPr>
            <w:tcW w:w="574" w:type="pct"/>
            <w:tcBorders>
              <w:top w:val="nil"/>
              <w:left w:val="nil"/>
              <w:bottom w:val="single" w:sz="4" w:space="0" w:color="3F3F3F"/>
              <w:right w:val="single" w:sz="4" w:space="0" w:color="3F3F3F"/>
            </w:tcBorders>
            <w:shd w:val="clear" w:color="000000" w:fill="F2F2F2"/>
            <w:noWrap/>
            <w:vAlign w:val="center"/>
            <w:hideMark/>
          </w:tcPr>
          <w:p w14:paraId="52B10003"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0.14</w:t>
            </w:r>
          </w:p>
        </w:tc>
        <w:tc>
          <w:tcPr>
            <w:tcW w:w="471" w:type="pct"/>
            <w:tcBorders>
              <w:top w:val="nil"/>
              <w:left w:val="nil"/>
              <w:bottom w:val="single" w:sz="4" w:space="0" w:color="3F3F3F"/>
              <w:right w:val="single" w:sz="4" w:space="0" w:color="3F3F3F"/>
            </w:tcBorders>
            <w:shd w:val="clear" w:color="000000" w:fill="F2F2F2"/>
            <w:noWrap/>
            <w:vAlign w:val="center"/>
            <w:hideMark/>
          </w:tcPr>
          <w:p w14:paraId="6B5A5B63"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0.31</w:t>
            </w:r>
          </w:p>
        </w:tc>
        <w:tc>
          <w:tcPr>
            <w:tcW w:w="668" w:type="pct"/>
            <w:tcBorders>
              <w:top w:val="nil"/>
              <w:left w:val="nil"/>
              <w:bottom w:val="single" w:sz="4" w:space="0" w:color="3F3F3F"/>
              <w:right w:val="single" w:sz="4" w:space="0" w:color="3F3F3F"/>
            </w:tcBorders>
            <w:shd w:val="clear" w:color="000000" w:fill="F2F2F2"/>
            <w:noWrap/>
            <w:vAlign w:val="center"/>
            <w:hideMark/>
          </w:tcPr>
          <w:p w14:paraId="0470DF2D"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0.33</w:t>
            </w:r>
          </w:p>
        </w:tc>
        <w:tc>
          <w:tcPr>
            <w:tcW w:w="456" w:type="pct"/>
            <w:tcBorders>
              <w:top w:val="nil"/>
              <w:left w:val="nil"/>
              <w:bottom w:val="single" w:sz="4" w:space="0" w:color="3F3F3F"/>
              <w:right w:val="single" w:sz="4" w:space="0" w:color="3F3F3F"/>
            </w:tcBorders>
            <w:shd w:val="clear" w:color="000000" w:fill="F2F2F2"/>
            <w:noWrap/>
            <w:vAlign w:val="center"/>
            <w:hideMark/>
          </w:tcPr>
          <w:p w14:paraId="792E7EB6"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0.28</w:t>
            </w:r>
          </w:p>
        </w:tc>
        <w:tc>
          <w:tcPr>
            <w:tcW w:w="649" w:type="pct"/>
            <w:tcBorders>
              <w:top w:val="nil"/>
              <w:left w:val="nil"/>
              <w:bottom w:val="single" w:sz="4" w:space="0" w:color="3F3F3F"/>
              <w:right w:val="single" w:sz="4" w:space="0" w:color="3F3F3F"/>
            </w:tcBorders>
            <w:shd w:val="clear" w:color="000000" w:fill="F2F2F2"/>
            <w:noWrap/>
            <w:vAlign w:val="center"/>
            <w:hideMark/>
          </w:tcPr>
          <w:p w14:paraId="07C00342"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0.18</w:t>
            </w:r>
          </w:p>
        </w:tc>
        <w:tc>
          <w:tcPr>
            <w:tcW w:w="471" w:type="pct"/>
            <w:tcBorders>
              <w:top w:val="nil"/>
              <w:left w:val="nil"/>
              <w:bottom w:val="single" w:sz="4" w:space="0" w:color="3F3F3F"/>
              <w:right w:val="single" w:sz="4" w:space="0" w:color="3F3F3F"/>
            </w:tcBorders>
            <w:shd w:val="clear" w:color="000000" w:fill="F2F2F2"/>
            <w:noWrap/>
            <w:vAlign w:val="center"/>
            <w:hideMark/>
          </w:tcPr>
          <w:p w14:paraId="6C49A742"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0.24</w:t>
            </w:r>
          </w:p>
        </w:tc>
        <w:tc>
          <w:tcPr>
            <w:tcW w:w="440" w:type="pct"/>
            <w:tcBorders>
              <w:top w:val="nil"/>
              <w:left w:val="single" w:sz="4" w:space="0" w:color="A6A6A6"/>
              <w:bottom w:val="single" w:sz="4" w:space="0" w:color="A6A6A6"/>
              <w:right w:val="single" w:sz="4" w:space="0" w:color="A6A6A6"/>
            </w:tcBorders>
            <w:shd w:val="clear" w:color="000000" w:fill="FFC7CE"/>
            <w:noWrap/>
            <w:vAlign w:val="bottom"/>
            <w:hideMark/>
          </w:tcPr>
          <w:p w14:paraId="60A2763A" w14:textId="77777777" w:rsidR="00E15874" w:rsidRPr="00BF2DAF" w:rsidRDefault="00E15874" w:rsidP="00415F05">
            <w:pPr>
              <w:spacing w:after="0" w:line="240" w:lineRule="auto"/>
              <w:jc w:val="center"/>
              <w:rPr>
                <w:rFonts w:ascii="Aptos Narrow" w:eastAsia="Times New Roman" w:hAnsi="Aptos Narrow" w:cs="Times New Roman"/>
                <w:color w:val="9C0006"/>
                <w:sz w:val="18"/>
                <w:szCs w:val="18"/>
              </w:rPr>
            </w:pPr>
            <w:r>
              <w:rPr>
                <w:rFonts w:ascii="Aptos Narrow" w:hAnsi="Aptos Narrow"/>
                <w:color w:val="9C0006"/>
              </w:rPr>
              <w:t>22%</w:t>
            </w:r>
          </w:p>
        </w:tc>
      </w:tr>
      <w:tr w:rsidR="00E15874" w:rsidRPr="00BF2DAF" w14:paraId="4D4F5226" w14:textId="77777777" w:rsidTr="00415F05">
        <w:trPr>
          <w:trHeight w:val="660"/>
        </w:trPr>
        <w:tc>
          <w:tcPr>
            <w:tcW w:w="688" w:type="pct"/>
            <w:tcBorders>
              <w:top w:val="nil"/>
              <w:left w:val="single" w:sz="4" w:space="0" w:color="A6A6A6"/>
              <w:bottom w:val="single" w:sz="4" w:space="0" w:color="A6A6A6"/>
              <w:right w:val="single" w:sz="4" w:space="0" w:color="A6A6A6"/>
            </w:tcBorders>
            <w:shd w:val="clear" w:color="000000" w:fill="156082"/>
            <w:vAlign w:val="center"/>
            <w:hideMark/>
          </w:tcPr>
          <w:p w14:paraId="00EBF025"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Distance from Ports</w:t>
            </w:r>
            <w:r w:rsidRPr="00BF2DAF">
              <w:rPr>
                <w:rFonts w:ascii="Arial" w:eastAsia="Times New Roman" w:hAnsi="Arial" w:cs="Arial"/>
                <w:b/>
                <w:bCs/>
                <w:color w:val="FFFFFF"/>
                <w:sz w:val="18"/>
                <w:szCs w:val="18"/>
              </w:rPr>
              <w:t>​</w:t>
            </w:r>
          </w:p>
        </w:tc>
        <w:tc>
          <w:tcPr>
            <w:tcW w:w="583" w:type="pct"/>
            <w:tcBorders>
              <w:top w:val="nil"/>
              <w:left w:val="single" w:sz="4" w:space="0" w:color="3F3F3F"/>
              <w:bottom w:val="single" w:sz="4" w:space="0" w:color="3F3F3F"/>
              <w:right w:val="single" w:sz="4" w:space="0" w:color="3F3F3F"/>
            </w:tcBorders>
            <w:shd w:val="clear" w:color="000000" w:fill="F2F2F2"/>
            <w:noWrap/>
            <w:vAlign w:val="center"/>
            <w:hideMark/>
          </w:tcPr>
          <w:p w14:paraId="766877C1"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0.09</w:t>
            </w:r>
          </w:p>
        </w:tc>
        <w:tc>
          <w:tcPr>
            <w:tcW w:w="574" w:type="pct"/>
            <w:tcBorders>
              <w:top w:val="nil"/>
              <w:left w:val="nil"/>
              <w:bottom w:val="single" w:sz="4" w:space="0" w:color="3F3F3F"/>
              <w:right w:val="single" w:sz="4" w:space="0" w:color="3F3F3F"/>
            </w:tcBorders>
            <w:shd w:val="clear" w:color="000000" w:fill="F2F2F2"/>
            <w:noWrap/>
            <w:vAlign w:val="center"/>
            <w:hideMark/>
          </w:tcPr>
          <w:p w14:paraId="20C72FC9"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0.04</w:t>
            </w:r>
          </w:p>
        </w:tc>
        <w:tc>
          <w:tcPr>
            <w:tcW w:w="471" w:type="pct"/>
            <w:tcBorders>
              <w:top w:val="nil"/>
              <w:left w:val="nil"/>
              <w:bottom w:val="single" w:sz="4" w:space="0" w:color="3F3F3F"/>
              <w:right w:val="single" w:sz="4" w:space="0" w:color="3F3F3F"/>
            </w:tcBorders>
            <w:shd w:val="clear" w:color="000000" w:fill="F2F2F2"/>
            <w:noWrap/>
            <w:vAlign w:val="center"/>
            <w:hideMark/>
          </w:tcPr>
          <w:p w14:paraId="1480FD07"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0.08</w:t>
            </w:r>
          </w:p>
        </w:tc>
        <w:tc>
          <w:tcPr>
            <w:tcW w:w="668" w:type="pct"/>
            <w:tcBorders>
              <w:top w:val="nil"/>
              <w:left w:val="nil"/>
              <w:bottom w:val="single" w:sz="4" w:space="0" w:color="3F3F3F"/>
              <w:right w:val="single" w:sz="4" w:space="0" w:color="3F3F3F"/>
            </w:tcBorders>
            <w:shd w:val="clear" w:color="000000" w:fill="F2F2F2"/>
            <w:noWrap/>
            <w:vAlign w:val="center"/>
            <w:hideMark/>
          </w:tcPr>
          <w:p w14:paraId="3377A234"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0.05</w:t>
            </w:r>
          </w:p>
        </w:tc>
        <w:tc>
          <w:tcPr>
            <w:tcW w:w="456" w:type="pct"/>
            <w:tcBorders>
              <w:top w:val="nil"/>
              <w:left w:val="nil"/>
              <w:bottom w:val="single" w:sz="4" w:space="0" w:color="3F3F3F"/>
              <w:right w:val="single" w:sz="4" w:space="0" w:color="3F3F3F"/>
            </w:tcBorders>
            <w:shd w:val="clear" w:color="000000" w:fill="F2F2F2"/>
            <w:noWrap/>
            <w:vAlign w:val="center"/>
            <w:hideMark/>
          </w:tcPr>
          <w:p w14:paraId="0F966243"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0.16</w:t>
            </w:r>
          </w:p>
        </w:tc>
        <w:tc>
          <w:tcPr>
            <w:tcW w:w="649" w:type="pct"/>
            <w:tcBorders>
              <w:top w:val="nil"/>
              <w:left w:val="nil"/>
              <w:bottom w:val="single" w:sz="4" w:space="0" w:color="3F3F3F"/>
              <w:right w:val="single" w:sz="4" w:space="0" w:color="3F3F3F"/>
            </w:tcBorders>
            <w:shd w:val="clear" w:color="000000" w:fill="F2F2F2"/>
            <w:noWrap/>
            <w:vAlign w:val="center"/>
            <w:hideMark/>
          </w:tcPr>
          <w:p w14:paraId="17444EC1"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0.15</w:t>
            </w:r>
          </w:p>
        </w:tc>
        <w:tc>
          <w:tcPr>
            <w:tcW w:w="471" w:type="pct"/>
            <w:tcBorders>
              <w:top w:val="nil"/>
              <w:left w:val="nil"/>
              <w:bottom w:val="single" w:sz="4" w:space="0" w:color="3F3F3F"/>
              <w:right w:val="single" w:sz="4" w:space="0" w:color="3F3F3F"/>
            </w:tcBorders>
            <w:shd w:val="clear" w:color="000000" w:fill="F2F2F2"/>
            <w:noWrap/>
            <w:vAlign w:val="center"/>
            <w:hideMark/>
          </w:tcPr>
          <w:p w14:paraId="328DEE3F"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0.18</w:t>
            </w:r>
          </w:p>
        </w:tc>
        <w:tc>
          <w:tcPr>
            <w:tcW w:w="440" w:type="pct"/>
            <w:tcBorders>
              <w:top w:val="nil"/>
              <w:left w:val="single" w:sz="4" w:space="0" w:color="A6A6A6"/>
              <w:bottom w:val="single" w:sz="4" w:space="0" w:color="A6A6A6"/>
              <w:right w:val="single" w:sz="4" w:space="0" w:color="A6A6A6"/>
            </w:tcBorders>
            <w:shd w:val="clear" w:color="000000" w:fill="FFC7CE"/>
            <w:noWrap/>
            <w:vAlign w:val="bottom"/>
            <w:hideMark/>
          </w:tcPr>
          <w:p w14:paraId="09F9C034" w14:textId="77777777" w:rsidR="00E15874" w:rsidRPr="00BF2DAF" w:rsidRDefault="00E15874" w:rsidP="00415F05">
            <w:pPr>
              <w:spacing w:after="0" w:line="240" w:lineRule="auto"/>
              <w:jc w:val="center"/>
              <w:rPr>
                <w:rFonts w:ascii="Aptos Narrow" w:eastAsia="Times New Roman" w:hAnsi="Aptos Narrow" w:cs="Times New Roman"/>
                <w:color w:val="9C0006"/>
                <w:sz w:val="18"/>
                <w:szCs w:val="18"/>
              </w:rPr>
            </w:pPr>
            <w:r>
              <w:rPr>
                <w:rFonts w:ascii="Aptos Narrow" w:hAnsi="Aptos Narrow"/>
                <w:color w:val="9C0006"/>
              </w:rPr>
              <w:t>11%</w:t>
            </w:r>
          </w:p>
        </w:tc>
      </w:tr>
      <w:tr w:rsidR="00E15874" w:rsidRPr="00BF2DAF" w14:paraId="42C33057" w14:textId="77777777" w:rsidTr="00415F05">
        <w:trPr>
          <w:trHeight w:val="771"/>
        </w:trPr>
        <w:tc>
          <w:tcPr>
            <w:tcW w:w="688" w:type="pct"/>
            <w:tcBorders>
              <w:top w:val="nil"/>
              <w:left w:val="single" w:sz="4" w:space="0" w:color="A6A6A6"/>
              <w:bottom w:val="single" w:sz="4" w:space="0" w:color="A6A6A6"/>
              <w:right w:val="single" w:sz="4" w:space="0" w:color="A6A6A6"/>
            </w:tcBorders>
            <w:shd w:val="clear" w:color="000000" w:fill="156082"/>
            <w:vAlign w:val="center"/>
            <w:hideMark/>
          </w:tcPr>
          <w:p w14:paraId="770F4BAD"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Distance from Grid infrastructure</w:t>
            </w:r>
            <w:r w:rsidRPr="00BF2DAF">
              <w:rPr>
                <w:rFonts w:ascii="Arial" w:eastAsia="Times New Roman" w:hAnsi="Arial" w:cs="Arial"/>
                <w:b/>
                <w:bCs/>
                <w:color w:val="FFFFFF"/>
                <w:sz w:val="18"/>
                <w:szCs w:val="18"/>
              </w:rPr>
              <w:t>​</w:t>
            </w:r>
          </w:p>
        </w:tc>
        <w:tc>
          <w:tcPr>
            <w:tcW w:w="583" w:type="pct"/>
            <w:tcBorders>
              <w:top w:val="nil"/>
              <w:left w:val="single" w:sz="4" w:space="0" w:color="3F3F3F"/>
              <w:bottom w:val="single" w:sz="4" w:space="0" w:color="3F3F3F"/>
              <w:right w:val="single" w:sz="4" w:space="0" w:color="3F3F3F"/>
            </w:tcBorders>
            <w:shd w:val="clear" w:color="000000" w:fill="F2F2F2"/>
            <w:noWrap/>
            <w:vAlign w:val="center"/>
            <w:hideMark/>
          </w:tcPr>
          <w:p w14:paraId="20D71DD1"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0.12</w:t>
            </w:r>
          </w:p>
        </w:tc>
        <w:tc>
          <w:tcPr>
            <w:tcW w:w="574" w:type="pct"/>
            <w:tcBorders>
              <w:top w:val="nil"/>
              <w:left w:val="nil"/>
              <w:bottom w:val="single" w:sz="4" w:space="0" w:color="3F3F3F"/>
              <w:right w:val="single" w:sz="4" w:space="0" w:color="3F3F3F"/>
            </w:tcBorders>
            <w:shd w:val="clear" w:color="000000" w:fill="F2F2F2"/>
            <w:noWrap/>
            <w:vAlign w:val="center"/>
            <w:hideMark/>
          </w:tcPr>
          <w:p w14:paraId="779F990A"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0.05</w:t>
            </w:r>
          </w:p>
        </w:tc>
        <w:tc>
          <w:tcPr>
            <w:tcW w:w="471" w:type="pct"/>
            <w:tcBorders>
              <w:top w:val="nil"/>
              <w:left w:val="nil"/>
              <w:bottom w:val="single" w:sz="4" w:space="0" w:color="3F3F3F"/>
              <w:right w:val="single" w:sz="4" w:space="0" w:color="3F3F3F"/>
            </w:tcBorders>
            <w:shd w:val="clear" w:color="000000" w:fill="F2F2F2"/>
            <w:noWrap/>
            <w:vAlign w:val="center"/>
            <w:hideMark/>
          </w:tcPr>
          <w:p w14:paraId="40BF04BA"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0.16</w:t>
            </w:r>
          </w:p>
        </w:tc>
        <w:tc>
          <w:tcPr>
            <w:tcW w:w="668" w:type="pct"/>
            <w:tcBorders>
              <w:top w:val="nil"/>
              <w:left w:val="nil"/>
              <w:bottom w:val="single" w:sz="4" w:space="0" w:color="3F3F3F"/>
              <w:right w:val="single" w:sz="4" w:space="0" w:color="3F3F3F"/>
            </w:tcBorders>
            <w:shd w:val="clear" w:color="000000" w:fill="F2F2F2"/>
            <w:noWrap/>
            <w:vAlign w:val="center"/>
            <w:hideMark/>
          </w:tcPr>
          <w:p w14:paraId="7B252337"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0.11</w:t>
            </w:r>
          </w:p>
        </w:tc>
        <w:tc>
          <w:tcPr>
            <w:tcW w:w="456" w:type="pct"/>
            <w:tcBorders>
              <w:top w:val="nil"/>
              <w:left w:val="nil"/>
              <w:bottom w:val="single" w:sz="4" w:space="0" w:color="3F3F3F"/>
              <w:right w:val="single" w:sz="4" w:space="0" w:color="3F3F3F"/>
            </w:tcBorders>
            <w:shd w:val="clear" w:color="000000" w:fill="F2F2F2"/>
            <w:noWrap/>
            <w:vAlign w:val="center"/>
            <w:hideMark/>
          </w:tcPr>
          <w:p w14:paraId="5AC4F867"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0.16</w:t>
            </w:r>
          </w:p>
        </w:tc>
        <w:tc>
          <w:tcPr>
            <w:tcW w:w="649" w:type="pct"/>
            <w:tcBorders>
              <w:top w:val="nil"/>
              <w:left w:val="nil"/>
              <w:bottom w:val="single" w:sz="4" w:space="0" w:color="3F3F3F"/>
              <w:right w:val="single" w:sz="4" w:space="0" w:color="3F3F3F"/>
            </w:tcBorders>
            <w:shd w:val="clear" w:color="000000" w:fill="F2F2F2"/>
            <w:noWrap/>
            <w:vAlign w:val="center"/>
            <w:hideMark/>
          </w:tcPr>
          <w:p w14:paraId="517A7856"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0.21</w:t>
            </w:r>
          </w:p>
        </w:tc>
        <w:tc>
          <w:tcPr>
            <w:tcW w:w="471" w:type="pct"/>
            <w:tcBorders>
              <w:top w:val="nil"/>
              <w:left w:val="nil"/>
              <w:bottom w:val="single" w:sz="4" w:space="0" w:color="3F3F3F"/>
              <w:right w:val="single" w:sz="4" w:space="0" w:color="3F3F3F"/>
            </w:tcBorders>
            <w:shd w:val="clear" w:color="000000" w:fill="F2F2F2"/>
            <w:noWrap/>
            <w:vAlign w:val="center"/>
            <w:hideMark/>
          </w:tcPr>
          <w:p w14:paraId="62674AD0"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0.18</w:t>
            </w:r>
          </w:p>
        </w:tc>
        <w:tc>
          <w:tcPr>
            <w:tcW w:w="440" w:type="pct"/>
            <w:tcBorders>
              <w:top w:val="nil"/>
              <w:left w:val="single" w:sz="4" w:space="0" w:color="A6A6A6"/>
              <w:bottom w:val="single" w:sz="4" w:space="0" w:color="A6A6A6"/>
              <w:right w:val="single" w:sz="4" w:space="0" w:color="A6A6A6"/>
            </w:tcBorders>
            <w:shd w:val="clear" w:color="000000" w:fill="FFC7CE"/>
            <w:noWrap/>
            <w:vAlign w:val="bottom"/>
            <w:hideMark/>
          </w:tcPr>
          <w:p w14:paraId="2FAE0A05" w14:textId="77777777" w:rsidR="00E15874" w:rsidRPr="00BF2DAF" w:rsidRDefault="00E15874" w:rsidP="00415F05">
            <w:pPr>
              <w:spacing w:after="0" w:line="240" w:lineRule="auto"/>
              <w:jc w:val="center"/>
              <w:rPr>
                <w:rFonts w:ascii="Aptos Narrow" w:eastAsia="Times New Roman" w:hAnsi="Aptos Narrow" w:cs="Times New Roman"/>
                <w:color w:val="9C0006"/>
                <w:sz w:val="18"/>
                <w:szCs w:val="18"/>
              </w:rPr>
            </w:pPr>
            <w:r>
              <w:rPr>
                <w:rFonts w:ascii="Aptos Narrow" w:hAnsi="Aptos Narrow"/>
                <w:color w:val="9C0006"/>
              </w:rPr>
              <w:t>14%</w:t>
            </w:r>
          </w:p>
        </w:tc>
      </w:tr>
      <w:tr w:rsidR="00E15874" w:rsidRPr="00BF2DAF" w14:paraId="74CDBAD0" w14:textId="77777777" w:rsidTr="00415F05">
        <w:trPr>
          <w:trHeight w:val="690"/>
        </w:trPr>
        <w:tc>
          <w:tcPr>
            <w:tcW w:w="688" w:type="pct"/>
            <w:tcBorders>
              <w:top w:val="nil"/>
              <w:left w:val="single" w:sz="4" w:space="0" w:color="A6A6A6"/>
              <w:bottom w:val="single" w:sz="4" w:space="0" w:color="A6A6A6"/>
              <w:right w:val="single" w:sz="4" w:space="0" w:color="A6A6A6"/>
            </w:tcBorders>
            <w:shd w:val="clear" w:color="000000" w:fill="156082"/>
            <w:vAlign w:val="center"/>
            <w:hideMark/>
          </w:tcPr>
          <w:p w14:paraId="5522613B"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 xml:space="preserve">Low shipping </w:t>
            </w:r>
            <w:r w:rsidRPr="00BF2DAF">
              <w:rPr>
                <w:rFonts w:ascii="Aptos Narrow" w:eastAsia="Times New Roman" w:hAnsi="Aptos Narrow" w:cs="Times New Roman"/>
                <w:b/>
                <w:bCs/>
                <w:color w:val="FFFFFF"/>
                <w:sz w:val="18"/>
                <w:szCs w:val="18"/>
              </w:rPr>
              <w:br/>
              <w:t>density</w:t>
            </w:r>
          </w:p>
        </w:tc>
        <w:tc>
          <w:tcPr>
            <w:tcW w:w="583" w:type="pct"/>
            <w:tcBorders>
              <w:top w:val="nil"/>
              <w:left w:val="single" w:sz="4" w:space="0" w:color="3F3F3F"/>
              <w:bottom w:val="single" w:sz="4" w:space="0" w:color="3F3F3F"/>
              <w:right w:val="single" w:sz="4" w:space="0" w:color="3F3F3F"/>
            </w:tcBorders>
            <w:shd w:val="clear" w:color="000000" w:fill="F2F2F2"/>
            <w:noWrap/>
            <w:vAlign w:val="center"/>
            <w:hideMark/>
          </w:tcPr>
          <w:p w14:paraId="22F8F64B"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0.07</w:t>
            </w:r>
          </w:p>
        </w:tc>
        <w:tc>
          <w:tcPr>
            <w:tcW w:w="574" w:type="pct"/>
            <w:tcBorders>
              <w:top w:val="nil"/>
              <w:left w:val="nil"/>
              <w:bottom w:val="single" w:sz="4" w:space="0" w:color="3F3F3F"/>
              <w:right w:val="single" w:sz="4" w:space="0" w:color="3F3F3F"/>
            </w:tcBorders>
            <w:shd w:val="clear" w:color="000000" w:fill="F2F2F2"/>
            <w:noWrap/>
            <w:vAlign w:val="center"/>
            <w:hideMark/>
          </w:tcPr>
          <w:p w14:paraId="440D5744"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0.02</w:t>
            </w:r>
          </w:p>
        </w:tc>
        <w:tc>
          <w:tcPr>
            <w:tcW w:w="471" w:type="pct"/>
            <w:tcBorders>
              <w:top w:val="nil"/>
              <w:left w:val="nil"/>
              <w:bottom w:val="single" w:sz="4" w:space="0" w:color="3F3F3F"/>
              <w:right w:val="single" w:sz="4" w:space="0" w:color="3F3F3F"/>
            </w:tcBorders>
            <w:shd w:val="clear" w:color="000000" w:fill="F2F2F2"/>
            <w:noWrap/>
            <w:vAlign w:val="center"/>
            <w:hideMark/>
          </w:tcPr>
          <w:p w14:paraId="4ED99223"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0.02</w:t>
            </w:r>
          </w:p>
        </w:tc>
        <w:tc>
          <w:tcPr>
            <w:tcW w:w="668" w:type="pct"/>
            <w:tcBorders>
              <w:top w:val="nil"/>
              <w:left w:val="nil"/>
              <w:bottom w:val="single" w:sz="4" w:space="0" w:color="3F3F3F"/>
              <w:right w:val="single" w:sz="4" w:space="0" w:color="3F3F3F"/>
            </w:tcBorders>
            <w:shd w:val="clear" w:color="000000" w:fill="F2F2F2"/>
            <w:noWrap/>
            <w:vAlign w:val="center"/>
            <w:hideMark/>
          </w:tcPr>
          <w:p w14:paraId="0BC818AB"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0.03</w:t>
            </w:r>
          </w:p>
        </w:tc>
        <w:tc>
          <w:tcPr>
            <w:tcW w:w="456" w:type="pct"/>
            <w:tcBorders>
              <w:top w:val="nil"/>
              <w:left w:val="nil"/>
              <w:bottom w:val="single" w:sz="4" w:space="0" w:color="3F3F3F"/>
              <w:right w:val="single" w:sz="4" w:space="0" w:color="3F3F3F"/>
            </w:tcBorders>
            <w:shd w:val="clear" w:color="000000" w:fill="F2F2F2"/>
            <w:noWrap/>
            <w:vAlign w:val="center"/>
            <w:hideMark/>
          </w:tcPr>
          <w:p w14:paraId="16670455"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0.04</w:t>
            </w:r>
          </w:p>
        </w:tc>
        <w:tc>
          <w:tcPr>
            <w:tcW w:w="649" w:type="pct"/>
            <w:tcBorders>
              <w:top w:val="nil"/>
              <w:left w:val="nil"/>
              <w:bottom w:val="single" w:sz="4" w:space="0" w:color="3F3F3F"/>
              <w:right w:val="single" w:sz="4" w:space="0" w:color="3F3F3F"/>
            </w:tcBorders>
            <w:shd w:val="clear" w:color="000000" w:fill="F2F2F2"/>
            <w:noWrap/>
            <w:vAlign w:val="center"/>
            <w:hideMark/>
          </w:tcPr>
          <w:p w14:paraId="091DEACD"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0.09</w:t>
            </w:r>
          </w:p>
        </w:tc>
        <w:tc>
          <w:tcPr>
            <w:tcW w:w="471" w:type="pct"/>
            <w:tcBorders>
              <w:top w:val="nil"/>
              <w:left w:val="nil"/>
              <w:bottom w:val="single" w:sz="4" w:space="0" w:color="3F3F3F"/>
              <w:right w:val="single" w:sz="4" w:space="0" w:color="3F3F3F"/>
            </w:tcBorders>
            <w:shd w:val="clear" w:color="000000" w:fill="F2F2F2"/>
            <w:noWrap/>
            <w:vAlign w:val="center"/>
            <w:hideMark/>
          </w:tcPr>
          <w:p w14:paraId="5BC57D9B"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0.03</w:t>
            </w:r>
          </w:p>
        </w:tc>
        <w:tc>
          <w:tcPr>
            <w:tcW w:w="440" w:type="pct"/>
            <w:tcBorders>
              <w:top w:val="nil"/>
              <w:left w:val="single" w:sz="4" w:space="0" w:color="A6A6A6"/>
              <w:bottom w:val="single" w:sz="4" w:space="0" w:color="A6A6A6"/>
              <w:right w:val="single" w:sz="4" w:space="0" w:color="A6A6A6"/>
            </w:tcBorders>
            <w:shd w:val="clear" w:color="000000" w:fill="FFC7CE"/>
            <w:noWrap/>
            <w:vAlign w:val="bottom"/>
            <w:hideMark/>
          </w:tcPr>
          <w:p w14:paraId="427099EC" w14:textId="77777777" w:rsidR="00E15874" w:rsidRPr="00BF2DAF" w:rsidRDefault="00E15874" w:rsidP="00415F05">
            <w:pPr>
              <w:spacing w:after="0" w:line="240" w:lineRule="auto"/>
              <w:jc w:val="center"/>
              <w:rPr>
                <w:rFonts w:ascii="Aptos Narrow" w:eastAsia="Times New Roman" w:hAnsi="Aptos Narrow" w:cs="Times New Roman"/>
                <w:color w:val="9C0006"/>
                <w:sz w:val="18"/>
                <w:szCs w:val="18"/>
              </w:rPr>
            </w:pPr>
            <w:r>
              <w:rPr>
                <w:rFonts w:ascii="Aptos Narrow" w:hAnsi="Aptos Narrow"/>
                <w:color w:val="9C0006"/>
              </w:rPr>
              <w:t>4%</w:t>
            </w:r>
          </w:p>
        </w:tc>
      </w:tr>
      <w:tr w:rsidR="00E15874" w:rsidRPr="00BF2DAF" w14:paraId="7BA38BAC" w14:textId="77777777" w:rsidTr="00415F05">
        <w:trPr>
          <w:trHeight w:val="801"/>
        </w:trPr>
        <w:tc>
          <w:tcPr>
            <w:tcW w:w="688" w:type="pct"/>
            <w:tcBorders>
              <w:top w:val="nil"/>
              <w:left w:val="single" w:sz="4" w:space="0" w:color="A6A6A6"/>
              <w:bottom w:val="single" w:sz="4" w:space="0" w:color="A6A6A6"/>
              <w:right w:val="single" w:sz="4" w:space="0" w:color="A6A6A6"/>
            </w:tcBorders>
            <w:shd w:val="clear" w:color="000000" w:fill="156082"/>
            <w:vAlign w:val="center"/>
            <w:hideMark/>
          </w:tcPr>
          <w:p w14:paraId="1384B3BA"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Distance from Tourism &amp; Conservation</w:t>
            </w:r>
            <w:r w:rsidRPr="00BF2DAF">
              <w:rPr>
                <w:rFonts w:ascii="Arial" w:eastAsia="Times New Roman" w:hAnsi="Arial" w:cs="Arial"/>
                <w:b/>
                <w:bCs/>
                <w:color w:val="FFFFFF"/>
                <w:sz w:val="18"/>
                <w:szCs w:val="18"/>
              </w:rPr>
              <w:t>​</w:t>
            </w:r>
          </w:p>
        </w:tc>
        <w:tc>
          <w:tcPr>
            <w:tcW w:w="583" w:type="pct"/>
            <w:tcBorders>
              <w:top w:val="nil"/>
              <w:left w:val="single" w:sz="4" w:space="0" w:color="3F3F3F"/>
              <w:bottom w:val="single" w:sz="4" w:space="0" w:color="3F3F3F"/>
              <w:right w:val="single" w:sz="4" w:space="0" w:color="3F3F3F"/>
            </w:tcBorders>
            <w:shd w:val="clear" w:color="000000" w:fill="F2F2F2"/>
            <w:noWrap/>
            <w:vAlign w:val="center"/>
            <w:hideMark/>
          </w:tcPr>
          <w:p w14:paraId="64EFAB47"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0.06</w:t>
            </w:r>
          </w:p>
        </w:tc>
        <w:tc>
          <w:tcPr>
            <w:tcW w:w="574" w:type="pct"/>
            <w:tcBorders>
              <w:top w:val="nil"/>
              <w:left w:val="nil"/>
              <w:bottom w:val="single" w:sz="4" w:space="0" w:color="3F3F3F"/>
              <w:right w:val="single" w:sz="4" w:space="0" w:color="3F3F3F"/>
            </w:tcBorders>
            <w:shd w:val="clear" w:color="000000" w:fill="F2F2F2"/>
            <w:noWrap/>
            <w:vAlign w:val="center"/>
            <w:hideMark/>
          </w:tcPr>
          <w:p w14:paraId="598AB249"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0.02</w:t>
            </w:r>
          </w:p>
        </w:tc>
        <w:tc>
          <w:tcPr>
            <w:tcW w:w="471" w:type="pct"/>
            <w:tcBorders>
              <w:top w:val="nil"/>
              <w:left w:val="nil"/>
              <w:bottom w:val="single" w:sz="4" w:space="0" w:color="3F3F3F"/>
              <w:right w:val="single" w:sz="4" w:space="0" w:color="3F3F3F"/>
            </w:tcBorders>
            <w:shd w:val="clear" w:color="000000" w:fill="F2F2F2"/>
            <w:noWrap/>
            <w:vAlign w:val="center"/>
            <w:hideMark/>
          </w:tcPr>
          <w:p w14:paraId="38E67F26"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0.02</w:t>
            </w:r>
          </w:p>
        </w:tc>
        <w:tc>
          <w:tcPr>
            <w:tcW w:w="668" w:type="pct"/>
            <w:tcBorders>
              <w:top w:val="nil"/>
              <w:left w:val="nil"/>
              <w:bottom w:val="single" w:sz="4" w:space="0" w:color="3F3F3F"/>
              <w:right w:val="single" w:sz="4" w:space="0" w:color="3F3F3F"/>
            </w:tcBorders>
            <w:shd w:val="clear" w:color="000000" w:fill="F2F2F2"/>
            <w:noWrap/>
            <w:vAlign w:val="center"/>
            <w:hideMark/>
          </w:tcPr>
          <w:p w14:paraId="7DA8AC78"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0.02</w:t>
            </w:r>
          </w:p>
        </w:tc>
        <w:tc>
          <w:tcPr>
            <w:tcW w:w="456" w:type="pct"/>
            <w:tcBorders>
              <w:top w:val="nil"/>
              <w:left w:val="nil"/>
              <w:bottom w:val="single" w:sz="4" w:space="0" w:color="3F3F3F"/>
              <w:right w:val="single" w:sz="4" w:space="0" w:color="3F3F3F"/>
            </w:tcBorders>
            <w:shd w:val="clear" w:color="000000" w:fill="F2F2F2"/>
            <w:noWrap/>
            <w:vAlign w:val="center"/>
            <w:hideMark/>
          </w:tcPr>
          <w:p w14:paraId="4AED655D"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0.01</w:t>
            </w:r>
          </w:p>
        </w:tc>
        <w:tc>
          <w:tcPr>
            <w:tcW w:w="649" w:type="pct"/>
            <w:tcBorders>
              <w:top w:val="nil"/>
              <w:left w:val="nil"/>
              <w:bottom w:val="single" w:sz="4" w:space="0" w:color="3F3F3F"/>
              <w:right w:val="single" w:sz="4" w:space="0" w:color="3F3F3F"/>
            </w:tcBorders>
            <w:shd w:val="clear" w:color="000000" w:fill="F2F2F2"/>
            <w:noWrap/>
            <w:vAlign w:val="center"/>
            <w:hideMark/>
          </w:tcPr>
          <w:p w14:paraId="10567EAC"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0.03</w:t>
            </w:r>
          </w:p>
        </w:tc>
        <w:tc>
          <w:tcPr>
            <w:tcW w:w="471" w:type="pct"/>
            <w:tcBorders>
              <w:top w:val="nil"/>
              <w:left w:val="nil"/>
              <w:bottom w:val="single" w:sz="4" w:space="0" w:color="3F3F3F"/>
              <w:right w:val="single" w:sz="4" w:space="0" w:color="3F3F3F"/>
            </w:tcBorders>
            <w:shd w:val="clear" w:color="000000" w:fill="F2F2F2"/>
            <w:noWrap/>
            <w:vAlign w:val="center"/>
            <w:hideMark/>
          </w:tcPr>
          <w:p w14:paraId="614656D0"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0.02</w:t>
            </w:r>
          </w:p>
        </w:tc>
        <w:tc>
          <w:tcPr>
            <w:tcW w:w="440" w:type="pct"/>
            <w:tcBorders>
              <w:top w:val="nil"/>
              <w:left w:val="single" w:sz="4" w:space="0" w:color="A6A6A6"/>
              <w:bottom w:val="single" w:sz="4" w:space="0" w:color="A6A6A6"/>
              <w:right w:val="single" w:sz="4" w:space="0" w:color="A6A6A6"/>
            </w:tcBorders>
            <w:shd w:val="clear" w:color="000000" w:fill="FFC7CE"/>
            <w:noWrap/>
            <w:vAlign w:val="bottom"/>
            <w:hideMark/>
          </w:tcPr>
          <w:p w14:paraId="627D4A98" w14:textId="77777777" w:rsidR="00E15874" w:rsidRPr="00BF2DAF" w:rsidRDefault="00E15874" w:rsidP="00415F05">
            <w:pPr>
              <w:spacing w:after="0" w:line="240" w:lineRule="auto"/>
              <w:jc w:val="center"/>
              <w:rPr>
                <w:rFonts w:ascii="Aptos Narrow" w:eastAsia="Times New Roman" w:hAnsi="Aptos Narrow" w:cs="Times New Roman"/>
                <w:color w:val="9C0006"/>
                <w:sz w:val="18"/>
                <w:szCs w:val="18"/>
              </w:rPr>
            </w:pPr>
            <w:r>
              <w:rPr>
                <w:rFonts w:ascii="Aptos Narrow" w:hAnsi="Aptos Narrow"/>
                <w:color w:val="9C0006"/>
              </w:rPr>
              <w:t>3%</w:t>
            </w:r>
          </w:p>
        </w:tc>
      </w:tr>
      <w:tr w:rsidR="00E15874" w:rsidRPr="00BF2DAF" w14:paraId="06712AA6" w14:textId="77777777" w:rsidTr="00415F05">
        <w:trPr>
          <w:trHeight w:val="720"/>
        </w:trPr>
        <w:tc>
          <w:tcPr>
            <w:tcW w:w="688" w:type="pct"/>
            <w:tcBorders>
              <w:top w:val="nil"/>
              <w:left w:val="single" w:sz="4" w:space="0" w:color="A6A6A6"/>
              <w:bottom w:val="single" w:sz="4" w:space="0" w:color="A6A6A6"/>
              <w:right w:val="single" w:sz="4" w:space="0" w:color="A6A6A6"/>
            </w:tcBorders>
            <w:shd w:val="clear" w:color="000000" w:fill="156082"/>
            <w:vAlign w:val="center"/>
            <w:hideMark/>
          </w:tcPr>
          <w:p w14:paraId="4C323940" w14:textId="77777777" w:rsidR="00E15874" w:rsidRPr="00BF2DAF" w:rsidRDefault="00E15874" w:rsidP="00415F05">
            <w:pPr>
              <w:spacing w:after="0" w:line="240" w:lineRule="auto"/>
              <w:rPr>
                <w:rFonts w:ascii="Aptos Narrow" w:eastAsia="Times New Roman" w:hAnsi="Aptos Narrow" w:cs="Times New Roman"/>
                <w:b/>
                <w:bCs/>
                <w:color w:val="FFFFFF"/>
                <w:sz w:val="18"/>
                <w:szCs w:val="18"/>
              </w:rPr>
            </w:pPr>
            <w:r w:rsidRPr="00BF2DAF">
              <w:rPr>
                <w:rFonts w:ascii="Aptos Narrow" w:eastAsia="Times New Roman" w:hAnsi="Aptos Narrow" w:cs="Times New Roman"/>
                <w:b/>
                <w:bCs/>
                <w:color w:val="FFFFFF"/>
                <w:sz w:val="18"/>
                <w:szCs w:val="18"/>
              </w:rPr>
              <w:t>Distance from Aviation Radars</w:t>
            </w:r>
          </w:p>
        </w:tc>
        <w:tc>
          <w:tcPr>
            <w:tcW w:w="583" w:type="pct"/>
            <w:tcBorders>
              <w:top w:val="nil"/>
              <w:left w:val="single" w:sz="4" w:space="0" w:color="3F3F3F"/>
              <w:bottom w:val="single" w:sz="4" w:space="0" w:color="3F3F3F"/>
              <w:right w:val="single" w:sz="4" w:space="0" w:color="3F3F3F"/>
            </w:tcBorders>
            <w:shd w:val="clear" w:color="000000" w:fill="F2F2F2"/>
            <w:noWrap/>
            <w:vAlign w:val="center"/>
            <w:hideMark/>
          </w:tcPr>
          <w:p w14:paraId="3DCB1827"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0.09</w:t>
            </w:r>
          </w:p>
        </w:tc>
        <w:tc>
          <w:tcPr>
            <w:tcW w:w="574" w:type="pct"/>
            <w:tcBorders>
              <w:top w:val="nil"/>
              <w:left w:val="nil"/>
              <w:bottom w:val="single" w:sz="4" w:space="0" w:color="3F3F3F"/>
              <w:right w:val="single" w:sz="4" w:space="0" w:color="3F3F3F"/>
            </w:tcBorders>
            <w:shd w:val="clear" w:color="000000" w:fill="F2F2F2"/>
            <w:noWrap/>
            <w:vAlign w:val="center"/>
            <w:hideMark/>
          </w:tcPr>
          <w:p w14:paraId="336A6A15"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0.04</w:t>
            </w:r>
          </w:p>
        </w:tc>
        <w:tc>
          <w:tcPr>
            <w:tcW w:w="471" w:type="pct"/>
            <w:tcBorders>
              <w:top w:val="nil"/>
              <w:left w:val="nil"/>
              <w:bottom w:val="single" w:sz="4" w:space="0" w:color="3F3F3F"/>
              <w:right w:val="single" w:sz="4" w:space="0" w:color="3F3F3F"/>
            </w:tcBorders>
            <w:shd w:val="clear" w:color="000000" w:fill="F2F2F2"/>
            <w:noWrap/>
            <w:vAlign w:val="center"/>
            <w:hideMark/>
          </w:tcPr>
          <w:p w14:paraId="14748046"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0.03</w:t>
            </w:r>
          </w:p>
        </w:tc>
        <w:tc>
          <w:tcPr>
            <w:tcW w:w="668" w:type="pct"/>
            <w:tcBorders>
              <w:top w:val="nil"/>
              <w:left w:val="nil"/>
              <w:bottom w:val="single" w:sz="4" w:space="0" w:color="3F3F3F"/>
              <w:right w:val="single" w:sz="4" w:space="0" w:color="3F3F3F"/>
            </w:tcBorders>
            <w:shd w:val="clear" w:color="000000" w:fill="F2F2F2"/>
            <w:noWrap/>
            <w:vAlign w:val="center"/>
            <w:hideMark/>
          </w:tcPr>
          <w:p w14:paraId="5469AC55"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0.04</w:t>
            </w:r>
          </w:p>
        </w:tc>
        <w:tc>
          <w:tcPr>
            <w:tcW w:w="456" w:type="pct"/>
            <w:tcBorders>
              <w:top w:val="nil"/>
              <w:left w:val="nil"/>
              <w:bottom w:val="single" w:sz="4" w:space="0" w:color="3F3F3F"/>
              <w:right w:val="single" w:sz="4" w:space="0" w:color="3F3F3F"/>
            </w:tcBorders>
            <w:shd w:val="clear" w:color="000000" w:fill="F2F2F2"/>
            <w:noWrap/>
            <w:vAlign w:val="center"/>
            <w:hideMark/>
          </w:tcPr>
          <w:p w14:paraId="75052DD7"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0.08</w:t>
            </w:r>
          </w:p>
        </w:tc>
        <w:tc>
          <w:tcPr>
            <w:tcW w:w="649" w:type="pct"/>
            <w:tcBorders>
              <w:top w:val="nil"/>
              <w:left w:val="nil"/>
              <w:bottom w:val="single" w:sz="4" w:space="0" w:color="3F3F3F"/>
              <w:right w:val="single" w:sz="4" w:space="0" w:color="3F3F3F"/>
            </w:tcBorders>
            <w:shd w:val="clear" w:color="000000" w:fill="F2F2F2"/>
            <w:noWrap/>
            <w:vAlign w:val="center"/>
            <w:hideMark/>
          </w:tcPr>
          <w:p w14:paraId="62BC7FB3"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0.09</w:t>
            </w:r>
          </w:p>
        </w:tc>
        <w:tc>
          <w:tcPr>
            <w:tcW w:w="471" w:type="pct"/>
            <w:tcBorders>
              <w:top w:val="nil"/>
              <w:left w:val="nil"/>
              <w:bottom w:val="single" w:sz="4" w:space="0" w:color="3F3F3F"/>
              <w:right w:val="single" w:sz="4" w:space="0" w:color="3F3F3F"/>
            </w:tcBorders>
            <w:shd w:val="clear" w:color="000000" w:fill="F2F2F2"/>
            <w:noWrap/>
            <w:vAlign w:val="center"/>
            <w:hideMark/>
          </w:tcPr>
          <w:p w14:paraId="747BD3C2" w14:textId="77777777" w:rsidR="00E15874" w:rsidRPr="00BF2DAF" w:rsidRDefault="00E15874" w:rsidP="00415F05">
            <w:pPr>
              <w:spacing w:after="0" w:line="240" w:lineRule="auto"/>
              <w:jc w:val="center"/>
              <w:rPr>
                <w:rFonts w:ascii="Aptos Narrow" w:eastAsia="Times New Roman" w:hAnsi="Aptos Narrow" w:cs="Times New Roman"/>
                <w:color w:val="3F3F3F"/>
                <w:sz w:val="18"/>
                <w:szCs w:val="18"/>
              </w:rPr>
            </w:pPr>
            <w:r>
              <w:rPr>
                <w:rFonts w:ascii="Aptos Narrow" w:hAnsi="Aptos Narrow"/>
                <w:color w:val="3F3F3F"/>
              </w:rPr>
              <w:t>0.06</w:t>
            </w:r>
          </w:p>
        </w:tc>
        <w:tc>
          <w:tcPr>
            <w:tcW w:w="440" w:type="pct"/>
            <w:tcBorders>
              <w:top w:val="nil"/>
              <w:left w:val="single" w:sz="4" w:space="0" w:color="A6A6A6"/>
              <w:bottom w:val="single" w:sz="4" w:space="0" w:color="A6A6A6"/>
              <w:right w:val="single" w:sz="4" w:space="0" w:color="A6A6A6"/>
            </w:tcBorders>
            <w:shd w:val="clear" w:color="000000" w:fill="FFC7CE"/>
            <w:noWrap/>
            <w:vAlign w:val="bottom"/>
            <w:hideMark/>
          </w:tcPr>
          <w:p w14:paraId="4D77C298" w14:textId="77777777" w:rsidR="00E15874" w:rsidRPr="00BF2DAF" w:rsidRDefault="00E15874" w:rsidP="00415F05">
            <w:pPr>
              <w:spacing w:after="0" w:line="240" w:lineRule="auto"/>
              <w:jc w:val="center"/>
              <w:rPr>
                <w:rFonts w:ascii="Aptos Narrow" w:eastAsia="Times New Roman" w:hAnsi="Aptos Narrow" w:cs="Times New Roman"/>
                <w:color w:val="9C0006"/>
                <w:sz w:val="18"/>
                <w:szCs w:val="18"/>
              </w:rPr>
            </w:pPr>
            <w:r>
              <w:rPr>
                <w:rFonts w:ascii="Aptos Narrow" w:hAnsi="Aptos Narrow"/>
                <w:color w:val="9C0006"/>
              </w:rPr>
              <w:t>6%</w:t>
            </w:r>
          </w:p>
        </w:tc>
      </w:tr>
    </w:tbl>
    <w:p w14:paraId="3E7DC539" w14:textId="77777777" w:rsidR="00E15874" w:rsidRDefault="00E15874" w:rsidP="00E15874">
      <w:pPr>
        <w:pStyle w:val="EndNoteBibliography"/>
        <w:rPr>
          <w:rFonts w:eastAsia="Calibri"/>
        </w:rPr>
      </w:pPr>
    </w:p>
    <w:p w14:paraId="7A03E7E8" w14:textId="77777777" w:rsidR="00E15874" w:rsidRDefault="00E15874" w:rsidP="00E15874">
      <w:pPr>
        <w:pStyle w:val="Caption"/>
        <w:keepNext/>
      </w:pPr>
      <w:r>
        <w:t xml:space="preserve">Table B2: </w:t>
      </w:r>
      <w:r w:rsidRPr="00E31004">
        <w:t>Calculating consistency (Validation)</w:t>
      </w:r>
    </w:p>
    <w:tbl>
      <w:tblPr>
        <w:tblW w:w="5000" w:type="pct"/>
        <w:tblLook w:val="04A0" w:firstRow="1" w:lastRow="0" w:firstColumn="1" w:lastColumn="0" w:noHBand="0" w:noVBand="1"/>
      </w:tblPr>
      <w:tblGrid>
        <w:gridCol w:w="1411"/>
        <w:gridCol w:w="565"/>
        <w:gridCol w:w="540"/>
        <w:gridCol w:w="539"/>
        <w:gridCol w:w="913"/>
        <w:gridCol w:w="709"/>
        <w:gridCol w:w="899"/>
        <w:gridCol w:w="899"/>
        <w:gridCol w:w="1096"/>
        <w:gridCol w:w="1057"/>
        <w:gridCol w:w="722"/>
      </w:tblGrid>
      <w:tr w:rsidR="00E15874" w:rsidRPr="005E3D9D" w14:paraId="3E2EBAFF" w14:textId="77777777" w:rsidTr="00415F05">
        <w:trPr>
          <w:cantSplit/>
          <w:trHeight w:val="1286"/>
        </w:trPr>
        <w:tc>
          <w:tcPr>
            <w:tcW w:w="755" w:type="pct"/>
            <w:tcBorders>
              <w:top w:val="single" w:sz="4" w:space="0" w:color="A6A6A6"/>
              <w:left w:val="single" w:sz="4" w:space="0" w:color="A6A6A6"/>
              <w:bottom w:val="single" w:sz="4" w:space="0" w:color="A6A6A6"/>
              <w:right w:val="single" w:sz="4" w:space="0" w:color="A6A6A6"/>
            </w:tcBorders>
            <w:shd w:val="clear" w:color="000000" w:fill="44B3E1"/>
            <w:noWrap/>
            <w:vAlign w:val="center"/>
            <w:hideMark/>
          </w:tcPr>
          <w:p w14:paraId="02E4A513" w14:textId="77777777" w:rsidR="00E15874" w:rsidRPr="005E3D9D" w:rsidRDefault="00E15874" w:rsidP="00415F05">
            <w:pPr>
              <w:spacing w:after="0" w:line="240" w:lineRule="auto"/>
              <w:jc w:val="center"/>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Criteria</w:t>
            </w:r>
          </w:p>
        </w:tc>
        <w:tc>
          <w:tcPr>
            <w:tcW w:w="302" w:type="pct"/>
            <w:tcBorders>
              <w:top w:val="single" w:sz="4" w:space="0" w:color="A6A6A6"/>
              <w:left w:val="nil"/>
              <w:bottom w:val="single" w:sz="4" w:space="0" w:color="A6A6A6"/>
              <w:right w:val="single" w:sz="4" w:space="0" w:color="A6A6A6"/>
            </w:tcBorders>
            <w:shd w:val="clear" w:color="000000" w:fill="156082"/>
            <w:noWrap/>
            <w:textDirection w:val="btLr"/>
            <w:vAlign w:val="center"/>
            <w:hideMark/>
          </w:tcPr>
          <w:p w14:paraId="189D6BB3" w14:textId="77777777" w:rsidR="00E15874" w:rsidRPr="005E3D9D" w:rsidRDefault="00E15874" w:rsidP="00415F05">
            <w:pPr>
              <w:spacing w:after="0" w:line="240" w:lineRule="auto"/>
              <w:ind w:left="113" w:right="113"/>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Wind speed</w:t>
            </w:r>
            <w:r w:rsidRPr="005E3D9D">
              <w:rPr>
                <w:rFonts w:ascii="Arial" w:eastAsia="Times New Roman" w:hAnsi="Arial" w:cs="Arial"/>
                <w:b/>
                <w:bCs/>
                <w:color w:val="FFFFFF"/>
                <w:sz w:val="18"/>
                <w:szCs w:val="18"/>
              </w:rPr>
              <w:t>​</w:t>
            </w:r>
          </w:p>
        </w:tc>
        <w:tc>
          <w:tcPr>
            <w:tcW w:w="289" w:type="pct"/>
            <w:tcBorders>
              <w:top w:val="single" w:sz="4" w:space="0" w:color="A6A6A6"/>
              <w:left w:val="nil"/>
              <w:bottom w:val="single" w:sz="4" w:space="0" w:color="A6A6A6"/>
              <w:right w:val="single" w:sz="4" w:space="0" w:color="A6A6A6"/>
            </w:tcBorders>
            <w:shd w:val="clear" w:color="000000" w:fill="156082"/>
            <w:noWrap/>
            <w:textDirection w:val="btLr"/>
            <w:vAlign w:val="center"/>
            <w:hideMark/>
          </w:tcPr>
          <w:p w14:paraId="6A39626E" w14:textId="77777777" w:rsidR="00E15874" w:rsidRPr="005E3D9D" w:rsidRDefault="00E15874" w:rsidP="00415F05">
            <w:pPr>
              <w:spacing w:after="0" w:line="240" w:lineRule="auto"/>
              <w:ind w:left="113" w:right="113"/>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Bathymetry</w:t>
            </w:r>
            <w:r w:rsidRPr="005E3D9D">
              <w:rPr>
                <w:rFonts w:ascii="Arial" w:eastAsia="Times New Roman" w:hAnsi="Arial" w:cs="Arial"/>
                <w:b/>
                <w:bCs/>
                <w:color w:val="FFFFFF"/>
                <w:sz w:val="18"/>
                <w:szCs w:val="18"/>
              </w:rPr>
              <w:t>​</w:t>
            </w:r>
          </w:p>
        </w:tc>
        <w:tc>
          <w:tcPr>
            <w:tcW w:w="288" w:type="pct"/>
            <w:tcBorders>
              <w:top w:val="single" w:sz="4" w:space="0" w:color="A6A6A6"/>
              <w:left w:val="nil"/>
              <w:bottom w:val="single" w:sz="4" w:space="0" w:color="A6A6A6"/>
              <w:right w:val="single" w:sz="4" w:space="0" w:color="A6A6A6"/>
            </w:tcBorders>
            <w:shd w:val="clear" w:color="000000" w:fill="156082"/>
            <w:textDirection w:val="btLr"/>
            <w:vAlign w:val="center"/>
            <w:hideMark/>
          </w:tcPr>
          <w:p w14:paraId="368213D7" w14:textId="77777777" w:rsidR="00E15874" w:rsidRPr="005E3D9D" w:rsidRDefault="00E15874" w:rsidP="00415F05">
            <w:pPr>
              <w:spacing w:after="0" w:line="240" w:lineRule="auto"/>
              <w:ind w:left="113" w:right="113"/>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Distance from Ports</w:t>
            </w:r>
            <w:r w:rsidRPr="005E3D9D">
              <w:rPr>
                <w:rFonts w:ascii="Arial" w:eastAsia="Times New Roman" w:hAnsi="Arial" w:cs="Arial"/>
                <w:b/>
                <w:bCs/>
                <w:color w:val="FFFFFF"/>
                <w:sz w:val="18"/>
                <w:szCs w:val="18"/>
              </w:rPr>
              <w:t>​</w:t>
            </w:r>
          </w:p>
        </w:tc>
        <w:tc>
          <w:tcPr>
            <w:tcW w:w="488" w:type="pct"/>
            <w:tcBorders>
              <w:top w:val="single" w:sz="4" w:space="0" w:color="A6A6A6"/>
              <w:left w:val="nil"/>
              <w:bottom w:val="single" w:sz="4" w:space="0" w:color="A6A6A6"/>
              <w:right w:val="single" w:sz="4" w:space="0" w:color="A6A6A6"/>
            </w:tcBorders>
            <w:shd w:val="clear" w:color="000000" w:fill="156082"/>
            <w:textDirection w:val="btLr"/>
            <w:vAlign w:val="center"/>
            <w:hideMark/>
          </w:tcPr>
          <w:p w14:paraId="373FFEF1" w14:textId="77777777" w:rsidR="00E15874" w:rsidRPr="005E3D9D" w:rsidRDefault="00E15874" w:rsidP="00415F05">
            <w:pPr>
              <w:spacing w:after="0" w:line="240" w:lineRule="auto"/>
              <w:ind w:left="113" w:right="113"/>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Distance from Grid infrastructure</w:t>
            </w:r>
            <w:r w:rsidRPr="005E3D9D">
              <w:rPr>
                <w:rFonts w:ascii="Arial" w:eastAsia="Times New Roman" w:hAnsi="Arial" w:cs="Arial"/>
                <w:b/>
                <w:bCs/>
                <w:color w:val="FFFFFF"/>
                <w:sz w:val="18"/>
                <w:szCs w:val="18"/>
              </w:rPr>
              <w:t>​</w:t>
            </w:r>
          </w:p>
        </w:tc>
        <w:tc>
          <w:tcPr>
            <w:tcW w:w="379" w:type="pct"/>
            <w:tcBorders>
              <w:top w:val="single" w:sz="4" w:space="0" w:color="A6A6A6"/>
              <w:left w:val="nil"/>
              <w:bottom w:val="single" w:sz="4" w:space="0" w:color="A6A6A6"/>
              <w:right w:val="single" w:sz="4" w:space="0" w:color="A6A6A6"/>
            </w:tcBorders>
            <w:shd w:val="clear" w:color="000000" w:fill="156082"/>
            <w:textDirection w:val="btLr"/>
            <w:vAlign w:val="center"/>
            <w:hideMark/>
          </w:tcPr>
          <w:p w14:paraId="2D24233E" w14:textId="77777777" w:rsidR="00E15874" w:rsidRPr="005E3D9D" w:rsidRDefault="00E15874" w:rsidP="00415F05">
            <w:pPr>
              <w:spacing w:after="0" w:line="240" w:lineRule="auto"/>
              <w:ind w:left="113" w:right="113"/>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 xml:space="preserve">Low shipping </w:t>
            </w:r>
            <w:r w:rsidRPr="005E3D9D">
              <w:rPr>
                <w:rFonts w:ascii="Aptos Narrow" w:eastAsia="Times New Roman" w:hAnsi="Aptos Narrow" w:cs="Times New Roman"/>
                <w:b/>
                <w:bCs/>
                <w:color w:val="FFFFFF"/>
                <w:sz w:val="18"/>
                <w:szCs w:val="18"/>
              </w:rPr>
              <w:br/>
              <w:t>density</w:t>
            </w:r>
          </w:p>
        </w:tc>
        <w:tc>
          <w:tcPr>
            <w:tcW w:w="481" w:type="pct"/>
            <w:tcBorders>
              <w:top w:val="single" w:sz="4" w:space="0" w:color="A6A6A6"/>
              <w:left w:val="nil"/>
              <w:bottom w:val="single" w:sz="4" w:space="0" w:color="A6A6A6"/>
              <w:right w:val="single" w:sz="4" w:space="0" w:color="A6A6A6"/>
            </w:tcBorders>
            <w:shd w:val="clear" w:color="000000" w:fill="156082"/>
            <w:textDirection w:val="btLr"/>
            <w:vAlign w:val="center"/>
            <w:hideMark/>
          </w:tcPr>
          <w:p w14:paraId="5E68C422" w14:textId="77777777" w:rsidR="00E15874" w:rsidRPr="005E3D9D" w:rsidRDefault="00E15874" w:rsidP="00415F05">
            <w:pPr>
              <w:spacing w:after="0" w:line="240" w:lineRule="auto"/>
              <w:ind w:left="113" w:right="113"/>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Distance from Tourism &amp; Conservation</w:t>
            </w:r>
            <w:r w:rsidRPr="005E3D9D">
              <w:rPr>
                <w:rFonts w:ascii="Arial" w:eastAsia="Times New Roman" w:hAnsi="Arial" w:cs="Arial"/>
                <w:b/>
                <w:bCs/>
                <w:color w:val="FFFFFF"/>
                <w:sz w:val="18"/>
                <w:szCs w:val="18"/>
              </w:rPr>
              <w:t>​</w:t>
            </w:r>
          </w:p>
        </w:tc>
        <w:tc>
          <w:tcPr>
            <w:tcW w:w="481" w:type="pct"/>
            <w:tcBorders>
              <w:top w:val="single" w:sz="4" w:space="0" w:color="A6A6A6"/>
              <w:left w:val="nil"/>
              <w:bottom w:val="single" w:sz="4" w:space="0" w:color="A6A6A6"/>
              <w:right w:val="single" w:sz="4" w:space="0" w:color="A6A6A6"/>
            </w:tcBorders>
            <w:shd w:val="clear" w:color="000000" w:fill="156082"/>
            <w:textDirection w:val="btLr"/>
            <w:vAlign w:val="center"/>
            <w:hideMark/>
          </w:tcPr>
          <w:p w14:paraId="7439388C" w14:textId="77777777" w:rsidR="00E15874" w:rsidRPr="005E3D9D" w:rsidRDefault="00E15874" w:rsidP="00415F05">
            <w:pPr>
              <w:spacing w:after="0" w:line="240" w:lineRule="auto"/>
              <w:ind w:left="113" w:right="113"/>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Distance from Aviation Radars</w:t>
            </w:r>
          </w:p>
        </w:tc>
        <w:tc>
          <w:tcPr>
            <w:tcW w:w="586" w:type="pct"/>
            <w:tcBorders>
              <w:top w:val="single" w:sz="4" w:space="0" w:color="7F7F7F"/>
              <w:left w:val="single" w:sz="4" w:space="0" w:color="7F7F7F"/>
              <w:bottom w:val="single" w:sz="4" w:space="0" w:color="7F7F7F"/>
              <w:right w:val="single" w:sz="4" w:space="0" w:color="7F7F7F"/>
            </w:tcBorders>
            <w:shd w:val="clear" w:color="000000" w:fill="FFCC99"/>
            <w:vAlign w:val="bottom"/>
            <w:hideMark/>
          </w:tcPr>
          <w:p w14:paraId="523B37C9" w14:textId="77777777" w:rsidR="00E15874" w:rsidRPr="005E3D9D" w:rsidRDefault="00E15874" w:rsidP="00415F05">
            <w:pPr>
              <w:spacing w:after="0" w:line="240" w:lineRule="auto"/>
              <w:rPr>
                <w:rFonts w:ascii="Aptos Narrow" w:eastAsia="Times New Roman" w:hAnsi="Aptos Narrow" w:cs="Times New Roman"/>
                <w:b/>
                <w:bCs/>
                <w:color w:val="3F3F76"/>
                <w:sz w:val="18"/>
                <w:szCs w:val="18"/>
              </w:rPr>
            </w:pPr>
            <w:r w:rsidRPr="005E3D9D">
              <w:rPr>
                <w:rFonts w:ascii="Aptos Narrow" w:eastAsia="Times New Roman" w:hAnsi="Aptos Narrow" w:cs="Times New Roman"/>
                <w:b/>
                <w:bCs/>
                <w:color w:val="3F3F76"/>
                <w:sz w:val="18"/>
                <w:szCs w:val="18"/>
              </w:rPr>
              <w:t>Weighted</w:t>
            </w:r>
            <w:r w:rsidRPr="005E3D9D">
              <w:rPr>
                <w:rFonts w:ascii="Aptos Narrow" w:eastAsia="Times New Roman" w:hAnsi="Aptos Narrow" w:cs="Times New Roman"/>
                <w:b/>
                <w:bCs/>
                <w:color w:val="3F3F76"/>
                <w:sz w:val="18"/>
                <w:szCs w:val="18"/>
              </w:rPr>
              <w:br/>
              <w:t xml:space="preserve"> sum</w:t>
            </w:r>
            <w:r w:rsidRPr="005E3D9D">
              <w:rPr>
                <w:rFonts w:ascii="Aptos Narrow" w:eastAsia="Times New Roman" w:hAnsi="Aptos Narrow" w:cs="Times New Roman"/>
                <w:b/>
                <w:bCs/>
                <w:color w:val="3F3F76"/>
                <w:sz w:val="18"/>
                <w:szCs w:val="18"/>
              </w:rPr>
              <w:br/>
              <w:t xml:space="preserve"> value (1)</w:t>
            </w:r>
          </w:p>
        </w:tc>
        <w:tc>
          <w:tcPr>
            <w:tcW w:w="565" w:type="pct"/>
            <w:tcBorders>
              <w:top w:val="single" w:sz="4" w:space="0" w:color="A6A6A6"/>
              <w:left w:val="single" w:sz="4" w:space="0" w:color="A6A6A6"/>
              <w:bottom w:val="single" w:sz="4" w:space="0" w:color="A6A6A6"/>
              <w:right w:val="single" w:sz="4" w:space="0" w:color="A6A6A6"/>
            </w:tcBorders>
            <w:shd w:val="clear" w:color="000000" w:fill="FFC7CE"/>
            <w:noWrap/>
            <w:vAlign w:val="center"/>
            <w:hideMark/>
          </w:tcPr>
          <w:p w14:paraId="44D80DA2" w14:textId="77777777" w:rsidR="00E15874" w:rsidRPr="005E3D9D" w:rsidRDefault="00E15874" w:rsidP="00415F05">
            <w:pPr>
              <w:spacing w:after="0" w:line="240" w:lineRule="auto"/>
              <w:jc w:val="center"/>
              <w:rPr>
                <w:rFonts w:ascii="Aptos Narrow" w:eastAsia="Times New Roman" w:hAnsi="Aptos Narrow" w:cs="Times New Roman"/>
                <w:b/>
                <w:bCs/>
                <w:color w:val="9C0006"/>
                <w:sz w:val="18"/>
                <w:szCs w:val="18"/>
              </w:rPr>
            </w:pPr>
            <w:r w:rsidRPr="005E3D9D">
              <w:rPr>
                <w:rFonts w:ascii="Aptos Narrow" w:eastAsia="Times New Roman" w:hAnsi="Aptos Narrow" w:cs="Times New Roman"/>
                <w:b/>
                <w:bCs/>
                <w:color w:val="9C0006"/>
                <w:sz w:val="18"/>
                <w:szCs w:val="18"/>
              </w:rPr>
              <w:t>Weights (2)</w:t>
            </w:r>
          </w:p>
        </w:tc>
        <w:tc>
          <w:tcPr>
            <w:tcW w:w="386" w:type="pct"/>
            <w:tcBorders>
              <w:top w:val="single" w:sz="4" w:space="0" w:color="7F7F7F"/>
              <w:left w:val="single" w:sz="4" w:space="0" w:color="7F7F7F"/>
              <w:bottom w:val="single" w:sz="4" w:space="0" w:color="7F7F7F"/>
              <w:right w:val="single" w:sz="4" w:space="0" w:color="7F7F7F"/>
            </w:tcBorders>
            <w:shd w:val="clear" w:color="000000" w:fill="F2F2F2"/>
            <w:noWrap/>
            <w:vAlign w:val="center"/>
            <w:hideMark/>
          </w:tcPr>
          <w:p w14:paraId="2F8FE41B" w14:textId="77777777" w:rsidR="00E15874" w:rsidRPr="005E3D9D" w:rsidRDefault="00E15874" w:rsidP="00415F05">
            <w:pPr>
              <w:spacing w:after="0" w:line="240" w:lineRule="auto"/>
              <w:jc w:val="center"/>
              <w:rPr>
                <w:rFonts w:ascii="Aptos Narrow" w:eastAsia="Times New Roman" w:hAnsi="Aptos Narrow" w:cs="Times New Roman"/>
                <w:b/>
                <w:bCs/>
                <w:color w:val="FA7D00"/>
                <w:sz w:val="18"/>
                <w:szCs w:val="18"/>
              </w:rPr>
            </w:pPr>
            <w:r w:rsidRPr="005E3D9D">
              <w:rPr>
                <w:rFonts w:ascii="Aptos Narrow" w:eastAsia="Times New Roman" w:hAnsi="Aptos Narrow" w:cs="Times New Roman"/>
                <w:b/>
                <w:bCs/>
                <w:color w:val="FA7D00"/>
                <w:sz w:val="18"/>
                <w:szCs w:val="18"/>
              </w:rPr>
              <w:t>(1)</w:t>
            </w:r>
            <w:proofErr w:type="gramStart"/>
            <w:r w:rsidRPr="005E3D9D">
              <w:rPr>
                <w:rFonts w:ascii="Aptos Narrow" w:eastAsia="Times New Roman" w:hAnsi="Aptos Narrow" w:cs="Times New Roman"/>
                <w:b/>
                <w:bCs/>
                <w:color w:val="FA7D00"/>
                <w:sz w:val="18"/>
                <w:szCs w:val="18"/>
              </w:rPr>
              <w:t>/(</w:t>
            </w:r>
            <w:proofErr w:type="gramEnd"/>
            <w:r w:rsidRPr="005E3D9D">
              <w:rPr>
                <w:rFonts w:ascii="Aptos Narrow" w:eastAsia="Times New Roman" w:hAnsi="Aptos Narrow" w:cs="Times New Roman"/>
                <w:b/>
                <w:bCs/>
                <w:color w:val="FA7D00"/>
                <w:sz w:val="18"/>
                <w:szCs w:val="18"/>
              </w:rPr>
              <w:t>2)</w:t>
            </w:r>
          </w:p>
        </w:tc>
      </w:tr>
      <w:tr w:rsidR="00E15874" w:rsidRPr="005E3D9D" w14:paraId="5552130E" w14:textId="77777777" w:rsidTr="00415F05">
        <w:trPr>
          <w:trHeight w:val="591"/>
        </w:trPr>
        <w:tc>
          <w:tcPr>
            <w:tcW w:w="755" w:type="pct"/>
            <w:tcBorders>
              <w:top w:val="nil"/>
              <w:left w:val="single" w:sz="4" w:space="0" w:color="A6A6A6"/>
              <w:bottom w:val="single" w:sz="4" w:space="0" w:color="A6A6A6"/>
              <w:right w:val="single" w:sz="4" w:space="0" w:color="A6A6A6"/>
            </w:tcBorders>
            <w:shd w:val="clear" w:color="000000" w:fill="156082"/>
            <w:noWrap/>
            <w:vAlign w:val="center"/>
            <w:hideMark/>
          </w:tcPr>
          <w:p w14:paraId="21C8A4A7" w14:textId="77777777" w:rsidR="00E15874" w:rsidRPr="005E3D9D" w:rsidRDefault="00E15874" w:rsidP="00415F05">
            <w:pPr>
              <w:spacing w:after="0" w:line="240" w:lineRule="auto"/>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Wind speed</w:t>
            </w:r>
            <w:r w:rsidRPr="005E3D9D">
              <w:rPr>
                <w:rFonts w:ascii="Arial" w:eastAsia="Times New Roman" w:hAnsi="Arial" w:cs="Arial"/>
                <w:b/>
                <w:bCs/>
                <w:color w:val="FFFFFF"/>
                <w:sz w:val="18"/>
                <w:szCs w:val="18"/>
              </w:rPr>
              <w:t>​</w:t>
            </w:r>
          </w:p>
        </w:tc>
        <w:tc>
          <w:tcPr>
            <w:tcW w:w="302" w:type="pct"/>
            <w:tcBorders>
              <w:top w:val="single" w:sz="4" w:space="0" w:color="3F3F3F"/>
              <w:left w:val="single" w:sz="4" w:space="0" w:color="3F3F3F"/>
              <w:bottom w:val="single" w:sz="4" w:space="0" w:color="3F3F3F"/>
              <w:right w:val="single" w:sz="4" w:space="0" w:color="3F3F3F"/>
            </w:tcBorders>
            <w:shd w:val="clear" w:color="000000" w:fill="F2F2F2"/>
            <w:noWrap/>
            <w:vAlign w:val="center"/>
            <w:hideMark/>
          </w:tcPr>
          <w:p w14:paraId="2961503E"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0.40</w:t>
            </w:r>
          </w:p>
        </w:tc>
        <w:tc>
          <w:tcPr>
            <w:tcW w:w="289" w:type="pct"/>
            <w:tcBorders>
              <w:top w:val="single" w:sz="4" w:space="0" w:color="3F3F3F"/>
              <w:left w:val="nil"/>
              <w:bottom w:val="single" w:sz="4" w:space="0" w:color="3F3F3F"/>
              <w:right w:val="single" w:sz="4" w:space="0" w:color="3F3F3F"/>
            </w:tcBorders>
            <w:shd w:val="clear" w:color="000000" w:fill="F2F2F2"/>
            <w:noWrap/>
            <w:vAlign w:val="center"/>
            <w:hideMark/>
          </w:tcPr>
          <w:p w14:paraId="15502F7F"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1.12</w:t>
            </w:r>
          </w:p>
        </w:tc>
        <w:tc>
          <w:tcPr>
            <w:tcW w:w="288" w:type="pct"/>
            <w:tcBorders>
              <w:top w:val="single" w:sz="4" w:space="0" w:color="3F3F3F"/>
              <w:left w:val="nil"/>
              <w:bottom w:val="single" w:sz="4" w:space="0" w:color="3F3F3F"/>
              <w:right w:val="single" w:sz="4" w:space="0" w:color="3F3F3F"/>
            </w:tcBorders>
            <w:shd w:val="clear" w:color="000000" w:fill="F2F2F2"/>
            <w:noWrap/>
            <w:vAlign w:val="center"/>
            <w:hideMark/>
          </w:tcPr>
          <w:p w14:paraId="403ACDDD"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0.54</w:t>
            </w:r>
          </w:p>
        </w:tc>
        <w:tc>
          <w:tcPr>
            <w:tcW w:w="488" w:type="pct"/>
            <w:tcBorders>
              <w:top w:val="single" w:sz="4" w:space="0" w:color="3F3F3F"/>
              <w:left w:val="nil"/>
              <w:bottom w:val="single" w:sz="4" w:space="0" w:color="3F3F3F"/>
              <w:right w:val="single" w:sz="4" w:space="0" w:color="3F3F3F"/>
            </w:tcBorders>
            <w:shd w:val="clear" w:color="000000" w:fill="F2F2F2"/>
            <w:noWrap/>
            <w:vAlign w:val="center"/>
            <w:hideMark/>
          </w:tcPr>
          <w:p w14:paraId="2AF87000"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0.56</w:t>
            </w:r>
          </w:p>
        </w:tc>
        <w:tc>
          <w:tcPr>
            <w:tcW w:w="379" w:type="pct"/>
            <w:tcBorders>
              <w:top w:val="single" w:sz="4" w:space="0" w:color="3F3F3F"/>
              <w:left w:val="nil"/>
              <w:bottom w:val="single" w:sz="4" w:space="0" w:color="3F3F3F"/>
              <w:right w:val="single" w:sz="4" w:space="0" w:color="3F3F3F"/>
            </w:tcBorders>
            <w:shd w:val="clear" w:color="000000" w:fill="F2F2F2"/>
            <w:noWrap/>
            <w:vAlign w:val="center"/>
            <w:hideMark/>
          </w:tcPr>
          <w:p w14:paraId="17ED8C3D"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0.29</w:t>
            </w:r>
          </w:p>
        </w:tc>
        <w:tc>
          <w:tcPr>
            <w:tcW w:w="481" w:type="pct"/>
            <w:tcBorders>
              <w:top w:val="single" w:sz="4" w:space="0" w:color="3F3F3F"/>
              <w:left w:val="nil"/>
              <w:bottom w:val="single" w:sz="4" w:space="0" w:color="3F3F3F"/>
              <w:right w:val="single" w:sz="4" w:space="0" w:color="3F3F3F"/>
            </w:tcBorders>
            <w:shd w:val="clear" w:color="000000" w:fill="F2F2F2"/>
            <w:noWrap/>
            <w:vAlign w:val="center"/>
            <w:hideMark/>
          </w:tcPr>
          <w:p w14:paraId="0F29CAA4"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0.20</w:t>
            </w:r>
          </w:p>
        </w:tc>
        <w:tc>
          <w:tcPr>
            <w:tcW w:w="481" w:type="pct"/>
            <w:tcBorders>
              <w:top w:val="single" w:sz="4" w:space="0" w:color="3F3F3F"/>
              <w:left w:val="nil"/>
              <w:bottom w:val="single" w:sz="4" w:space="0" w:color="3F3F3F"/>
              <w:right w:val="single" w:sz="4" w:space="0" w:color="3F3F3F"/>
            </w:tcBorders>
            <w:shd w:val="clear" w:color="000000" w:fill="F2F2F2"/>
            <w:noWrap/>
            <w:vAlign w:val="center"/>
            <w:hideMark/>
          </w:tcPr>
          <w:p w14:paraId="514FBE2F"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0.30</w:t>
            </w:r>
          </w:p>
        </w:tc>
        <w:tc>
          <w:tcPr>
            <w:tcW w:w="586" w:type="pct"/>
            <w:tcBorders>
              <w:top w:val="nil"/>
              <w:left w:val="single" w:sz="4" w:space="0" w:color="7F7F7F"/>
              <w:bottom w:val="single" w:sz="4" w:space="0" w:color="7F7F7F"/>
              <w:right w:val="single" w:sz="4" w:space="0" w:color="7F7F7F"/>
            </w:tcBorders>
            <w:shd w:val="clear" w:color="000000" w:fill="FFCC99"/>
            <w:noWrap/>
            <w:vAlign w:val="bottom"/>
            <w:hideMark/>
          </w:tcPr>
          <w:p w14:paraId="7B3FEB49" w14:textId="77777777" w:rsidR="00E15874" w:rsidRPr="005E3D9D" w:rsidRDefault="00E15874" w:rsidP="00415F05">
            <w:pPr>
              <w:spacing w:after="0" w:line="240" w:lineRule="auto"/>
              <w:jc w:val="right"/>
              <w:rPr>
                <w:rFonts w:ascii="Aptos Narrow" w:eastAsia="Times New Roman" w:hAnsi="Aptos Narrow" w:cs="Times New Roman"/>
                <w:color w:val="3F3F76"/>
                <w:sz w:val="18"/>
                <w:szCs w:val="18"/>
              </w:rPr>
            </w:pPr>
            <w:r w:rsidRPr="005E3D9D">
              <w:rPr>
                <w:rFonts w:ascii="Aptos Narrow" w:eastAsia="Times New Roman" w:hAnsi="Aptos Narrow" w:cs="Times New Roman"/>
                <w:color w:val="3F3F76"/>
                <w:sz w:val="18"/>
                <w:szCs w:val="18"/>
              </w:rPr>
              <w:t>3.41</w:t>
            </w:r>
          </w:p>
        </w:tc>
        <w:tc>
          <w:tcPr>
            <w:tcW w:w="565" w:type="pct"/>
            <w:tcBorders>
              <w:top w:val="nil"/>
              <w:left w:val="single" w:sz="4" w:space="0" w:color="A6A6A6"/>
              <w:bottom w:val="single" w:sz="4" w:space="0" w:color="A6A6A6"/>
              <w:right w:val="single" w:sz="4" w:space="0" w:color="A6A6A6"/>
            </w:tcBorders>
            <w:shd w:val="clear" w:color="000000" w:fill="FFC7CE"/>
            <w:noWrap/>
            <w:vAlign w:val="bottom"/>
            <w:hideMark/>
          </w:tcPr>
          <w:p w14:paraId="5E324408" w14:textId="77777777" w:rsidR="00E15874" w:rsidRPr="005E3D9D" w:rsidRDefault="00E15874" w:rsidP="00415F05">
            <w:pPr>
              <w:spacing w:after="0" w:line="240" w:lineRule="auto"/>
              <w:jc w:val="center"/>
              <w:rPr>
                <w:rFonts w:ascii="Aptos Narrow" w:eastAsia="Times New Roman" w:hAnsi="Aptos Narrow" w:cs="Times New Roman"/>
                <w:color w:val="9C0006"/>
                <w:sz w:val="18"/>
                <w:szCs w:val="18"/>
              </w:rPr>
            </w:pPr>
            <w:r w:rsidRPr="005E3D9D">
              <w:rPr>
                <w:rFonts w:ascii="Aptos Narrow" w:eastAsia="Times New Roman" w:hAnsi="Aptos Narrow" w:cs="Times New Roman"/>
                <w:color w:val="9C0006"/>
                <w:sz w:val="18"/>
                <w:szCs w:val="18"/>
              </w:rPr>
              <w:t>0.40</w:t>
            </w:r>
          </w:p>
        </w:tc>
        <w:tc>
          <w:tcPr>
            <w:tcW w:w="386" w:type="pct"/>
            <w:tcBorders>
              <w:top w:val="nil"/>
              <w:left w:val="single" w:sz="4" w:space="0" w:color="7F7F7F"/>
              <w:bottom w:val="single" w:sz="4" w:space="0" w:color="7F7F7F"/>
              <w:right w:val="single" w:sz="4" w:space="0" w:color="7F7F7F"/>
            </w:tcBorders>
            <w:shd w:val="clear" w:color="000000" w:fill="F2F2F2"/>
            <w:noWrap/>
            <w:vAlign w:val="bottom"/>
            <w:hideMark/>
          </w:tcPr>
          <w:p w14:paraId="4968D221" w14:textId="77777777" w:rsidR="00E15874" w:rsidRPr="005E3D9D" w:rsidRDefault="00E15874" w:rsidP="00415F05">
            <w:pPr>
              <w:spacing w:after="0" w:line="240" w:lineRule="auto"/>
              <w:jc w:val="right"/>
              <w:rPr>
                <w:rFonts w:ascii="Aptos Narrow" w:eastAsia="Times New Roman" w:hAnsi="Aptos Narrow" w:cs="Times New Roman"/>
                <w:color w:val="FA7D00"/>
                <w:sz w:val="18"/>
                <w:szCs w:val="18"/>
              </w:rPr>
            </w:pPr>
            <w:r w:rsidRPr="005E3D9D">
              <w:rPr>
                <w:rFonts w:ascii="Aptos Narrow" w:eastAsia="Times New Roman" w:hAnsi="Aptos Narrow" w:cs="Times New Roman"/>
                <w:color w:val="FA7D00"/>
                <w:sz w:val="18"/>
                <w:szCs w:val="18"/>
              </w:rPr>
              <w:t>8.49</w:t>
            </w:r>
          </w:p>
        </w:tc>
      </w:tr>
      <w:tr w:rsidR="00E15874" w:rsidRPr="005E3D9D" w14:paraId="60F46664" w14:textId="77777777" w:rsidTr="00415F05">
        <w:trPr>
          <w:trHeight w:val="600"/>
        </w:trPr>
        <w:tc>
          <w:tcPr>
            <w:tcW w:w="755" w:type="pct"/>
            <w:tcBorders>
              <w:top w:val="nil"/>
              <w:left w:val="single" w:sz="4" w:space="0" w:color="A6A6A6"/>
              <w:bottom w:val="single" w:sz="4" w:space="0" w:color="A6A6A6"/>
              <w:right w:val="single" w:sz="4" w:space="0" w:color="A6A6A6"/>
            </w:tcBorders>
            <w:shd w:val="clear" w:color="000000" w:fill="156082"/>
            <w:noWrap/>
            <w:vAlign w:val="center"/>
            <w:hideMark/>
          </w:tcPr>
          <w:p w14:paraId="48B1DC79" w14:textId="77777777" w:rsidR="00E15874" w:rsidRPr="005E3D9D" w:rsidRDefault="00E15874" w:rsidP="00415F05">
            <w:pPr>
              <w:spacing w:after="0" w:line="240" w:lineRule="auto"/>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Bathymetry</w:t>
            </w:r>
            <w:r w:rsidRPr="005E3D9D">
              <w:rPr>
                <w:rFonts w:ascii="Arial" w:eastAsia="Times New Roman" w:hAnsi="Arial" w:cs="Arial"/>
                <w:b/>
                <w:bCs/>
                <w:color w:val="FFFFFF"/>
                <w:sz w:val="18"/>
                <w:szCs w:val="18"/>
              </w:rPr>
              <w:t>​</w:t>
            </w:r>
          </w:p>
        </w:tc>
        <w:tc>
          <w:tcPr>
            <w:tcW w:w="302" w:type="pct"/>
            <w:tcBorders>
              <w:top w:val="nil"/>
              <w:left w:val="single" w:sz="4" w:space="0" w:color="3F3F3F"/>
              <w:bottom w:val="single" w:sz="4" w:space="0" w:color="3F3F3F"/>
              <w:right w:val="single" w:sz="4" w:space="0" w:color="3F3F3F"/>
            </w:tcBorders>
            <w:shd w:val="clear" w:color="000000" w:fill="F2F2F2"/>
            <w:noWrap/>
            <w:vAlign w:val="center"/>
            <w:hideMark/>
          </w:tcPr>
          <w:p w14:paraId="6A63E65F"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0.08</w:t>
            </w:r>
          </w:p>
        </w:tc>
        <w:tc>
          <w:tcPr>
            <w:tcW w:w="289" w:type="pct"/>
            <w:tcBorders>
              <w:top w:val="nil"/>
              <w:left w:val="nil"/>
              <w:bottom w:val="single" w:sz="4" w:space="0" w:color="3F3F3F"/>
              <w:right w:val="single" w:sz="4" w:space="0" w:color="3F3F3F"/>
            </w:tcBorders>
            <w:shd w:val="clear" w:color="000000" w:fill="F2F2F2"/>
            <w:noWrap/>
            <w:vAlign w:val="center"/>
            <w:hideMark/>
          </w:tcPr>
          <w:p w14:paraId="1589B13E"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0.22</w:t>
            </w:r>
          </w:p>
        </w:tc>
        <w:tc>
          <w:tcPr>
            <w:tcW w:w="288" w:type="pct"/>
            <w:tcBorders>
              <w:top w:val="nil"/>
              <w:left w:val="nil"/>
              <w:bottom w:val="single" w:sz="4" w:space="0" w:color="3F3F3F"/>
              <w:right w:val="single" w:sz="4" w:space="0" w:color="3F3F3F"/>
            </w:tcBorders>
            <w:shd w:val="clear" w:color="000000" w:fill="F2F2F2"/>
            <w:noWrap/>
            <w:vAlign w:val="center"/>
            <w:hideMark/>
          </w:tcPr>
          <w:p w14:paraId="5E614C1F"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0.43</w:t>
            </w:r>
          </w:p>
        </w:tc>
        <w:tc>
          <w:tcPr>
            <w:tcW w:w="488" w:type="pct"/>
            <w:tcBorders>
              <w:top w:val="nil"/>
              <w:left w:val="nil"/>
              <w:bottom w:val="single" w:sz="4" w:space="0" w:color="3F3F3F"/>
              <w:right w:val="single" w:sz="4" w:space="0" w:color="3F3F3F"/>
            </w:tcBorders>
            <w:shd w:val="clear" w:color="000000" w:fill="F2F2F2"/>
            <w:noWrap/>
            <w:vAlign w:val="center"/>
            <w:hideMark/>
          </w:tcPr>
          <w:p w14:paraId="55B22EBB"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0.42</w:t>
            </w:r>
          </w:p>
        </w:tc>
        <w:tc>
          <w:tcPr>
            <w:tcW w:w="379" w:type="pct"/>
            <w:tcBorders>
              <w:top w:val="nil"/>
              <w:left w:val="nil"/>
              <w:bottom w:val="single" w:sz="4" w:space="0" w:color="3F3F3F"/>
              <w:right w:val="single" w:sz="4" w:space="0" w:color="3F3F3F"/>
            </w:tcBorders>
            <w:shd w:val="clear" w:color="000000" w:fill="F2F2F2"/>
            <w:noWrap/>
            <w:vAlign w:val="center"/>
            <w:hideMark/>
          </w:tcPr>
          <w:p w14:paraId="2FB7A43C"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0.29</w:t>
            </w:r>
          </w:p>
        </w:tc>
        <w:tc>
          <w:tcPr>
            <w:tcW w:w="481" w:type="pct"/>
            <w:tcBorders>
              <w:top w:val="nil"/>
              <w:left w:val="nil"/>
              <w:bottom w:val="single" w:sz="4" w:space="0" w:color="3F3F3F"/>
              <w:right w:val="single" w:sz="4" w:space="0" w:color="3F3F3F"/>
            </w:tcBorders>
            <w:shd w:val="clear" w:color="000000" w:fill="F2F2F2"/>
            <w:noWrap/>
            <w:vAlign w:val="center"/>
            <w:hideMark/>
          </w:tcPr>
          <w:p w14:paraId="332465A5"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0.15</w:t>
            </w:r>
          </w:p>
        </w:tc>
        <w:tc>
          <w:tcPr>
            <w:tcW w:w="481" w:type="pct"/>
            <w:tcBorders>
              <w:top w:val="nil"/>
              <w:left w:val="nil"/>
              <w:bottom w:val="single" w:sz="4" w:space="0" w:color="3F3F3F"/>
              <w:right w:val="single" w:sz="4" w:space="0" w:color="3F3F3F"/>
            </w:tcBorders>
            <w:shd w:val="clear" w:color="000000" w:fill="F2F2F2"/>
            <w:noWrap/>
            <w:vAlign w:val="center"/>
            <w:hideMark/>
          </w:tcPr>
          <w:p w14:paraId="165C283C"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0.24</w:t>
            </w:r>
          </w:p>
        </w:tc>
        <w:tc>
          <w:tcPr>
            <w:tcW w:w="586" w:type="pct"/>
            <w:tcBorders>
              <w:top w:val="nil"/>
              <w:left w:val="single" w:sz="4" w:space="0" w:color="7F7F7F"/>
              <w:bottom w:val="single" w:sz="4" w:space="0" w:color="7F7F7F"/>
              <w:right w:val="single" w:sz="4" w:space="0" w:color="7F7F7F"/>
            </w:tcBorders>
            <w:shd w:val="clear" w:color="000000" w:fill="FFCC99"/>
            <w:noWrap/>
            <w:vAlign w:val="bottom"/>
            <w:hideMark/>
          </w:tcPr>
          <w:p w14:paraId="68804F99" w14:textId="77777777" w:rsidR="00E15874" w:rsidRPr="005E3D9D" w:rsidRDefault="00E15874" w:rsidP="00415F05">
            <w:pPr>
              <w:spacing w:after="0" w:line="240" w:lineRule="auto"/>
              <w:jc w:val="right"/>
              <w:rPr>
                <w:rFonts w:ascii="Aptos Narrow" w:eastAsia="Times New Roman" w:hAnsi="Aptos Narrow" w:cs="Times New Roman"/>
                <w:color w:val="3F3F76"/>
                <w:sz w:val="18"/>
                <w:szCs w:val="18"/>
              </w:rPr>
            </w:pPr>
            <w:r w:rsidRPr="005E3D9D">
              <w:rPr>
                <w:rFonts w:ascii="Aptos Narrow" w:eastAsia="Times New Roman" w:hAnsi="Aptos Narrow" w:cs="Times New Roman"/>
                <w:color w:val="3F3F76"/>
                <w:sz w:val="18"/>
                <w:szCs w:val="18"/>
              </w:rPr>
              <w:t>1.84</w:t>
            </w:r>
          </w:p>
        </w:tc>
        <w:tc>
          <w:tcPr>
            <w:tcW w:w="565" w:type="pct"/>
            <w:tcBorders>
              <w:top w:val="nil"/>
              <w:left w:val="single" w:sz="4" w:space="0" w:color="A6A6A6"/>
              <w:bottom w:val="single" w:sz="4" w:space="0" w:color="A6A6A6"/>
              <w:right w:val="single" w:sz="4" w:space="0" w:color="A6A6A6"/>
            </w:tcBorders>
            <w:shd w:val="clear" w:color="000000" w:fill="FFC7CE"/>
            <w:noWrap/>
            <w:vAlign w:val="bottom"/>
            <w:hideMark/>
          </w:tcPr>
          <w:p w14:paraId="1D7A9D91" w14:textId="77777777" w:rsidR="00E15874" w:rsidRPr="005E3D9D" w:rsidRDefault="00E15874" w:rsidP="00415F05">
            <w:pPr>
              <w:spacing w:after="0" w:line="240" w:lineRule="auto"/>
              <w:jc w:val="center"/>
              <w:rPr>
                <w:rFonts w:ascii="Aptos Narrow" w:eastAsia="Times New Roman" w:hAnsi="Aptos Narrow" w:cs="Times New Roman"/>
                <w:color w:val="9C0006"/>
                <w:sz w:val="18"/>
                <w:szCs w:val="18"/>
              </w:rPr>
            </w:pPr>
            <w:r w:rsidRPr="005E3D9D">
              <w:rPr>
                <w:rFonts w:ascii="Aptos Narrow" w:eastAsia="Times New Roman" w:hAnsi="Aptos Narrow" w:cs="Times New Roman"/>
                <w:color w:val="9C0006"/>
                <w:sz w:val="18"/>
                <w:szCs w:val="18"/>
              </w:rPr>
              <w:t>0.22</w:t>
            </w:r>
          </w:p>
        </w:tc>
        <w:tc>
          <w:tcPr>
            <w:tcW w:w="386" w:type="pct"/>
            <w:tcBorders>
              <w:top w:val="nil"/>
              <w:left w:val="single" w:sz="4" w:space="0" w:color="7F7F7F"/>
              <w:bottom w:val="single" w:sz="4" w:space="0" w:color="7F7F7F"/>
              <w:right w:val="single" w:sz="4" w:space="0" w:color="7F7F7F"/>
            </w:tcBorders>
            <w:shd w:val="clear" w:color="000000" w:fill="F2F2F2"/>
            <w:noWrap/>
            <w:vAlign w:val="bottom"/>
            <w:hideMark/>
          </w:tcPr>
          <w:p w14:paraId="03FB7642" w14:textId="77777777" w:rsidR="00E15874" w:rsidRPr="005E3D9D" w:rsidRDefault="00E15874" w:rsidP="00415F05">
            <w:pPr>
              <w:spacing w:after="0" w:line="240" w:lineRule="auto"/>
              <w:jc w:val="right"/>
              <w:rPr>
                <w:rFonts w:ascii="Aptos Narrow" w:eastAsia="Times New Roman" w:hAnsi="Aptos Narrow" w:cs="Times New Roman"/>
                <w:color w:val="FA7D00"/>
                <w:sz w:val="18"/>
                <w:szCs w:val="18"/>
              </w:rPr>
            </w:pPr>
            <w:r w:rsidRPr="005E3D9D">
              <w:rPr>
                <w:rFonts w:ascii="Aptos Narrow" w:eastAsia="Times New Roman" w:hAnsi="Aptos Narrow" w:cs="Times New Roman"/>
                <w:color w:val="FA7D00"/>
                <w:sz w:val="18"/>
                <w:szCs w:val="18"/>
              </w:rPr>
              <w:t>8.20</w:t>
            </w:r>
          </w:p>
        </w:tc>
      </w:tr>
      <w:tr w:rsidR="00E15874" w:rsidRPr="005E3D9D" w14:paraId="3B863361" w14:textId="77777777" w:rsidTr="00415F05">
        <w:trPr>
          <w:trHeight w:val="591"/>
        </w:trPr>
        <w:tc>
          <w:tcPr>
            <w:tcW w:w="755" w:type="pct"/>
            <w:tcBorders>
              <w:top w:val="nil"/>
              <w:left w:val="single" w:sz="4" w:space="0" w:color="A6A6A6"/>
              <w:bottom w:val="single" w:sz="4" w:space="0" w:color="A6A6A6"/>
              <w:right w:val="single" w:sz="4" w:space="0" w:color="A6A6A6"/>
            </w:tcBorders>
            <w:shd w:val="clear" w:color="000000" w:fill="156082"/>
            <w:vAlign w:val="center"/>
            <w:hideMark/>
          </w:tcPr>
          <w:p w14:paraId="1B08EECF" w14:textId="77777777" w:rsidR="00E15874" w:rsidRPr="005E3D9D" w:rsidRDefault="00E15874" w:rsidP="00415F05">
            <w:pPr>
              <w:spacing w:after="0" w:line="240" w:lineRule="auto"/>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Distance from Ports</w:t>
            </w:r>
            <w:r w:rsidRPr="005E3D9D">
              <w:rPr>
                <w:rFonts w:ascii="Arial" w:eastAsia="Times New Roman" w:hAnsi="Arial" w:cs="Arial"/>
                <w:b/>
                <w:bCs/>
                <w:color w:val="FFFFFF"/>
                <w:sz w:val="18"/>
                <w:szCs w:val="18"/>
              </w:rPr>
              <w:t>​</w:t>
            </w:r>
          </w:p>
        </w:tc>
        <w:tc>
          <w:tcPr>
            <w:tcW w:w="302" w:type="pct"/>
            <w:tcBorders>
              <w:top w:val="nil"/>
              <w:left w:val="single" w:sz="4" w:space="0" w:color="3F3F3F"/>
              <w:bottom w:val="single" w:sz="4" w:space="0" w:color="3F3F3F"/>
              <w:right w:val="single" w:sz="4" w:space="0" w:color="3F3F3F"/>
            </w:tcBorders>
            <w:shd w:val="clear" w:color="000000" w:fill="F2F2F2"/>
            <w:noWrap/>
            <w:vAlign w:val="center"/>
            <w:hideMark/>
          </w:tcPr>
          <w:p w14:paraId="40BE44EE"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0.08</w:t>
            </w:r>
          </w:p>
        </w:tc>
        <w:tc>
          <w:tcPr>
            <w:tcW w:w="289" w:type="pct"/>
            <w:tcBorders>
              <w:top w:val="nil"/>
              <w:left w:val="nil"/>
              <w:bottom w:val="single" w:sz="4" w:space="0" w:color="3F3F3F"/>
              <w:right w:val="single" w:sz="4" w:space="0" w:color="3F3F3F"/>
            </w:tcBorders>
            <w:shd w:val="clear" w:color="000000" w:fill="F2F2F2"/>
            <w:noWrap/>
            <w:vAlign w:val="center"/>
            <w:hideMark/>
          </w:tcPr>
          <w:p w14:paraId="5E672E1C"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0.06</w:t>
            </w:r>
          </w:p>
        </w:tc>
        <w:tc>
          <w:tcPr>
            <w:tcW w:w="288" w:type="pct"/>
            <w:tcBorders>
              <w:top w:val="nil"/>
              <w:left w:val="nil"/>
              <w:bottom w:val="single" w:sz="4" w:space="0" w:color="3F3F3F"/>
              <w:right w:val="single" w:sz="4" w:space="0" w:color="3F3F3F"/>
            </w:tcBorders>
            <w:shd w:val="clear" w:color="000000" w:fill="F2F2F2"/>
            <w:noWrap/>
            <w:vAlign w:val="center"/>
            <w:hideMark/>
          </w:tcPr>
          <w:p w14:paraId="3760C53C"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0.11</w:t>
            </w:r>
          </w:p>
        </w:tc>
        <w:tc>
          <w:tcPr>
            <w:tcW w:w="488" w:type="pct"/>
            <w:tcBorders>
              <w:top w:val="nil"/>
              <w:left w:val="nil"/>
              <w:bottom w:val="single" w:sz="4" w:space="0" w:color="3F3F3F"/>
              <w:right w:val="single" w:sz="4" w:space="0" w:color="3F3F3F"/>
            </w:tcBorders>
            <w:shd w:val="clear" w:color="000000" w:fill="F2F2F2"/>
            <w:noWrap/>
            <w:vAlign w:val="center"/>
            <w:hideMark/>
          </w:tcPr>
          <w:p w14:paraId="167B5934"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0.07</w:t>
            </w:r>
          </w:p>
        </w:tc>
        <w:tc>
          <w:tcPr>
            <w:tcW w:w="379" w:type="pct"/>
            <w:tcBorders>
              <w:top w:val="nil"/>
              <w:left w:val="nil"/>
              <w:bottom w:val="single" w:sz="4" w:space="0" w:color="3F3F3F"/>
              <w:right w:val="single" w:sz="4" w:space="0" w:color="3F3F3F"/>
            </w:tcBorders>
            <w:shd w:val="clear" w:color="000000" w:fill="F2F2F2"/>
            <w:noWrap/>
            <w:vAlign w:val="center"/>
            <w:hideMark/>
          </w:tcPr>
          <w:p w14:paraId="1519E188"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0.17</w:t>
            </w:r>
          </w:p>
        </w:tc>
        <w:tc>
          <w:tcPr>
            <w:tcW w:w="481" w:type="pct"/>
            <w:tcBorders>
              <w:top w:val="nil"/>
              <w:left w:val="nil"/>
              <w:bottom w:val="single" w:sz="4" w:space="0" w:color="3F3F3F"/>
              <w:right w:val="single" w:sz="4" w:space="0" w:color="3F3F3F"/>
            </w:tcBorders>
            <w:shd w:val="clear" w:color="000000" w:fill="F2F2F2"/>
            <w:noWrap/>
            <w:vAlign w:val="center"/>
            <w:hideMark/>
          </w:tcPr>
          <w:p w14:paraId="1CEDD661"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0.13</w:t>
            </w:r>
          </w:p>
        </w:tc>
        <w:tc>
          <w:tcPr>
            <w:tcW w:w="481" w:type="pct"/>
            <w:tcBorders>
              <w:top w:val="nil"/>
              <w:left w:val="nil"/>
              <w:bottom w:val="single" w:sz="4" w:space="0" w:color="3F3F3F"/>
              <w:right w:val="single" w:sz="4" w:space="0" w:color="3F3F3F"/>
            </w:tcBorders>
            <w:shd w:val="clear" w:color="000000" w:fill="F2F2F2"/>
            <w:noWrap/>
            <w:vAlign w:val="center"/>
            <w:hideMark/>
          </w:tcPr>
          <w:p w14:paraId="6B461503"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0.18</w:t>
            </w:r>
          </w:p>
        </w:tc>
        <w:tc>
          <w:tcPr>
            <w:tcW w:w="586" w:type="pct"/>
            <w:tcBorders>
              <w:top w:val="nil"/>
              <w:left w:val="single" w:sz="4" w:space="0" w:color="7F7F7F"/>
              <w:bottom w:val="single" w:sz="4" w:space="0" w:color="7F7F7F"/>
              <w:right w:val="single" w:sz="4" w:space="0" w:color="7F7F7F"/>
            </w:tcBorders>
            <w:shd w:val="clear" w:color="000000" w:fill="FFCC99"/>
            <w:noWrap/>
            <w:vAlign w:val="bottom"/>
            <w:hideMark/>
          </w:tcPr>
          <w:p w14:paraId="7AA102C1" w14:textId="77777777" w:rsidR="00E15874" w:rsidRPr="005E3D9D" w:rsidRDefault="00E15874" w:rsidP="00415F05">
            <w:pPr>
              <w:spacing w:after="0" w:line="240" w:lineRule="auto"/>
              <w:jc w:val="right"/>
              <w:rPr>
                <w:rFonts w:ascii="Aptos Narrow" w:eastAsia="Times New Roman" w:hAnsi="Aptos Narrow" w:cs="Times New Roman"/>
                <w:color w:val="3F3F76"/>
                <w:sz w:val="18"/>
                <w:szCs w:val="18"/>
              </w:rPr>
            </w:pPr>
            <w:r w:rsidRPr="005E3D9D">
              <w:rPr>
                <w:rFonts w:ascii="Aptos Narrow" w:eastAsia="Times New Roman" w:hAnsi="Aptos Narrow" w:cs="Times New Roman"/>
                <w:color w:val="3F3F76"/>
                <w:sz w:val="18"/>
                <w:szCs w:val="18"/>
              </w:rPr>
              <w:t>0.79</w:t>
            </w:r>
          </w:p>
        </w:tc>
        <w:tc>
          <w:tcPr>
            <w:tcW w:w="565" w:type="pct"/>
            <w:tcBorders>
              <w:top w:val="nil"/>
              <w:left w:val="single" w:sz="4" w:space="0" w:color="A6A6A6"/>
              <w:bottom w:val="single" w:sz="4" w:space="0" w:color="A6A6A6"/>
              <w:right w:val="single" w:sz="4" w:space="0" w:color="A6A6A6"/>
            </w:tcBorders>
            <w:shd w:val="clear" w:color="000000" w:fill="FFC7CE"/>
            <w:noWrap/>
            <w:vAlign w:val="bottom"/>
            <w:hideMark/>
          </w:tcPr>
          <w:p w14:paraId="0DF3B142" w14:textId="77777777" w:rsidR="00E15874" w:rsidRPr="005E3D9D" w:rsidRDefault="00E15874" w:rsidP="00415F05">
            <w:pPr>
              <w:spacing w:after="0" w:line="240" w:lineRule="auto"/>
              <w:jc w:val="center"/>
              <w:rPr>
                <w:rFonts w:ascii="Aptos Narrow" w:eastAsia="Times New Roman" w:hAnsi="Aptos Narrow" w:cs="Times New Roman"/>
                <w:color w:val="9C0006"/>
                <w:sz w:val="18"/>
                <w:szCs w:val="18"/>
              </w:rPr>
            </w:pPr>
            <w:r w:rsidRPr="005E3D9D">
              <w:rPr>
                <w:rFonts w:ascii="Aptos Narrow" w:eastAsia="Times New Roman" w:hAnsi="Aptos Narrow" w:cs="Times New Roman"/>
                <w:color w:val="9C0006"/>
                <w:sz w:val="18"/>
                <w:szCs w:val="18"/>
              </w:rPr>
              <w:t>0.11</w:t>
            </w:r>
          </w:p>
        </w:tc>
        <w:tc>
          <w:tcPr>
            <w:tcW w:w="386" w:type="pct"/>
            <w:tcBorders>
              <w:top w:val="nil"/>
              <w:left w:val="single" w:sz="4" w:space="0" w:color="7F7F7F"/>
              <w:bottom w:val="single" w:sz="4" w:space="0" w:color="7F7F7F"/>
              <w:right w:val="single" w:sz="4" w:space="0" w:color="7F7F7F"/>
            </w:tcBorders>
            <w:shd w:val="clear" w:color="000000" w:fill="F2F2F2"/>
            <w:noWrap/>
            <w:vAlign w:val="bottom"/>
            <w:hideMark/>
          </w:tcPr>
          <w:p w14:paraId="58E3F04A" w14:textId="77777777" w:rsidR="00E15874" w:rsidRPr="005E3D9D" w:rsidRDefault="00E15874" w:rsidP="00415F05">
            <w:pPr>
              <w:spacing w:after="0" w:line="240" w:lineRule="auto"/>
              <w:jc w:val="right"/>
              <w:rPr>
                <w:rFonts w:ascii="Aptos Narrow" w:eastAsia="Times New Roman" w:hAnsi="Aptos Narrow" w:cs="Times New Roman"/>
                <w:color w:val="FA7D00"/>
                <w:sz w:val="18"/>
                <w:szCs w:val="18"/>
              </w:rPr>
            </w:pPr>
            <w:r w:rsidRPr="005E3D9D">
              <w:rPr>
                <w:rFonts w:ascii="Aptos Narrow" w:eastAsia="Times New Roman" w:hAnsi="Aptos Narrow" w:cs="Times New Roman"/>
                <w:color w:val="FA7D00"/>
                <w:sz w:val="18"/>
                <w:szCs w:val="18"/>
              </w:rPr>
              <w:t>7.36</w:t>
            </w:r>
          </w:p>
        </w:tc>
      </w:tr>
      <w:tr w:rsidR="00E15874" w:rsidRPr="005E3D9D" w14:paraId="73052F15" w14:textId="77777777" w:rsidTr="00415F05">
        <w:trPr>
          <w:trHeight w:val="771"/>
        </w:trPr>
        <w:tc>
          <w:tcPr>
            <w:tcW w:w="755" w:type="pct"/>
            <w:tcBorders>
              <w:top w:val="nil"/>
              <w:left w:val="single" w:sz="4" w:space="0" w:color="A6A6A6"/>
              <w:bottom w:val="single" w:sz="4" w:space="0" w:color="A6A6A6"/>
              <w:right w:val="single" w:sz="4" w:space="0" w:color="A6A6A6"/>
            </w:tcBorders>
            <w:shd w:val="clear" w:color="000000" w:fill="156082"/>
            <w:vAlign w:val="center"/>
            <w:hideMark/>
          </w:tcPr>
          <w:p w14:paraId="266DEAAE" w14:textId="77777777" w:rsidR="00E15874" w:rsidRPr="005E3D9D" w:rsidRDefault="00E15874" w:rsidP="00415F05">
            <w:pPr>
              <w:spacing w:after="0" w:line="240" w:lineRule="auto"/>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lastRenderedPageBreak/>
              <w:t>Distance from Grid infrastructure</w:t>
            </w:r>
            <w:r w:rsidRPr="005E3D9D">
              <w:rPr>
                <w:rFonts w:ascii="Arial" w:eastAsia="Times New Roman" w:hAnsi="Arial" w:cs="Arial"/>
                <w:b/>
                <w:bCs/>
                <w:color w:val="FFFFFF"/>
                <w:sz w:val="18"/>
                <w:szCs w:val="18"/>
              </w:rPr>
              <w:t>​</w:t>
            </w:r>
          </w:p>
        </w:tc>
        <w:tc>
          <w:tcPr>
            <w:tcW w:w="302" w:type="pct"/>
            <w:tcBorders>
              <w:top w:val="nil"/>
              <w:left w:val="single" w:sz="4" w:space="0" w:color="3F3F3F"/>
              <w:bottom w:val="single" w:sz="4" w:space="0" w:color="3F3F3F"/>
              <w:right w:val="single" w:sz="4" w:space="0" w:color="3F3F3F"/>
            </w:tcBorders>
            <w:shd w:val="clear" w:color="000000" w:fill="F2F2F2"/>
            <w:noWrap/>
            <w:vAlign w:val="center"/>
            <w:hideMark/>
          </w:tcPr>
          <w:p w14:paraId="61D0D1E7"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0.10</w:t>
            </w:r>
          </w:p>
        </w:tc>
        <w:tc>
          <w:tcPr>
            <w:tcW w:w="289" w:type="pct"/>
            <w:tcBorders>
              <w:top w:val="nil"/>
              <w:left w:val="nil"/>
              <w:bottom w:val="single" w:sz="4" w:space="0" w:color="3F3F3F"/>
              <w:right w:val="single" w:sz="4" w:space="0" w:color="3F3F3F"/>
            </w:tcBorders>
            <w:shd w:val="clear" w:color="000000" w:fill="F2F2F2"/>
            <w:noWrap/>
            <w:vAlign w:val="center"/>
            <w:hideMark/>
          </w:tcPr>
          <w:p w14:paraId="231169B4"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0.07</w:t>
            </w:r>
          </w:p>
        </w:tc>
        <w:tc>
          <w:tcPr>
            <w:tcW w:w="288" w:type="pct"/>
            <w:tcBorders>
              <w:top w:val="nil"/>
              <w:left w:val="nil"/>
              <w:bottom w:val="single" w:sz="4" w:space="0" w:color="3F3F3F"/>
              <w:right w:val="single" w:sz="4" w:space="0" w:color="3F3F3F"/>
            </w:tcBorders>
            <w:shd w:val="clear" w:color="000000" w:fill="F2F2F2"/>
            <w:noWrap/>
            <w:vAlign w:val="center"/>
            <w:hideMark/>
          </w:tcPr>
          <w:p w14:paraId="6E10EF9C"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0.21</w:t>
            </w:r>
          </w:p>
        </w:tc>
        <w:tc>
          <w:tcPr>
            <w:tcW w:w="488" w:type="pct"/>
            <w:tcBorders>
              <w:top w:val="nil"/>
              <w:left w:val="nil"/>
              <w:bottom w:val="single" w:sz="4" w:space="0" w:color="3F3F3F"/>
              <w:right w:val="single" w:sz="4" w:space="0" w:color="3F3F3F"/>
            </w:tcBorders>
            <w:shd w:val="clear" w:color="000000" w:fill="F2F2F2"/>
            <w:noWrap/>
            <w:vAlign w:val="center"/>
            <w:hideMark/>
          </w:tcPr>
          <w:p w14:paraId="1AC52FFB"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0.14</w:t>
            </w:r>
          </w:p>
        </w:tc>
        <w:tc>
          <w:tcPr>
            <w:tcW w:w="379" w:type="pct"/>
            <w:tcBorders>
              <w:top w:val="nil"/>
              <w:left w:val="nil"/>
              <w:bottom w:val="single" w:sz="4" w:space="0" w:color="3F3F3F"/>
              <w:right w:val="single" w:sz="4" w:space="0" w:color="3F3F3F"/>
            </w:tcBorders>
            <w:shd w:val="clear" w:color="000000" w:fill="F2F2F2"/>
            <w:noWrap/>
            <w:vAlign w:val="center"/>
            <w:hideMark/>
          </w:tcPr>
          <w:p w14:paraId="19CE70D9"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0.17</w:t>
            </w:r>
          </w:p>
        </w:tc>
        <w:tc>
          <w:tcPr>
            <w:tcW w:w="481" w:type="pct"/>
            <w:tcBorders>
              <w:top w:val="nil"/>
              <w:left w:val="nil"/>
              <w:bottom w:val="single" w:sz="4" w:space="0" w:color="3F3F3F"/>
              <w:right w:val="single" w:sz="4" w:space="0" w:color="3F3F3F"/>
            </w:tcBorders>
            <w:shd w:val="clear" w:color="000000" w:fill="F2F2F2"/>
            <w:noWrap/>
            <w:vAlign w:val="center"/>
            <w:hideMark/>
          </w:tcPr>
          <w:p w14:paraId="1FCC054F"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0.18</w:t>
            </w:r>
          </w:p>
        </w:tc>
        <w:tc>
          <w:tcPr>
            <w:tcW w:w="481" w:type="pct"/>
            <w:tcBorders>
              <w:top w:val="nil"/>
              <w:left w:val="nil"/>
              <w:bottom w:val="single" w:sz="4" w:space="0" w:color="3F3F3F"/>
              <w:right w:val="single" w:sz="4" w:space="0" w:color="3F3F3F"/>
            </w:tcBorders>
            <w:shd w:val="clear" w:color="000000" w:fill="F2F2F2"/>
            <w:noWrap/>
            <w:vAlign w:val="center"/>
            <w:hideMark/>
          </w:tcPr>
          <w:p w14:paraId="70F45E52"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0.18</w:t>
            </w:r>
          </w:p>
        </w:tc>
        <w:tc>
          <w:tcPr>
            <w:tcW w:w="586" w:type="pct"/>
            <w:tcBorders>
              <w:top w:val="nil"/>
              <w:left w:val="single" w:sz="4" w:space="0" w:color="7F7F7F"/>
              <w:bottom w:val="single" w:sz="4" w:space="0" w:color="7F7F7F"/>
              <w:right w:val="single" w:sz="4" w:space="0" w:color="7F7F7F"/>
            </w:tcBorders>
            <w:shd w:val="clear" w:color="000000" w:fill="FFCC99"/>
            <w:noWrap/>
            <w:vAlign w:val="bottom"/>
            <w:hideMark/>
          </w:tcPr>
          <w:p w14:paraId="69D35996" w14:textId="77777777" w:rsidR="00E15874" w:rsidRPr="005E3D9D" w:rsidRDefault="00E15874" w:rsidP="00415F05">
            <w:pPr>
              <w:spacing w:after="0" w:line="240" w:lineRule="auto"/>
              <w:jc w:val="right"/>
              <w:rPr>
                <w:rFonts w:ascii="Aptos Narrow" w:eastAsia="Times New Roman" w:hAnsi="Aptos Narrow" w:cs="Times New Roman"/>
                <w:color w:val="3F3F76"/>
                <w:sz w:val="18"/>
                <w:szCs w:val="18"/>
              </w:rPr>
            </w:pPr>
            <w:r w:rsidRPr="005E3D9D">
              <w:rPr>
                <w:rFonts w:ascii="Aptos Narrow" w:eastAsia="Times New Roman" w:hAnsi="Aptos Narrow" w:cs="Times New Roman"/>
                <w:color w:val="3F3F76"/>
                <w:sz w:val="18"/>
                <w:szCs w:val="18"/>
              </w:rPr>
              <w:t>1.05</w:t>
            </w:r>
          </w:p>
        </w:tc>
        <w:tc>
          <w:tcPr>
            <w:tcW w:w="565" w:type="pct"/>
            <w:tcBorders>
              <w:top w:val="nil"/>
              <w:left w:val="single" w:sz="4" w:space="0" w:color="A6A6A6"/>
              <w:bottom w:val="single" w:sz="4" w:space="0" w:color="A6A6A6"/>
              <w:right w:val="single" w:sz="4" w:space="0" w:color="A6A6A6"/>
            </w:tcBorders>
            <w:shd w:val="clear" w:color="000000" w:fill="FFC7CE"/>
            <w:noWrap/>
            <w:vAlign w:val="bottom"/>
            <w:hideMark/>
          </w:tcPr>
          <w:p w14:paraId="6C20BB9D" w14:textId="77777777" w:rsidR="00E15874" w:rsidRPr="005E3D9D" w:rsidRDefault="00E15874" w:rsidP="00415F05">
            <w:pPr>
              <w:spacing w:after="0" w:line="240" w:lineRule="auto"/>
              <w:jc w:val="center"/>
              <w:rPr>
                <w:rFonts w:ascii="Aptos Narrow" w:eastAsia="Times New Roman" w:hAnsi="Aptos Narrow" w:cs="Times New Roman"/>
                <w:color w:val="9C0006"/>
                <w:sz w:val="18"/>
                <w:szCs w:val="18"/>
              </w:rPr>
            </w:pPr>
            <w:r w:rsidRPr="005E3D9D">
              <w:rPr>
                <w:rFonts w:ascii="Aptos Narrow" w:eastAsia="Times New Roman" w:hAnsi="Aptos Narrow" w:cs="Times New Roman"/>
                <w:color w:val="9C0006"/>
                <w:sz w:val="18"/>
                <w:szCs w:val="18"/>
              </w:rPr>
              <w:t>0.14</w:t>
            </w:r>
          </w:p>
        </w:tc>
        <w:tc>
          <w:tcPr>
            <w:tcW w:w="386" w:type="pct"/>
            <w:tcBorders>
              <w:top w:val="nil"/>
              <w:left w:val="single" w:sz="4" w:space="0" w:color="7F7F7F"/>
              <w:bottom w:val="single" w:sz="4" w:space="0" w:color="7F7F7F"/>
              <w:right w:val="single" w:sz="4" w:space="0" w:color="7F7F7F"/>
            </w:tcBorders>
            <w:shd w:val="clear" w:color="000000" w:fill="F2F2F2"/>
            <w:noWrap/>
            <w:vAlign w:val="bottom"/>
            <w:hideMark/>
          </w:tcPr>
          <w:p w14:paraId="3ECA53FF" w14:textId="77777777" w:rsidR="00E15874" w:rsidRPr="005E3D9D" w:rsidRDefault="00E15874" w:rsidP="00415F05">
            <w:pPr>
              <w:spacing w:after="0" w:line="240" w:lineRule="auto"/>
              <w:jc w:val="right"/>
              <w:rPr>
                <w:rFonts w:ascii="Aptos Narrow" w:eastAsia="Times New Roman" w:hAnsi="Aptos Narrow" w:cs="Times New Roman"/>
                <w:color w:val="FA7D00"/>
                <w:sz w:val="18"/>
                <w:szCs w:val="18"/>
              </w:rPr>
            </w:pPr>
            <w:r w:rsidRPr="005E3D9D">
              <w:rPr>
                <w:rFonts w:ascii="Aptos Narrow" w:eastAsia="Times New Roman" w:hAnsi="Aptos Narrow" w:cs="Times New Roman"/>
                <w:color w:val="FA7D00"/>
                <w:sz w:val="18"/>
                <w:szCs w:val="18"/>
              </w:rPr>
              <w:t>7.55</w:t>
            </w:r>
          </w:p>
        </w:tc>
      </w:tr>
      <w:tr w:rsidR="00E15874" w:rsidRPr="005E3D9D" w14:paraId="7C225398" w14:textId="77777777" w:rsidTr="00415F05">
        <w:trPr>
          <w:trHeight w:val="759"/>
        </w:trPr>
        <w:tc>
          <w:tcPr>
            <w:tcW w:w="755" w:type="pct"/>
            <w:tcBorders>
              <w:top w:val="nil"/>
              <w:left w:val="single" w:sz="4" w:space="0" w:color="A6A6A6"/>
              <w:bottom w:val="single" w:sz="4" w:space="0" w:color="A6A6A6"/>
              <w:right w:val="single" w:sz="4" w:space="0" w:color="A6A6A6"/>
            </w:tcBorders>
            <w:shd w:val="clear" w:color="000000" w:fill="156082"/>
            <w:vAlign w:val="center"/>
            <w:hideMark/>
          </w:tcPr>
          <w:p w14:paraId="28EC237A" w14:textId="77777777" w:rsidR="00E15874" w:rsidRPr="005E3D9D" w:rsidRDefault="00E15874" w:rsidP="00415F05">
            <w:pPr>
              <w:spacing w:after="0" w:line="240" w:lineRule="auto"/>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 xml:space="preserve">Low shipping </w:t>
            </w:r>
            <w:r w:rsidRPr="005E3D9D">
              <w:rPr>
                <w:rFonts w:ascii="Aptos Narrow" w:eastAsia="Times New Roman" w:hAnsi="Aptos Narrow" w:cs="Times New Roman"/>
                <w:b/>
                <w:bCs/>
                <w:color w:val="FFFFFF"/>
                <w:sz w:val="18"/>
                <w:szCs w:val="18"/>
              </w:rPr>
              <w:br/>
              <w:t>density</w:t>
            </w:r>
          </w:p>
        </w:tc>
        <w:tc>
          <w:tcPr>
            <w:tcW w:w="302" w:type="pct"/>
            <w:tcBorders>
              <w:top w:val="nil"/>
              <w:left w:val="single" w:sz="4" w:space="0" w:color="3F3F3F"/>
              <w:bottom w:val="single" w:sz="4" w:space="0" w:color="3F3F3F"/>
              <w:right w:val="single" w:sz="4" w:space="0" w:color="3F3F3F"/>
            </w:tcBorders>
            <w:shd w:val="clear" w:color="000000" w:fill="F2F2F2"/>
            <w:noWrap/>
            <w:vAlign w:val="center"/>
            <w:hideMark/>
          </w:tcPr>
          <w:p w14:paraId="0619DA10"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0.06</w:t>
            </w:r>
          </w:p>
        </w:tc>
        <w:tc>
          <w:tcPr>
            <w:tcW w:w="289" w:type="pct"/>
            <w:tcBorders>
              <w:top w:val="nil"/>
              <w:left w:val="nil"/>
              <w:bottom w:val="single" w:sz="4" w:space="0" w:color="3F3F3F"/>
              <w:right w:val="single" w:sz="4" w:space="0" w:color="3F3F3F"/>
            </w:tcBorders>
            <w:shd w:val="clear" w:color="000000" w:fill="F2F2F2"/>
            <w:noWrap/>
            <w:vAlign w:val="center"/>
            <w:hideMark/>
          </w:tcPr>
          <w:p w14:paraId="28CF4A04"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0.03</w:t>
            </w:r>
          </w:p>
        </w:tc>
        <w:tc>
          <w:tcPr>
            <w:tcW w:w="288" w:type="pct"/>
            <w:tcBorders>
              <w:top w:val="nil"/>
              <w:left w:val="nil"/>
              <w:bottom w:val="single" w:sz="4" w:space="0" w:color="3F3F3F"/>
              <w:right w:val="single" w:sz="4" w:space="0" w:color="3F3F3F"/>
            </w:tcBorders>
            <w:shd w:val="clear" w:color="000000" w:fill="F2F2F2"/>
            <w:noWrap/>
            <w:vAlign w:val="center"/>
            <w:hideMark/>
          </w:tcPr>
          <w:p w14:paraId="335749C1"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0.03</w:t>
            </w:r>
          </w:p>
        </w:tc>
        <w:tc>
          <w:tcPr>
            <w:tcW w:w="488" w:type="pct"/>
            <w:tcBorders>
              <w:top w:val="nil"/>
              <w:left w:val="nil"/>
              <w:bottom w:val="single" w:sz="4" w:space="0" w:color="3F3F3F"/>
              <w:right w:val="single" w:sz="4" w:space="0" w:color="3F3F3F"/>
            </w:tcBorders>
            <w:shd w:val="clear" w:color="000000" w:fill="F2F2F2"/>
            <w:noWrap/>
            <w:vAlign w:val="center"/>
            <w:hideMark/>
          </w:tcPr>
          <w:p w14:paraId="36B543D6"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0.03</w:t>
            </w:r>
          </w:p>
        </w:tc>
        <w:tc>
          <w:tcPr>
            <w:tcW w:w="379" w:type="pct"/>
            <w:tcBorders>
              <w:top w:val="nil"/>
              <w:left w:val="nil"/>
              <w:bottom w:val="single" w:sz="4" w:space="0" w:color="3F3F3F"/>
              <w:right w:val="single" w:sz="4" w:space="0" w:color="3F3F3F"/>
            </w:tcBorders>
            <w:shd w:val="clear" w:color="000000" w:fill="F2F2F2"/>
            <w:noWrap/>
            <w:vAlign w:val="center"/>
            <w:hideMark/>
          </w:tcPr>
          <w:p w14:paraId="62F83099"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0.04</w:t>
            </w:r>
          </w:p>
        </w:tc>
        <w:tc>
          <w:tcPr>
            <w:tcW w:w="481" w:type="pct"/>
            <w:tcBorders>
              <w:top w:val="nil"/>
              <w:left w:val="nil"/>
              <w:bottom w:val="single" w:sz="4" w:space="0" w:color="3F3F3F"/>
              <w:right w:val="single" w:sz="4" w:space="0" w:color="3F3F3F"/>
            </w:tcBorders>
            <w:shd w:val="clear" w:color="000000" w:fill="F2F2F2"/>
            <w:noWrap/>
            <w:vAlign w:val="center"/>
            <w:hideMark/>
          </w:tcPr>
          <w:p w14:paraId="666D3ED6"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0.08</w:t>
            </w:r>
          </w:p>
        </w:tc>
        <w:tc>
          <w:tcPr>
            <w:tcW w:w="481" w:type="pct"/>
            <w:tcBorders>
              <w:top w:val="nil"/>
              <w:left w:val="nil"/>
              <w:bottom w:val="single" w:sz="4" w:space="0" w:color="3F3F3F"/>
              <w:right w:val="single" w:sz="4" w:space="0" w:color="3F3F3F"/>
            </w:tcBorders>
            <w:shd w:val="clear" w:color="000000" w:fill="F2F2F2"/>
            <w:noWrap/>
            <w:vAlign w:val="center"/>
            <w:hideMark/>
          </w:tcPr>
          <w:p w14:paraId="08108F1B"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0.03</w:t>
            </w:r>
          </w:p>
        </w:tc>
        <w:tc>
          <w:tcPr>
            <w:tcW w:w="586" w:type="pct"/>
            <w:tcBorders>
              <w:top w:val="nil"/>
              <w:left w:val="single" w:sz="4" w:space="0" w:color="7F7F7F"/>
              <w:bottom w:val="single" w:sz="4" w:space="0" w:color="7F7F7F"/>
              <w:right w:val="single" w:sz="4" w:space="0" w:color="7F7F7F"/>
            </w:tcBorders>
            <w:shd w:val="clear" w:color="000000" w:fill="FFCC99"/>
            <w:noWrap/>
            <w:vAlign w:val="bottom"/>
            <w:hideMark/>
          </w:tcPr>
          <w:p w14:paraId="7E4EBFD8" w14:textId="77777777" w:rsidR="00E15874" w:rsidRPr="005E3D9D" w:rsidRDefault="00E15874" w:rsidP="00415F05">
            <w:pPr>
              <w:spacing w:after="0" w:line="240" w:lineRule="auto"/>
              <w:jc w:val="right"/>
              <w:rPr>
                <w:rFonts w:ascii="Aptos Narrow" w:eastAsia="Times New Roman" w:hAnsi="Aptos Narrow" w:cs="Times New Roman"/>
                <w:color w:val="3F3F76"/>
                <w:sz w:val="18"/>
                <w:szCs w:val="18"/>
              </w:rPr>
            </w:pPr>
            <w:r w:rsidRPr="005E3D9D">
              <w:rPr>
                <w:rFonts w:ascii="Aptos Narrow" w:eastAsia="Times New Roman" w:hAnsi="Aptos Narrow" w:cs="Times New Roman"/>
                <w:color w:val="3F3F76"/>
                <w:sz w:val="18"/>
                <w:szCs w:val="18"/>
              </w:rPr>
              <w:t>0.30</w:t>
            </w:r>
          </w:p>
        </w:tc>
        <w:tc>
          <w:tcPr>
            <w:tcW w:w="565" w:type="pct"/>
            <w:tcBorders>
              <w:top w:val="nil"/>
              <w:left w:val="single" w:sz="4" w:space="0" w:color="A6A6A6"/>
              <w:bottom w:val="single" w:sz="4" w:space="0" w:color="A6A6A6"/>
              <w:right w:val="single" w:sz="4" w:space="0" w:color="A6A6A6"/>
            </w:tcBorders>
            <w:shd w:val="clear" w:color="000000" w:fill="FFC7CE"/>
            <w:noWrap/>
            <w:vAlign w:val="bottom"/>
            <w:hideMark/>
          </w:tcPr>
          <w:p w14:paraId="2E22B4C9" w14:textId="77777777" w:rsidR="00E15874" w:rsidRPr="005E3D9D" w:rsidRDefault="00E15874" w:rsidP="00415F05">
            <w:pPr>
              <w:spacing w:after="0" w:line="240" w:lineRule="auto"/>
              <w:jc w:val="center"/>
              <w:rPr>
                <w:rFonts w:ascii="Aptos Narrow" w:eastAsia="Times New Roman" w:hAnsi="Aptos Narrow" w:cs="Times New Roman"/>
                <w:color w:val="9C0006"/>
                <w:sz w:val="18"/>
                <w:szCs w:val="18"/>
              </w:rPr>
            </w:pPr>
            <w:r w:rsidRPr="005E3D9D">
              <w:rPr>
                <w:rFonts w:ascii="Aptos Narrow" w:eastAsia="Times New Roman" w:hAnsi="Aptos Narrow" w:cs="Times New Roman"/>
                <w:color w:val="9C0006"/>
                <w:sz w:val="18"/>
                <w:szCs w:val="18"/>
              </w:rPr>
              <w:t>0.04</w:t>
            </w:r>
          </w:p>
        </w:tc>
        <w:tc>
          <w:tcPr>
            <w:tcW w:w="386" w:type="pct"/>
            <w:tcBorders>
              <w:top w:val="nil"/>
              <w:left w:val="single" w:sz="4" w:space="0" w:color="7F7F7F"/>
              <w:bottom w:val="single" w:sz="4" w:space="0" w:color="7F7F7F"/>
              <w:right w:val="single" w:sz="4" w:space="0" w:color="7F7F7F"/>
            </w:tcBorders>
            <w:shd w:val="clear" w:color="000000" w:fill="F2F2F2"/>
            <w:noWrap/>
            <w:vAlign w:val="bottom"/>
            <w:hideMark/>
          </w:tcPr>
          <w:p w14:paraId="047E4B7B" w14:textId="77777777" w:rsidR="00E15874" w:rsidRPr="005E3D9D" w:rsidRDefault="00E15874" w:rsidP="00415F05">
            <w:pPr>
              <w:spacing w:after="0" w:line="240" w:lineRule="auto"/>
              <w:jc w:val="right"/>
              <w:rPr>
                <w:rFonts w:ascii="Aptos Narrow" w:eastAsia="Times New Roman" w:hAnsi="Aptos Narrow" w:cs="Times New Roman"/>
                <w:color w:val="FA7D00"/>
                <w:sz w:val="18"/>
                <w:szCs w:val="18"/>
              </w:rPr>
            </w:pPr>
            <w:r w:rsidRPr="005E3D9D">
              <w:rPr>
                <w:rFonts w:ascii="Aptos Narrow" w:eastAsia="Times New Roman" w:hAnsi="Aptos Narrow" w:cs="Times New Roman"/>
                <w:color w:val="FA7D00"/>
                <w:sz w:val="18"/>
                <w:szCs w:val="18"/>
              </w:rPr>
              <w:t>7.11</w:t>
            </w:r>
          </w:p>
        </w:tc>
      </w:tr>
      <w:tr w:rsidR="00E15874" w:rsidRPr="005E3D9D" w14:paraId="53C98C7F" w14:textId="77777777" w:rsidTr="00415F05">
        <w:trPr>
          <w:trHeight w:val="840"/>
        </w:trPr>
        <w:tc>
          <w:tcPr>
            <w:tcW w:w="755" w:type="pct"/>
            <w:tcBorders>
              <w:top w:val="nil"/>
              <w:left w:val="single" w:sz="4" w:space="0" w:color="A6A6A6"/>
              <w:bottom w:val="single" w:sz="4" w:space="0" w:color="A6A6A6"/>
              <w:right w:val="single" w:sz="4" w:space="0" w:color="A6A6A6"/>
            </w:tcBorders>
            <w:shd w:val="clear" w:color="000000" w:fill="156082"/>
            <w:vAlign w:val="center"/>
            <w:hideMark/>
          </w:tcPr>
          <w:p w14:paraId="4BEDEAF9" w14:textId="77777777" w:rsidR="00E15874" w:rsidRPr="005E3D9D" w:rsidRDefault="00E15874" w:rsidP="00415F05">
            <w:pPr>
              <w:spacing w:after="0" w:line="240" w:lineRule="auto"/>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Distance from Tourism &amp; Conservation</w:t>
            </w:r>
            <w:r w:rsidRPr="005E3D9D">
              <w:rPr>
                <w:rFonts w:ascii="Arial" w:eastAsia="Times New Roman" w:hAnsi="Arial" w:cs="Arial"/>
                <w:b/>
                <w:bCs/>
                <w:color w:val="FFFFFF"/>
                <w:sz w:val="18"/>
                <w:szCs w:val="18"/>
              </w:rPr>
              <w:t>​</w:t>
            </w:r>
          </w:p>
        </w:tc>
        <w:tc>
          <w:tcPr>
            <w:tcW w:w="302" w:type="pct"/>
            <w:tcBorders>
              <w:top w:val="nil"/>
              <w:left w:val="single" w:sz="4" w:space="0" w:color="3F3F3F"/>
              <w:bottom w:val="single" w:sz="4" w:space="0" w:color="3F3F3F"/>
              <w:right w:val="single" w:sz="4" w:space="0" w:color="3F3F3F"/>
            </w:tcBorders>
            <w:shd w:val="clear" w:color="000000" w:fill="F2F2F2"/>
            <w:noWrap/>
            <w:vAlign w:val="center"/>
            <w:hideMark/>
          </w:tcPr>
          <w:p w14:paraId="015C3CEF"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0.05</w:t>
            </w:r>
          </w:p>
        </w:tc>
        <w:tc>
          <w:tcPr>
            <w:tcW w:w="289" w:type="pct"/>
            <w:tcBorders>
              <w:top w:val="nil"/>
              <w:left w:val="nil"/>
              <w:bottom w:val="single" w:sz="4" w:space="0" w:color="3F3F3F"/>
              <w:right w:val="single" w:sz="4" w:space="0" w:color="3F3F3F"/>
            </w:tcBorders>
            <w:shd w:val="clear" w:color="000000" w:fill="F2F2F2"/>
            <w:noWrap/>
            <w:vAlign w:val="center"/>
            <w:hideMark/>
          </w:tcPr>
          <w:p w14:paraId="4A9A5492"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0.04</w:t>
            </w:r>
          </w:p>
        </w:tc>
        <w:tc>
          <w:tcPr>
            <w:tcW w:w="288" w:type="pct"/>
            <w:tcBorders>
              <w:top w:val="nil"/>
              <w:left w:val="nil"/>
              <w:bottom w:val="single" w:sz="4" w:space="0" w:color="3F3F3F"/>
              <w:right w:val="single" w:sz="4" w:space="0" w:color="3F3F3F"/>
            </w:tcBorders>
            <w:shd w:val="clear" w:color="000000" w:fill="F2F2F2"/>
            <w:noWrap/>
            <w:vAlign w:val="center"/>
            <w:hideMark/>
          </w:tcPr>
          <w:p w14:paraId="1DAB4447"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0.02</w:t>
            </w:r>
          </w:p>
        </w:tc>
        <w:tc>
          <w:tcPr>
            <w:tcW w:w="488" w:type="pct"/>
            <w:tcBorders>
              <w:top w:val="nil"/>
              <w:left w:val="nil"/>
              <w:bottom w:val="single" w:sz="4" w:space="0" w:color="3F3F3F"/>
              <w:right w:val="single" w:sz="4" w:space="0" w:color="3F3F3F"/>
            </w:tcBorders>
            <w:shd w:val="clear" w:color="000000" w:fill="F2F2F2"/>
            <w:noWrap/>
            <w:vAlign w:val="center"/>
            <w:hideMark/>
          </w:tcPr>
          <w:p w14:paraId="4E671190"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0.02</w:t>
            </w:r>
          </w:p>
        </w:tc>
        <w:tc>
          <w:tcPr>
            <w:tcW w:w="379" w:type="pct"/>
            <w:tcBorders>
              <w:top w:val="nil"/>
              <w:left w:val="nil"/>
              <w:bottom w:val="single" w:sz="4" w:space="0" w:color="3F3F3F"/>
              <w:right w:val="single" w:sz="4" w:space="0" w:color="3F3F3F"/>
            </w:tcBorders>
            <w:shd w:val="clear" w:color="000000" w:fill="F2F2F2"/>
            <w:noWrap/>
            <w:vAlign w:val="center"/>
            <w:hideMark/>
          </w:tcPr>
          <w:p w14:paraId="63199CE0"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0.01</w:t>
            </w:r>
          </w:p>
        </w:tc>
        <w:tc>
          <w:tcPr>
            <w:tcW w:w="481" w:type="pct"/>
            <w:tcBorders>
              <w:top w:val="nil"/>
              <w:left w:val="nil"/>
              <w:bottom w:val="single" w:sz="4" w:space="0" w:color="3F3F3F"/>
              <w:right w:val="single" w:sz="4" w:space="0" w:color="3F3F3F"/>
            </w:tcBorders>
            <w:shd w:val="clear" w:color="000000" w:fill="F2F2F2"/>
            <w:noWrap/>
            <w:vAlign w:val="center"/>
            <w:hideMark/>
          </w:tcPr>
          <w:p w14:paraId="68A415DD"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0.03</w:t>
            </w:r>
          </w:p>
        </w:tc>
        <w:tc>
          <w:tcPr>
            <w:tcW w:w="481" w:type="pct"/>
            <w:tcBorders>
              <w:top w:val="nil"/>
              <w:left w:val="nil"/>
              <w:bottom w:val="single" w:sz="4" w:space="0" w:color="3F3F3F"/>
              <w:right w:val="single" w:sz="4" w:space="0" w:color="3F3F3F"/>
            </w:tcBorders>
            <w:shd w:val="clear" w:color="000000" w:fill="F2F2F2"/>
            <w:noWrap/>
            <w:vAlign w:val="center"/>
            <w:hideMark/>
          </w:tcPr>
          <w:p w14:paraId="79E7ACFA"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0.02</w:t>
            </w:r>
          </w:p>
        </w:tc>
        <w:tc>
          <w:tcPr>
            <w:tcW w:w="586" w:type="pct"/>
            <w:tcBorders>
              <w:top w:val="nil"/>
              <w:left w:val="single" w:sz="4" w:space="0" w:color="7F7F7F"/>
              <w:bottom w:val="single" w:sz="4" w:space="0" w:color="7F7F7F"/>
              <w:right w:val="single" w:sz="4" w:space="0" w:color="7F7F7F"/>
            </w:tcBorders>
            <w:shd w:val="clear" w:color="000000" w:fill="FFCC99"/>
            <w:noWrap/>
            <w:vAlign w:val="bottom"/>
            <w:hideMark/>
          </w:tcPr>
          <w:p w14:paraId="47E3F006" w14:textId="77777777" w:rsidR="00E15874" w:rsidRPr="005E3D9D" w:rsidRDefault="00E15874" w:rsidP="00415F05">
            <w:pPr>
              <w:spacing w:after="0" w:line="240" w:lineRule="auto"/>
              <w:jc w:val="right"/>
              <w:rPr>
                <w:rFonts w:ascii="Aptos Narrow" w:eastAsia="Times New Roman" w:hAnsi="Aptos Narrow" w:cs="Times New Roman"/>
                <w:color w:val="3F3F76"/>
                <w:sz w:val="18"/>
                <w:szCs w:val="18"/>
              </w:rPr>
            </w:pPr>
            <w:r w:rsidRPr="005E3D9D">
              <w:rPr>
                <w:rFonts w:ascii="Aptos Narrow" w:eastAsia="Times New Roman" w:hAnsi="Aptos Narrow" w:cs="Times New Roman"/>
                <w:color w:val="3F3F76"/>
                <w:sz w:val="18"/>
                <w:szCs w:val="18"/>
              </w:rPr>
              <w:t>0.19</w:t>
            </w:r>
          </w:p>
        </w:tc>
        <w:tc>
          <w:tcPr>
            <w:tcW w:w="565" w:type="pct"/>
            <w:tcBorders>
              <w:top w:val="nil"/>
              <w:left w:val="single" w:sz="4" w:space="0" w:color="A6A6A6"/>
              <w:bottom w:val="single" w:sz="4" w:space="0" w:color="A6A6A6"/>
              <w:right w:val="single" w:sz="4" w:space="0" w:color="A6A6A6"/>
            </w:tcBorders>
            <w:shd w:val="clear" w:color="000000" w:fill="FFC7CE"/>
            <w:noWrap/>
            <w:vAlign w:val="bottom"/>
            <w:hideMark/>
          </w:tcPr>
          <w:p w14:paraId="0E7C041A" w14:textId="77777777" w:rsidR="00E15874" w:rsidRPr="005E3D9D" w:rsidRDefault="00E15874" w:rsidP="00415F05">
            <w:pPr>
              <w:spacing w:after="0" w:line="240" w:lineRule="auto"/>
              <w:jc w:val="center"/>
              <w:rPr>
                <w:rFonts w:ascii="Aptos Narrow" w:eastAsia="Times New Roman" w:hAnsi="Aptos Narrow" w:cs="Times New Roman"/>
                <w:color w:val="9C0006"/>
                <w:sz w:val="18"/>
                <w:szCs w:val="18"/>
              </w:rPr>
            </w:pPr>
            <w:r w:rsidRPr="005E3D9D">
              <w:rPr>
                <w:rFonts w:ascii="Aptos Narrow" w:eastAsia="Times New Roman" w:hAnsi="Aptos Narrow" w:cs="Times New Roman"/>
                <w:color w:val="9C0006"/>
                <w:sz w:val="18"/>
                <w:szCs w:val="18"/>
              </w:rPr>
              <w:t>0.03</w:t>
            </w:r>
          </w:p>
        </w:tc>
        <w:tc>
          <w:tcPr>
            <w:tcW w:w="386" w:type="pct"/>
            <w:tcBorders>
              <w:top w:val="nil"/>
              <w:left w:val="single" w:sz="4" w:space="0" w:color="7F7F7F"/>
              <w:bottom w:val="single" w:sz="4" w:space="0" w:color="7F7F7F"/>
              <w:right w:val="single" w:sz="4" w:space="0" w:color="7F7F7F"/>
            </w:tcBorders>
            <w:shd w:val="clear" w:color="000000" w:fill="F2F2F2"/>
            <w:noWrap/>
            <w:vAlign w:val="bottom"/>
            <w:hideMark/>
          </w:tcPr>
          <w:p w14:paraId="46B61ED4" w14:textId="77777777" w:rsidR="00E15874" w:rsidRPr="005E3D9D" w:rsidRDefault="00E15874" w:rsidP="00415F05">
            <w:pPr>
              <w:spacing w:after="0" w:line="240" w:lineRule="auto"/>
              <w:jc w:val="right"/>
              <w:rPr>
                <w:rFonts w:ascii="Aptos Narrow" w:eastAsia="Times New Roman" w:hAnsi="Aptos Narrow" w:cs="Times New Roman"/>
                <w:color w:val="FA7D00"/>
                <w:sz w:val="18"/>
                <w:szCs w:val="18"/>
              </w:rPr>
            </w:pPr>
            <w:r w:rsidRPr="005E3D9D">
              <w:rPr>
                <w:rFonts w:ascii="Aptos Narrow" w:eastAsia="Times New Roman" w:hAnsi="Aptos Narrow" w:cs="Times New Roman"/>
                <w:color w:val="FA7D00"/>
                <w:sz w:val="18"/>
                <w:szCs w:val="18"/>
              </w:rPr>
              <w:t>7.46</w:t>
            </w:r>
          </w:p>
        </w:tc>
      </w:tr>
      <w:tr w:rsidR="00E15874" w:rsidRPr="005E3D9D" w14:paraId="4672C0F6" w14:textId="77777777" w:rsidTr="00415F05">
        <w:trPr>
          <w:trHeight w:val="759"/>
        </w:trPr>
        <w:tc>
          <w:tcPr>
            <w:tcW w:w="755" w:type="pct"/>
            <w:tcBorders>
              <w:top w:val="nil"/>
              <w:left w:val="single" w:sz="4" w:space="0" w:color="A6A6A6"/>
              <w:bottom w:val="single" w:sz="4" w:space="0" w:color="A6A6A6"/>
              <w:right w:val="single" w:sz="4" w:space="0" w:color="A6A6A6"/>
            </w:tcBorders>
            <w:shd w:val="clear" w:color="000000" w:fill="156082"/>
            <w:vAlign w:val="center"/>
            <w:hideMark/>
          </w:tcPr>
          <w:p w14:paraId="761FCA09" w14:textId="77777777" w:rsidR="00E15874" w:rsidRPr="005E3D9D" w:rsidRDefault="00E15874" w:rsidP="00415F05">
            <w:pPr>
              <w:spacing w:after="0" w:line="240" w:lineRule="auto"/>
              <w:rPr>
                <w:rFonts w:ascii="Aptos Narrow" w:eastAsia="Times New Roman" w:hAnsi="Aptos Narrow" w:cs="Times New Roman"/>
                <w:b/>
                <w:bCs/>
                <w:color w:val="FFFFFF"/>
                <w:sz w:val="18"/>
                <w:szCs w:val="18"/>
              </w:rPr>
            </w:pPr>
            <w:r w:rsidRPr="005E3D9D">
              <w:rPr>
                <w:rFonts w:ascii="Aptos Narrow" w:eastAsia="Times New Roman" w:hAnsi="Aptos Narrow" w:cs="Times New Roman"/>
                <w:b/>
                <w:bCs/>
                <w:color w:val="FFFFFF"/>
                <w:sz w:val="18"/>
                <w:szCs w:val="18"/>
              </w:rPr>
              <w:t>Distance from Aviation Radars</w:t>
            </w:r>
          </w:p>
        </w:tc>
        <w:tc>
          <w:tcPr>
            <w:tcW w:w="302" w:type="pct"/>
            <w:tcBorders>
              <w:top w:val="nil"/>
              <w:left w:val="single" w:sz="4" w:space="0" w:color="3F3F3F"/>
              <w:bottom w:val="single" w:sz="4" w:space="0" w:color="3F3F3F"/>
              <w:right w:val="single" w:sz="4" w:space="0" w:color="3F3F3F"/>
            </w:tcBorders>
            <w:shd w:val="clear" w:color="000000" w:fill="F2F2F2"/>
            <w:noWrap/>
            <w:vAlign w:val="center"/>
            <w:hideMark/>
          </w:tcPr>
          <w:p w14:paraId="3C96BCAC"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0.08</w:t>
            </w:r>
          </w:p>
        </w:tc>
        <w:tc>
          <w:tcPr>
            <w:tcW w:w="289" w:type="pct"/>
            <w:tcBorders>
              <w:top w:val="nil"/>
              <w:left w:val="nil"/>
              <w:bottom w:val="single" w:sz="4" w:space="0" w:color="3F3F3F"/>
              <w:right w:val="single" w:sz="4" w:space="0" w:color="3F3F3F"/>
            </w:tcBorders>
            <w:shd w:val="clear" w:color="000000" w:fill="F2F2F2"/>
            <w:noWrap/>
            <w:vAlign w:val="center"/>
            <w:hideMark/>
          </w:tcPr>
          <w:p w14:paraId="7DD0E0A2"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0.06</w:t>
            </w:r>
          </w:p>
        </w:tc>
        <w:tc>
          <w:tcPr>
            <w:tcW w:w="288" w:type="pct"/>
            <w:tcBorders>
              <w:top w:val="nil"/>
              <w:left w:val="nil"/>
              <w:bottom w:val="single" w:sz="4" w:space="0" w:color="3F3F3F"/>
              <w:right w:val="single" w:sz="4" w:space="0" w:color="3F3F3F"/>
            </w:tcBorders>
            <w:shd w:val="clear" w:color="000000" w:fill="F2F2F2"/>
            <w:noWrap/>
            <w:vAlign w:val="center"/>
            <w:hideMark/>
          </w:tcPr>
          <w:p w14:paraId="51469200"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0.04</w:t>
            </w:r>
          </w:p>
        </w:tc>
        <w:tc>
          <w:tcPr>
            <w:tcW w:w="488" w:type="pct"/>
            <w:tcBorders>
              <w:top w:val="nil"/>
              <w:left w:val="nil"/>
              <w:bottom w:val="single" w:sz="4" w:space="0" w:color="3F3F3F"/>
              <w:right w:val="single" w:sz="4" w:space="0" w:color="3F3F3F"/>
            </w:tcBorders>
            <w:shd w:val="clear" w:color="000000" w:fill="F2F2F2"/>
            <w:noWrap/>
            <w:vAlign w:val="center"/>
            <w:hideMark/>
          </w:tcPr>
          <w:p w14:paraId="1B5BDA40"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0.05</w:t>
            </w:r>
          </w:p>
        </w:tc>
        <w:tc>
          <w:tcPr>
            <w:tcW w:w="379" w:type="pct"/>
            <w:tcBorders>
              <w:top w:val="nil"/>
              <w:left w:val="nil"/>
              <w:bottom w:val="single" w:sz="4" w:space="0" w:color="3F3F3F"/>
              <w:right w:val="single" w:sz="4" w:space="0" w:color="3F3F3F"/>
            </w:tcBorders>
            <w:shd w:val="clear" w:color="000000" w:fill="F2F2F2"/>
            <w:noWrap/>
            <w:vAlign w:val="center"/>
            <w:hideMark/>
          </w:tcPr>
          <w:p w14:paraId="2DD09155"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0.08</w:t>
            </w:r>
          </w:p>
        </w:tc>
        <w:tc>
          <w:tcPr>
            <w:tcW w:w="481" w:type="pct"/>
            <w:tcBorders>
              <w:top w:val="nil"/>
              <w:left w:val="nil"/>
              <w:bottom w:val="single" w:sz="4" w:space="0" w:color="3F3F3F"/>
              <w:right w:val="single" w:sz="4" w:space="0" w:color="3F3F3F"/>
            </w:tcBorders>
            <w:shd w:val="clear" w:color="000000" w:fill="F2F2F2"/>
            <w:noWrap/>
            <w:vAlign w:val="center"/>
            <w:hideMark/>
          </w:tcPr>
          <w:p w14:paraId="356439AE"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0.08</w:t>
            </w:r>
          </w:p>
        </w:tc>
        <w:tc>
          <w:tcPr>
            <w:tcW w:w="481" w:type="pct"/>
            <w:tcBorders>
              <w:top w:val="nil"/>
              <w:left w:val="nil"/>
              <w:bottom w:val="single" w:sz="4" w:space="0" w:color="3F3F3F"/>
              <w:right w:val="single" w:sz="4" w:space="0" w:color="3F3F3F"/>
            </w:tcBorders>
            <w:shd w:val="clear" w:color="000000" w:fill="F2F2F2"/>
            <w:noWrap/>
            <w:vAlign w:val="center"/>
            <w:hideMark/>
          </w:tcPr>
          <w:p w14:paraId="61058CD8" w14:textId="77777777" w:rsidR="00E15874" w:rsidRPr="005E3D9D" w:rsidRDefault="00E15874" w:rsidP="00415F05">
            <w:pPr>
              <w:spacing w:after="0" w:line="240" w:lineRule="auto"/>
              <w:jc w:val="center"/>
              <w:rPr>
                <w:rFonts w:ascii="Aptos Narrow" w:eastAsia="Times New Roman" w:hAnsi="Aptos Narrow" w:cs="Times New Roman"/>
                <w:color w:val="3F3F3F"/>
                <w:sz w:val="18"/>
                <w:szCs w:val="18"/>
              </w:rPr>
            </w:pPr>
            <w:r w:rsidRPr="005E3D9D">
              <w:rPr>
                <w:rFonts w:ascii="Aptos Narrow" w:eastAsia="Times New Roman" w:hAnsi="Aptos Narrow" w:cs="Times New Roman"/>
                <w:color w:val="3F3F3F"/>
                <w:sz w:val="18"/>
                <w:szCs w:val="18"/>
              </w:rPr>
              <w:t>0.06</w:t>
            </w:r>
          </w:p>
        </w:tc>
        <w:tc>
          <w:tcPr>
            <w:tcW w:w="586" w:type="pct"/>
            <w:tcBorders>
              <w:top w:val="nil"/>
              <w:left w:val="single" w:sz="4" w:space="0" w:color="7F7F7F"/>
              <w:bottom w:val="single" w:sz="4" w:space="0" w:color="7F7F7F"/>
              <w:right w:val="single" w:sz="4" w:space="0" w:color="7F7F7F"/>
            </w:tcBorders>
            <w:shd w:val="clear" w:color="000000" w:fill="FFCC99"/>
            <w:noWrap/>
            <w:vAlign w:val="bottom"/>
            <w:hideMark/>
          </w:tcPr>
          <w:p w14:paraId="2CF922FF" w14:textId="77777777" w:rsidR="00E15874" w:rsidRPr="005E3D9D" w:rsidRDefault="00E15874" w:rsidP="00415F05">
            <w:pPr>
              <w:spacing w:after="0" w:line="240" w:lineRule="auto"/>
              <w:jc w:val="right"/>
              <w:rPr>
                <w:rFonts w:ascii="Aptos Narrow" w:eastAsia="Times New Roman" w:hAnsi="Aptos Narrow" w:cs="Times New Roman"/>
                <w:color w:val="3F3F76"/>
                <w:sz w:val="18"/>
                <w:szCs w:val="18"/>
              </w:rPr>
            </w:pPr>
            <w:r w:rsidRPr="005E3D9D">
              <w:rPr>
                <w:rFonts w:ascii="Aptos Narrow" w:eastAsia="Times New Roman" w:hAnsi="Aptos Narrow" w:cs="Times New Roman"/>
                <w:color w:val="3F3F76"/>
                <w:sz w:val="18"/>
                <w:szCs w:val="18"/>
              </w:rPr>
              <w:t>0.44</w:t>
            </w:r>
          </w:p>
        </w:tc>
        <w:tc>
          <w:tcPr>
            <w:tcW w:w="565" w:type="pct"/>
            <w:tcBorders>
              <w:top w:val="nil"/>
              <w:left w:val="single" w:sz="4" w:space="0" w:color="A6A6A6"/>
              <w:bottom w:val="single" w:sz="4" w:space="0" w:color="A6A6A6"/>
              <w:right w:val="single" w:sz="4" w:space="0" w:color="A6A6A6"/>
            </w:tcBorders>
            <w:shd w:val="clear" w:color="000000" w:fill="FFC7CE"/>
            <w:noWrap/>
            <w:vAlign w:val="bottom"/>
            <w:hideMark/>
          </w:tcPr>
          <w:p w14:paraId="6CC05305" w14:textId="77777777" w:rsidR="00E15874" w:rsidRPr="005E3D9D" w:rsidRDefault="00E15874" w:rsidP="00415F05">
            <w:pPr>
              <w:spacing w:after="0" w:line="240" w:lineRule="auto"/>
              <w:jc w:val="center"/>
              <w:rPr>
                <w:rFonts w:ascii="Aptos Narrow" w:eastAsia="Times New Roman" w:hAnsi="Aptos Narrow" w:cs="Times New Roman"/>
                <w:color w:val="9C0006"/>
                <w:sz w:val="18"/>
                <w:szCs w:val="18"/>
              </w:rPr>
            </w:pPr>
            <w:r w:rsidRPr="005E3D9D">
              <w:rPr>
                <w:rFonts w:ascii="Aptos Narrow" w:eastAsia="Times New Roman" w:hAnsi="Aptos Narrow" w:cs="Times New Roman"/>
                <w:color w:val="9C0006"/>
                <w:sz w:val="18"/>
                <w:szCs w:val="18"/>
              </w:rPr>
              <w:t>0.06</w:t>
            </w:r>
          </w:p>
        </w:tc>
        <w:tc>
          <w:tcPr>
            <w:tcW w:w="386" w:type="pct"/>
            <w:tcBorders>
              <w:top w:val="nil"/>
              <w:left w:val="single" w:sz="4" w:space="0" w:color="7F7F7F"/>
              <w:bottom w:val="single" w:sz="4" w:space="0" w:color="7F7F7F"/>
              <w:right w:val="single" w:sz="4" w:space="0" w:color="7F7F7F"/>
            </w:tcBorders>
            <w:shd w:val="clear" w:color="000000" w:fill="F2F2F2"/>
            <w:noWrap/>
            <w:vAlign w:val="bottom"/>
            <w:hideMark/>
          </w:tcPr>
          <w:p w14:paraId="293DE479" w14:textId="77777777" w:rsidR="00E15874" w:rsidRPr="005E3D9D" w:rsidRDefault="00E15874" w:rsidP="00415F05">
            <w:pPr>
              <w:spacing w:after="0" w:line="240" w:lineRule="auto"/>
              <w:jc w:val="right"/>
              <w:rPr>
                <w:rFonts w:ascii="Aptos Narrow" w:eastAsia="Times New Roman" w:hAnsi="Aptos Narrow" w:cs="Times New Roman"/>
                <w:color w:val="FA7D00"/>
                <w:sz w:val="18"/>
                <w:szCs w:val="18"/>
              </w:rPr>
            </w:pPr>
            <w:r w:rsidRPr="005E3D9D">
              <w:rPr>
                <w:rFonts w:ascii="Aptos Narrow" w:eastAsia="Times New Roman" w:hAnsi="Aptos Narrow" w:cs="Times New Roman"/>
                <w:color w:val="FA7D00"/>
                <w:sz w:val="18"/>
                <w:szCs w:val="18"/>
              </w:rPr>
              <w:t>7.29</w:t>
            </w:r>
          </w:p>
        </w:tc>
      </w:tr>
    </w:tbl>
    <w:p w14:paraId="3B617063" w14:textId="77777777" w:rsidR="00E15874" w:rsidRDefault="00E15874" w:rsidP="00E15874">
      <w:pPr>
        <w:pStyle w:val="EndNoteBibliography"/>
        <w:rPr>
          <w:rFonts w:eastAsia="Calibri"/>
        </w:rPr>
      </w:pPr>
    </w:p>
    <w:p w14:paraId="242169B2" w14:textId="77777777" w:rsidR="00E15874" w:rsidRDefault="00E15874" w:rsidP="00E15874">
      <w:pPr>
        <w:pStyle w:val="Caption"/>
        <w:keepNext/>
      </w:pPr>
      <w:r>
        <w:t xml:space="preserve">Table B3: </w:t>
      </w:r>
      <w:r w:rsidRPr="0066266D">
        <w:t xml:space="preserve">Calculating consistency </w:t>
      </w:r>
      <w:r>
        <w:t>ratio</w:t>
      </w:r>
    </w:p>
    <w:tbl>
      <w:tblPr>
        <w:tblStyle w:val="PlainTable2"/>
        <w:tblW w:w="8190" w:type="dxa"/>
        <w:tblLook w:val="04A0" w:firstRow="1" w:lastRow="0" w:firstColumn="1" w:lastColumn="0" w:noHBand="0" w:noVBand="1"/>
      </w:tblPr>
      <w:tblGrid>
        <w:gridCol w:w="4089"/>
        <w:gridCol w:w="4101"/>
      </w:tblGrid>
      <w:tr w:rsidR="00E15874" w:rsidRPr="005E3D9D" w14:paraId="6FD06563" w14:textId="77777777" w:rsidTr="00415F05">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4089" w:type="dxa"/>
            <w:noWrap/>
            <w:hideMark/>
          </w:tcPr>
          <w:p w14:paraId="30E0A270" w14:textId="77777777" w:rsidR="00E15874" w:rsidRPr="005E3D9D" w:rsidRDefault="00E15874" w:rsidP="00415F05">
            <w:pPr>
              <w:rPr>
                <w:rFonts w:ascii="Aptos Narrow" w:eastAsia="Times New Roman" w:hAnsi="Aptos Narrow" w:cs="Times New Roman"/>
                <w:color w:val="9C5700"/>
              </w:rPr>
            </w:pPr>
            <w:r w:rsidRPr="005E3D9D">
              <w:rPr>
                <w:rFonts w:ascii="Aptos Narrow" w:eastAsia="Times New Roman" w:hAnsi="Aptos Narrow" w:cs="Times New Roman"/>
                <w:color w:val="9C5700"/>
              </w:rPr>
              <w:t>Number of criteria (n)</w:t>
            </w:r>
          </w:p>
        </w:tc>
        <w:tc>
          <w:tcPr>
            <w:tcW w:w="4101" w:type="dxa"/>
            <w:noWrap/>
            <w:hideMark/>
          </w:tcPr>
          <w:p w14:paraId="34C4752F" w14:textId="77777777" w:rsidR="00E15874" w:rsidRPr="005E3D9D" w:rsidRDefault="00E15874" w:rsidP="00415F05">
            <w:pPr>
              <w:jc w:val="righ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9C5700"/>
              </w:rPr>
            </w:pPr>
            <w:r w:rsidRPr="005E3D9D">
              <w:rPr>
                <w:rFonts w:ascii="Aptos Narrow" w:eastAsia="Times New Roman" w:hAnsi="Aptos Narrow" w:cs="Times New Roman"/>
                <w:color w:val="9C5700"/>
              </w:rPr>
              <w:t>7</w:t>
            </w:r>
          </w:p>
        </w:tc>
      </w:tr>
      <w:tr w:rsidR="00E15874" w:rsidRPr="005E3D9D" w14:paraId="35A8B79F" w14:textId="77777777" w:rsidTr="00415F05">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4089" w:type="dxa"/>
            <w:noWrap/>
            <w:hideMark/>
          </w:tcPr>
          <w:p w14:paraId="28CE7496" w14:textId="77777777" w:rsidR="00E15874" w:rsidRPr="005E3D9D" w:rsidRDefault="00E15874" w:rsidP="00415F05">
            <w:pPr>
              <w:rPr>
                <w:rFonts w:ascii="Aptos Narrow" w:eastAsia="Times New Roman" w:hAnsi="Aptos Narrow" w:cs="Times New Roman"/>
                <w:color w:val="3F3F3F"/>
              </w:rPr>
            </w:pPr>
            <w:r w:rsidRPr="005E3D9D">
              <w:rPr>
                <w:rFonts w:ascii="Aptos Narrow" w:eastAsia="Times New Roman" w:hAnsi="Aptos Narrow" w:cs="Times New Roman"/>
                <w:color w:val="3F3F3F"/>
              </w:rPr>
              <w:t>Lambda</w:t>
            </w:r>
          </w:p>
        </w:tc>
        <w:tc>
          <w:tcPr>
            <w:tcW w:w="4101" w:type="dxa"/>
            <w:noWrap/>
            <w:hideMark/>
          </w:tcPr>
          <w:p w14:paraId="135B6E72" w14:textId="77777777" w:rsidR="00E15874" w:rsidRPr="005E3D9D" w:rsidRDefault="00E15874" w:rsidP="00415F05">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3F3F3F"/>
              </w:rPr>
            </w:pPr>
            <w:r w:rsidRPr="005E3D9D">
              <w:rPr>
                <w:rFonts w:ascii="Aptos Narrow" w:eastAsia="Times New Roman" w:hAnsi="Aptos Narrow" w:cs="Times New Roman"/>
                <w:color w:val="3F3F3F"/>
              </w:rPr>
              <w:t>7.6386</w:t>
            </w:r>
          </w:p>
        </w:tc>
      </w:tr>
      <w:tr w:rsidR="00E15874" w:rsidRPr="005E3D9D" w14:paraId="7D9CB262" w14:textId="77777777" w:rsidTr="00415F05">
        <w:trPr>
          <w:trHeight w:val="411"/>
        </w:trPr>
        <w:tc>
          <w:tcPr>
            <w:cnfStyle w:val="001000000000" w:firstRow="0" w:lastRow="0" w:firstColumn="1" w:lastColumn="0" w:oddVBand="0" w:evenVBand="0" w:oddHBand="0" w:evenHBand="0" w:firstRowFirstColumn="0" w:firstRowLastColumn="0" w:lastRowFirstColumn="0" w:lastRowLastColumn="0"/>
            <w:tcW w:w="4089" w:type="dxa"/>
            <w:noWrap/>
            <w:hideMark/>
          </w:tcPr>
          <w:p w14:paraId="24992F0C" w14:textId="77777777" w:rsidR="00E15874" w:rsidRPr="005E3D9D" w:rsidRDefault="00E15874" w:rsidP="00415F05">
            <w:pPr>
              <w:rPr>
                <w:rFonts w:ascii="Aptos Narrow" w:eastAsia="Times New Roman" w:hAnsi="Aptos Narrow" w:cs="Times New Roman"/>
                <w:color w:val="3F3F3F"/>
              </w:rPr>
            </w:pPr>
            <w:r w:rsidRPr="005E3D9D">
              <w:rPr>
                <w:rFonts w:ascii="Aptos Narrow" w:eastAsia="Times New Roman" w:hAnsi="Aptos Narrow" w:cs="Times New Roman"/>
                <w:color w:val="3F3F3F"/>
              </w:rPr>
              <w:t>Consistency Index (C.I.)</w:t>
            </w:r>
          </w:p>
        </w:tc>
        <w:tc>
          <w:tcPr>
            <w:tcW w:w="4101" w:type="dxa"/>
            <w:noWrap/>
            <w:hideMark/>
          </w:tcPr>
          <w:p w14:paraId="23AEA27F" w14:textId="77777777" w:rsidR="00E15874" w:rsidRPr="005E3D9D" w:rsidRDefault="00E15874" w:rsidP="00415F05">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3F3F3F"/>
              </w:rPr>
            </w:pPr>
            <w:r w:rsidRPr="005E3D9D">
              <w:rPr>
                <w:rFonts w:ascii="Aptos Narrow" w:eastAsia="Times New Roman" w:hAnsi="Aptos Narrow" w:cs="Times New Roman"/>
                <w:color w:val="3F3F3F"/>
              </w:rPr>
              <w:t>0.1064</w:t>
            </w:r>
          </w:p>
        </w:tc>
      </w:tr>
      <w:tr w:rsidR="00E15874" w:rsidRPr="005E3D9D" w14:paraId="2AFCC44F" w14:textId="77777777" w:rsidTr="00415F0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90" w:type="dxa"/>
            <w:gridSpan w:val="2"/>
            <w:noWrap/>
            <w:hideMark/>
          </w:tcPr>
          <w:p w14:paraId="7F74480B" w14:textId="77777777" w:rsidR="00E15874" w:rsidRPr="005E3D9D" w:rsidRDefault="00E15874" w:rsidP="00415F05">
            <w:pPr>
              <w:rPr>
                <w:rFonts w:ascii="Aptos Narrow" w:eastAsia="Times New Roman" w:hAnsi="Aptos Narrow" w:cs="Times New Roman"/>
                <w:i/>
                <w:iCs/>
                <w:color w:val="000000"/>
              </w:rPr>
            </w:pPr>
            <w:r w:rsidRPr="005E3D9D">
              <w:rPr>
                <w:rFonts w:ascii="Aptos Narrow" w:eastAsia="Times New Roman" w:hAnsi="Aptos Narrow" w:cs="Times New Roman"/>
                <w:i/>
                <w:iCs/>
                <w:color w:val="000000"/>
              </w:rPr>
              <w:t xml:space="preserve">Consistency Ratio (C.R.) = Consistency Index (C.I.)/Random </w:t>
            </w:r>
            <w:proofErr w:type="gramStart"/>
            <w:r w:rsidRPr="005E3D9D">
              <w:rPr>
                <w:rFonts w:ascii="Aptos Narrow" w:eastAsia="Times New Roman" w:hAnsi="Aptos Narrow" w:cs="Times New Roman"/>
                <w:i/>
                <w:iCs/>
                <w:color w:val="000000"/>
              </w:rPr>
              <w:t>Index(</w:t>
            </w:r>
            <w:proofErr w:type="gramEnd"/>
            <w:r w:rsidRPr="005E3D9D">
              <w:rPr>
                <w:rFonts w:ascii="Aptos Narrow" w:eastAsia="Times New Roman" w:hAnsi="Aptos Narrow" w:cs="Times New Roman"/>
                <w:i/>
                <w:iCs/>
                <w:color w:val="000000"/>
              </w:rPr>
              <w:t>R.I.)</w:t>
            </w:r>
          </w:p>
        </w:tc>
      </w:tr>
      <w:tr w:rsidR="00E15874" w:rsidRPr="005E3D9D" w14:paraId="412B29B9" w14:textId="77777777" w:rsidTr="00415F05">
        <w:trPr>
          <w:trHeight w:val="450"/>
        </w:trPr>
        <w:tc>
          <w:tcPr>
            <w:cnfStyle w:val="001000000000" w:firstRow="0" w:lastRow="0" w:firstColumn="1" w:lastColumn="0" w:oddVBand="0" w:evenVBand="0" w:oddHBand="0" w:evenHBand="0" w:firstRowFirstColumn="0" w:firstRowLastColumn="0" w:lastRowFirstColumn="0" w:lastRowLastColumn="0"/>
            <w:tcW w:w="4089" w:type="dxa"/>
            <w:noWrap/>
            <w:hideMark/>
          </w:tcPr>
          <w:p w14:paraId="3E03DD58" w14:textId="77777777" w:rsidR="00E15874" w:rsidRPr="005E3D9D" w:rsidRDefault="00E15874" w:rsidP="00415F05">
            <w:pPr>
              <w:rPr>
                <w:rFonts w:ascii="Aptos Narrow" w:eastAsia="Times New Roman" w:hAnsi="Aptos Narrow" w:cs="Times New Roman"/>
                <w:color w:val="3F3F3F"/>
              </w:rPr>
            </w:pPr>
            <w:r w:rsidRPr="005E3D9D">
              <w:rPr>
                <w:rFonts w:ascii="Aptos Narrow" w:eastAsia="Times New Roman" w:hAnsi="Aptos Narrow" w:cs="Times New Roman"/>
                <w:color w:val="3F3F3F"/>
              </w:rPr>
              <w:t>Consistency Ratio (C.R.)</w:t>
            </w:r>
          </w:p>
        </w:tc>
        <w:tc>
          <w:tcPr>
            <w:tcW w:w="4101" w:type="dxa"/>
            <w:noWrap/>
            <w:hideMark/>
          </w:tcPr>
          <w:p w14:paraId="354F6039" w14:textId="77777777" w:rsidR="00E15874" w:rsidRPr="005E3D9D" w:rsidRDefault="00E15874" w:rsidP="00415F05">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3F3F3F"/>
              </w:rPr>
            </w:pPr>
            <w:r w:rsidRPr="005E3D9D">
              <w:rPr>
                <w:rFonts w:ascii="Aptos Narrow" w:eastAsia="Times New Roman" w:hAnsi="Aptos Narrow" w:cs="Times New Roman"/>
                <w:color w:val="3F3F3F"/>
              </w:rPr>
              <w:t>0.0806</w:t>
            </w:r>
          </w:p>
        </w:tc>
      </w:tr>
    </w:tbl>
    <w:p w14:paraId="2FEC6ED5" w14:textId="77777777" w:rsidR="00E15874" w:rsidRDefault="00E15874" w:rsidP="00E15874">
      <w:pPr>
        <w:pStyle w:val="EndNoteBibliography"/>
        <w:rPr>
          <w:rFonts w:eastAsia="Calibri"/>
        </w:rPr>
      </w:pPr>
    </w:p>
    <w:p w14:paraId="1C64A5F1" w14:textId="77777777" w:rsidR="00E15874" w:rsidRDefault="00E15874" w:rsidP="00E15874">
      <w:pPr>
        <w:pStyle w:val="EndNoteBibliography"/>
        <w:rPr>
          <w:rFonts w:eastAsia="Calibri"/>
        </w:rPr>
      </w:pPr>
    </w:p>
    <w:p w14:paraId="5C3EC9BE" w14:textId="77777777" w:rsidR="00E15874" w:rsidRPr="003A6415" w:rsidRDefault="00E15874" w:rsidP="00E15874">
      <w:pPr>
        <w:pStyle w:val="EndNoteBibliography"/>
        <w:rPr>
          <w:rStyle w:val="IntenseEmphasis"/>
        </w:rPr>
      </w:pPr>
      <w:r w:rsidRPr="00C43D4C">
        <w:rPr>
          <w:rStyle w:val="IntenseEmphasis"/>
        </w:rPr>
        <w:t xml:space="preserve">Appendix C: </w:t>
      </w:r>
      <w:r w:rsidRPr="003A6415">
        <w:rPr>
          <w:rStyle w:val="IntenseEmphasis"/>
        </w:rPr>
        <w:t>Turbine choice justification</w:t>
      </w:r>
      <w:r>
        <w:rPr>
          <w:rStyle w:val="IntenseEmphasis"/>
        </w:rPr>
        <w:t xml:space="preserve"> </w:t>
      </w:r>
      <w:r w:rsidRPr="003A6415">
        <w:rPr>
          <w:rStyle w:val="IntenseEmphasis"/>
        </w:rPr>
        <w:t xml:space="preserve"> </w:t>
      </w:r>
    </w:p>
    <w:p w14:paraId="6FCE6AE4" w14:textId="77777777" w:rsidR="00E15874" w:rsidRDefault="00E15874" w:rsidP="00E15874">
      <w:pPr>
        <w:spacing w:after="60"/>
      </w:pPr>
      <w:r>
        <w:rPr>
          <w:i/>
          <w:iCs/>
        </w:rPr>
        <w:t>This analysis utilizes the NREL 15 MW reference turbine as the baseline technology. This choice reflects the current trajectory of offshore wind technology development and is justified by several considerations:</w:t>
      </w:r>
    </w:p>
    <w:p w14:paraId="5CE7AA1B" w14:textId="77777777" w:rsidR="00E15874" w:rsidRDefault="00E15874" w:rsidP="00E15874">
      <w:pPr>
        <w:pStyle w:val="ListParagraph"/>
        <w:numPr>
          <w:ilvl w:val="0"/>
          <w:numId w:val="1"/>
        </w:numPr>
        <w:spacing w:after="0" w:line="240" w:lineRule="auto"/>
        <w:contextualSpacing w:val="0"/>
      </w:pPr>
      <w:r>
        <w:rPr>
          <w:i/>
          <w:iCs/>
        </w:rPr>
        <w:t>Technology timeline alignment: Given Saudi Arabia's FOWT development is in early planning stages, any large-scale deployment would occur in the late 2020s or early 2030s. By that timeframe, 15 MW-class turbines will represent mature, commercially available technology. Several manufacturers including Vestas (V236-15.0 MW), GE Renewable Energy (</w:t>
      </w:r>
      <w:proofErr w:type="spellStart"/>
      <w:r>
        <w:rPr>
          <w:i/>
          <w:iCs/>
        </w:rPr>
        <w:t>Haliade</w:t>
      </w:r>
      <w:proofErr w:type="spellEnd"/>
      <w:r>
        <w:rPr>
          <w:i/>
          <w:iCs/>
        </w:rPr>
        <w:t xml:space="preserve">-X 14 MW with 15+ MW uprate potential), and Siemens Gamesa (SG 14-222 DD with planned uprates) have already announced 14-15 MW offshore turbines entering the market in 2024-2026 </w:t>
      </w:r>
      <w:r>
        <w:rPr>
          <w:i/>
          <w:iCs/>
        </w:rPr>
        <w:fldChar w:fldCharType="begin"/>
      </w:r>
      <w:r>
        <w:rPr>
          <w:i/>
          <w:iCs/>
        </w:rPr>
        <w:instrText xml:space="preserve"> ADDIN EN.CITE &lt;EndNote&gt;&lt;Cite&gt;&lt;Author&gt;NREL&lt;/Author&gt;&lt;Year&gt;2021&lt;/Year&gt;&lt;RecNum&gt;54&lt;/RecNum&gt;&lt;DisplayText&gt;[52]&lt;/DisplayText&gt;&lt;record&gt;&lt;rec-number&gt;54&lt;/rec-number&gt;&lt;foreign-keys&gt;&lt;key app="EN" db-id="v0xr0tf57at9wbea5ry5xataww2rsv2sexfp" timestamp="1707826803"&gt;54&lt;/key&gt;&lt;/foreign-keys&gt;&lt;ref-type name="Web Page"&gt;12&lt;/ref-type&gt;&lt;contributors&gt;&lt;authors&gt;&lt;author&gt;NREL&lt;/author&gt;&lt;/authors&gt;&lt;/contributors&gt;&lt;titles&gt;&lt;title&gt;NREL Annual Technology Baseline: Offshore Wind&lt;/title&gt;&lt;/titles&gt;&lt;dates&gt;&lt;year&gt;2021&lt;/year&gt;&lt;/dates&gt;&lt;publisher&gt;National Renewable Energy Laboratory &lt;/publisher&gt;&lt;urls&gt;&lt;related-urls&gt;&lt;url&gt;https://atb.nrel.gov/electricity/2021/offshore_wind&lt;/url&gt;&lt;/related-urls&gt;&lt;/urls&gt;&lt;/record&gt;&lt;/Cite&gt;&lt;/EndNote&gt;</w:instrText>
      </w:r>
      <w:r>
        <w:rPr>
          <w:i/>
          <w:iCs/>
        </w:rPr>
        <w:fldChar w:fldCharType="separate"/>
      </w:r>
      <w:r>
        <w:rPr>
          <w:i/>
          <w:iCs/>
          <w:noProof/>
        </w:rPr>
        <w:t>[</w:t>
      </w:r>
      <w:hyperlink w:anchor="_ENREF_52" w:tooltip="NREL, 2021 #54" w:history="1">
        <w:r w:rsidRPr="000707DD">
          <w:rPr>
            <w:rStyle w:val="Hyperlink"/>
          </w:rPr>
          <w:t>52</w:t>
        </w:r>
      </w:hyperlink>
      <w:r>
        <w:rPr>
          <w:i/>
          <w:iCs/>
          <w:noProof/>
        </w:rPr>
        <w:t>]</w:t>
      </w:r>
      <w:r>
        <w:rPr>
          <w:i/>
          <w:iCs/>
        </w:rPr>
        <w:fldChar w:fldCharType="end"/>
      </w:r>
      <w:r>
        <w:rPr>
          <w:i/>
          <w:iCs/>
        </w:rPr>
        <w:t>.</w:t>
      </w:r>
    </w:p>
    <w:p w14:paraId="3E75C29F" w14:textId="77777777" w:rsidR="00E15874" w:rsidRDefault="00E15874" w:rsidP="00E15874">
      <w:pPr>
        <w:pStyle w:val="ListParagraph"/>
        <w:numPr>
          <w:ilvl w:val="0"/>
          <w:numId w:val="1"/>
        </w:numPr>
        <w:spacing w:after="0" w:line="240" w:lineRule="auto"/>
        <w:contextualSpacing w:val="0"/>
      </w:pPr>
      <w:r>
        <w:rPr>
          <w:i/>
          <w:iCs/>
        </w:rPr>
        <w:t xml:space="preserve">Industry trend toward larger turbines: The offshore wind industry has consistently moved toward larger unit sizes to reduce levelized costs. Recent European and Asian tenders increasingly specify 14-15 MW turbines, and development continues toward 18-20 MW designs for deployment in the 2030s </w:t>
      </w:r>
      <w:r>
        <w:rPr>
          <w:i/>
          <w:iCs/>
        </w:rPr>
        <w:fldChar w:fldCharType="begin"/>
      </w:r>
      <w:r>
        <w:rPr>
          <w:i/>
          <w:iCs/>
        </w:rPr>
        <w:instrText xml:space="preserve"> ADDIN EN.CITE &lt;EndNote&gt;&lt;Cite&gt;&lt;Author&gt;GWEC&lt;/Author&gt;&lt;Year&gt;2025&lt;/Year&gt;&lt;RecNum&gt;418&lt;/RecNum&gt;&lt;DisplayText&gt;[3]&lt;/DisplayText&gt;&lt;record&gt;&lt;rec-number&gt;418&lt;/rec-number&gt;&lt;foreign-keys&gt;&lt;key app="EN" db-id="v0xr0tf57at9wbea5ry5xataww2rsv2sexfp" timestamp="1760941536"&gt;418&lt;/key&gt;&lt;/foreign-keys&gt;&lt;ref-type name="Report"&gt;27&lt;/ref-type&gt;&lt;contributors&gt;&lt;authors&gt;&lt;author&gt;GWEC&lt;/author&gt;&lt;/authors&gt;&lt;/contributors&gt;&lt;titles&gt;&lt;title&gt;Global Offshore Wind Report 2025&lt;/title&gt;&lt;/titles&gt;&lt;dates&gt;&lt;year&gt;2025&lt;/year&gt;&lt;/dates&gt;&lt;pub-location&gt;Brussels, Bulgium&lt;/pub-location&gt;&lt;publisher&gt;Global Wind Energy Council&lt;/publisher&gt;&lt;urls&gt;&lt;/urls&gt;&lt;/record&gt;&lt;/Cite&gt;&lt;/EndNote&gt;</w:instrText>
      </w:r>
      <w:r>
        <w:rPr>
          <w:i/>
          <w:iCs/>
        </w:rPr>
        <w:fldChar w:fldCharType="separate"/>
      </w:r>
      <w:r>
        <w:rPr>
          <w:i/>
          <w:iCs/>
          <w:noProof/>
        </w:rPr>
        <w:t>[</w:t>
      </w:r>
      <w:hyperlink w:anchor="_ENREF_3" w:tooltip="GWEC, 2025 #418" w:history="1">
        <w:r w:rsidRPr="000707DD">
          <w:rPr>
            <w:rStyle w:val="Hyperlink"/>
          </w:rPr>
          <w:t>3</w:t>
        </w:r>
      </w:hyperlink>
      <w:r>
        <w:rPr>
          <w:i/>
          <w:iCs/>
          <w:noProof/>
        </w:rPr>
        <w:t>]</w:t>
      </w:r>
      <w:r>
        <w:rPr>
          <w:i/>
          <w:iCs/>
        </w:rPr>
        <w:fldChar w:fldCharType="end"/>
      </w:r>
      <w:r>
        <w:rPr>
          <w:i/>
          <w:iCs/>
        </w:rPr>
        <w:t>.</w:t>
      </w:r>
    </w:p>
    <w:p w14:paraId="46B82E6B" w14:textId="77777777" w:rsidR="00E15874" w:rsidRPr="00DA2237" w:rsidRDefault="00E15874" w:rsidP="00E15874">
      <w:pPr>
        <w:pStyle w:val="ListParagraph"/>
        <w:numPr>
          <w:ilvl w:val="0"/>
          <w:numId w:val="1"/>
        </w:numPr>
        <w:spacing w:after="0" w:line="240" w:lineRule="auto"/>
        <w:contextualSpacing w:val="0"/>
      </w:pPr>
      <w:r>
        <w:rPr>
          <w:i/>
          <w:iCs/>
        </w:rPr>
        <w:t xml:space="preserve">FOWT cost optimization: Larger turbines are particularly beneficial for floating platforms, as foundation and mooring costs scale more slowly than turbine rated power, resulting in improved unit economics. Studies indicate that 15 MW turbines on floating platforms can achieve 15-20% lower LCOE compared to 10 MW turbines in similar wind regimes </w:t>
      </w:r>
      <w:r>
        <w:rPr>
          <w:i/>
          <w:iCs/>
        </w:rPr>
        <w:fldChar w:fldCharType="begin"/>
      </w:r>
      <w:r>
        <w:rPr>
          <w:i/>
          <w:iCs/>
        </w:rPr>
        <w:instrText xml:space="preserve"> ADDIN EN.CITE &lt;EndNote&gt;&lt;Cite&gt;&lt;Author&gt;DNV&lt;/Author&gt;&lt;Year&gt;2022&lt;/Year&gt;&lt;RecNum&gt;73&lt;/RecNum&gt;&lt;DisplayText&gt;[12]&lt;/DisplayText&gt;&lt;record&gt;&lt;rec-number&gt;73&lt;/rec-number&gt;&lt;foreign-keys&gt;&lt;key app="EN" db-id="v0xr0tf57at9wbea5ry5xataww2rsv2sexfp" timestamp="1708142558"&gt;73&lt;/key&gt;&lt;/foreign-keys&gt;&lt;ref-type name="Report"&gt;27&lt;/ref-type&gt;&lt;contributors&gt;&lt;authors&gt;&lt;author&gt;DNV&lt;/author&gt;&lt;/authors&gt;&lt;/contributors&gt;&lt;titles&gt;&lt;title&gt;DNV&amp;apos;s Energy Transition Outlook 2022&lt;/title&gt;&lt;/titles&gt;&lt;dates&gt;&lt;year&gt;2022&lt;/year&gt;&lt;/dates&gt;&lt;urls&gt;&lt;related-urls&gt;&lt;url&gt;https://www.dnv.com/energy-transition-outlook/index.html&lt;/url&gt;&lt;/related-urls&gt;&lt;/urls&gt;&lt;/record&gt;&lt;/Cite&gt;&lt;/EndNote&gt;</w:instrText>
      </w:r>
      <w:r>
        <w:rPr>
          <w:i/>
          <w:iCs/>
        </w:rPr>
        <w:fldChar w:fldCharType="separate"/>
      </w:r>
      <w:r>
        <w:rPr>
          <w:i/>
          <w:iCs/>
          <w:noProof/>
        </w:rPr>
        <w:t>[</w:t>
      </w:r>
      <w:hyperlink w:anchor="_ENREF_12" w:tooltip="DNV, 2022 #73" w:history="1">
        <w:r w:rsidRPr="000707DD">
          <w:rPr>
            <w:rStyle w:val="Hyperlink"/>
          </w:rPr>
          <w:t>12</w:t>
        </w:r>
      </w:hyperlink>
      <w:r>
        <w:rPr>
          <w:i/>
          <w:iCs/>
          <w:noProof/>
        </w:rPr>
        <w:t>]</w:t>
      </w:r>
      <w:r>
        <w:rPr>
          <w:i/>
          <w:iCs/>
        </w:rPr>
        <w:fldChar w:fldCharType="end"/>
      </w:r>
      <w:r>
        <w:rPr>
          <w:i/>
          <w:iCs/>
        </w:rPr>
        <w:t>.</w:t>
      </w:r>
    </w:p>
    <w:p w14:paraId="22D9A4DA" w14:textId="77777777" w:rsidR="00E15874" w:rsidRDefault="00E15874" w:rsidP="00E15874">
      <w:pPr>
        <w:spacing w:after="0" w:line="240" w:lineRule="auto"/>
      </w:pPr>
    </w:p>
    <w:p w14:paraId="1295FAD7" w14:textId="77777777" w:rsidR="00E15874" w:rsidRDefault="00E15874" w:rsidP="00E15874">
      <w:pPr>
        <w:pStyle w:val="ListParagraph"/>
        <w:keepNext/>
      </w:pPr>
      <w:r>
        <w:rPr>
          <w:noProof/>
        </w:rPr>
        <w:lastRenderedPageBreak/>
        <w:drawing>
          <wp:inline distT="0" distB="0" distL="0" distR="0" wp14:anchorId="3F5E5458" wp14:editId="20D678AE">
            <wp:extent cx="4572000" cy="2743200"/>
            <wp:effectExtent l="0" t="0" r="0" b="0"/>
            <wp:docPr id="1825246179" name="Chart 1">
              <a:extLst xmlns:a="http://schemas.openxmlformats.org/drawingml/2006/main">
                <a:ext uri="{FF2B5EF4-FFF2-40B4-BE49-F238E27FC236}">
                  <a16:creationId xmlns:a16="http://schemas.microsoft.com/office/drawing/2014/main" id="{87CB6287-75B9-6224-73EB-1D896C837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EC4D410" w14:textId="77777777" w:rsidR="00E15874" w:rsidRPr="00337A53" w:rsidRDefault="00E15874" w:rsidP="00E15874">
      <w:pPr>
        <w:pStyle w:val="Caption"/>
        <w:ind w:left="720"/>
        <w:rPr>
          <w:rFonts w:ascii="Arial" w:hAnsi="Arial" w:cs="Arial"/>
          <w:i w:val="0"/>
          <w:iCs w:val="0"/>
        </w:rPr>
      </w:pPr>
      <w:r w:rsidRPr="00171399">
        <w:rPr>
          <w:rFonts w:ascii="Arial" w:hAnsi="Arial" w:cs="Arial"/>
          <w:b/>
          <w:bCs/>
          <w:i w:val="0"/>
          <w:iCs w:val="0"/>
        </w:rPr>
        <w:t xml:space="preserve">Figure </w:t>
      </w:r>
      <w:r>
        <w:rPr>
          <w:rFonts w:ascii="Arial" w:hAnsi="Arial" w:cs="Arial"/>
          <w:b/>
          <w:bCs/>
          <w:i w:val="0"/>
          <w:iCs w:val="0"/>
        </w:rPr>
        <w:t>C1</w:t>
      </w:r>
      <w:proofErr w:type="gramStart"/>
      <w:r w:rsidRPr="00171399">
        <w:rPr>
          <w:rFonts w:ascii="Arial" w:hAnsi="Arial" w:cs="Arial"/>
          <w:b/>
          <w:bCs/>
          <w:i w:val="0"/>
          <w:iCs w:val="0"/>
        </w:rPr>
        <w:t>:</w:t>
      </w:r>
      <w:r w:rsidRPr="00171399">
        <w:rPr>
          <w:rFonts w:ascii="Arial" w:hAnsi="Arial" w:cs="Arial"/>
          <w:i w:val="0"/>
          <w:iCs w:val="0"/>
        </w:rPr>
        <w:t xml:space="preserve"> </w:t>
      </w:r>
      <w:r w:rsidRPr="00171399">
        <w:rPr>
          <w:rFonts w:ascii="Arial" w:hAnsi="Arial" w:cs="Arial"/>
          <w:i w:val="0"/>
          <w:iCs w:val="0"/>
          <w:noProof/>
        </w:rPr>
        <w:t xml:space="preserve"> NREL</w:t>
      </w:r>
      <w:proofErr w:type="gramEnd"/>
      <w:r w:rsidRPr="00171399">
        <w:rPr>
          <w:rFonts w:ascii="Arial" w:hAnsi="Arial" w:cs="Arial"/>
          <w:i w:val="0"/>
          <w:iCs w:val="0"/>
          <w:noProof/>
        </w:rPr>
        <w:t xml:space="preserve"> ATB reference 15MW turbine power curve</w:t>
      </w:r>
    </w:p>
    <w:p w14:paraId="4EA68EEC" w14:textId="77777777" w:rsidR="006E6635" w:rsidRDefault="006E6635"/>
    <w:sectPr w:rsidR="006E6635">
      <w:footerReference w:type="even" r:id="rId9"/>
      <w:footerReference w:type="defaul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A042B" w14:textId="77777777" w:rsidR="00192D34" w:rsidRDefault="00192D34" w:rsidP="00E15874">
      <w:pPr>
        <w:spacing w:after="0" w:line="240" w:lineRule="auto"/>
      </w:pPr>
      <w:r>
        <w:separator/>
      </w:r>
    </w:p>
  </w:endnote>
  <w:endnote w:type="continuationSeparator" w:id="0">
    <w:p w14:paraId="17C1CAC5" w14:textId="77777777" w:rsidR="00192D34" w:rsidRDefault="00192D34" w:rsidP="00E1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E103" w14:textId="06303E6F" w:rsidR="00E15874" w:rsidRDefault="00E15874">
    <w:pPr>
      <w:pStyle w:val="Footer"/>
    </w:pPr>
    <w:r>
      <w:rPr>
        <w:noProof/>
      </w:rPr>
      <mc:AlternateContent>
        <mc:Choice Requires="wps">
          <w:drawing>
            <wp:anchor distT="0" distB="0" distL="0" distR="0" simplePos="0" relativeHeight="251659264" behindDoc="0" locked="0" layoutInCell="1" allowOverlap="1" wp14:anchorId="03D7D73C" wp14:editId="669BE9AE">
              <wp:simplePos x="635" y="635"/>
              <wp:positionH relativeFrom="page">
                <wp:align>right</wp:align>
              </wp:positionH>
              <wp:positionV relativeFrom="page">
                <wp:align>bottom</wp:align>
              </wp:positionV>
              <wp:extent cx="459105" cy="298450"/>
              <wp:effectExtent l="0" t="0" r="0" b="0"/>
              <wp:wrapNone/>
              <wp:docPr id="1093535472"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105" cy="298450"/>
                      </a:xfrm>
                      <a:prstGeom prst="rect">
                        <a:avLst/>
                      </a:prstGeom>
                      <a:noFill/>
                      <a:ln>
                        <a:noFill/>
                      </a:ln>
                    </wps:spPr>
                    <wps:txbx>
                      <w:txbxContent>
                        <w:p w14:paraId="09E4923D" w14:textId="20CAEAA1" w:rsidR="00E15874" w:rsidRPr="00E15874" w:rsidRDefault="00E15874" w:rsidP="00E15874">
                          <w:pPr>
                            <w:spacing w:after="0"/>
                            <w:rPr>
                              <w:rFonts w:ascii="Aptos" w:eastAsia="Aptos" w:hAnsi="Aptos" w:cs="Aptos"/>
                              <w:noProof/>
                              <w:color w:val="000000"/>
                              <w:sz w:val="12"/>
                              <w:szCs w:val="12"/>
                            </w:rPr>
                          </w:pPr>
                          <w:r w:rsidRPr="00E15874">
                            <w:rPr>
                              <w:rFonts w:ascii="Aptos" w:eastAsia="Aptos" w:hAnsi="Aptos" w:cs="Aptos"/>
                              <w:noProof/>
                              <w:color w:val="000000"/>
                              <w:sz w:val="12"/>
                              <w:szCs w:val="12"/>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3D7D73C" id="_x0000_t202" coordsize="21600,21600" o:spt="202" path="m,l,21600r21600,l21600,xe">
              <v:stroke joinstyle="miter"/>
              <v:path gradientshapeok="t" o:connecttype="rect"/>
            </v:shapetype>
            <v:shape id="Text Box 2" o:spid="_x0000_s1026" type="#_x0000_t202" alt="Public" style="position:absolute;margin-left:-15.05pt;margin-top:0;width:36.15pt;height:23.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" filled="f" stroked="f">
              <v:fill o:detectmouseclick="t"/>
              <v:textbox style="mso-fit-shape-to-text:t" inset="0,0,20pt,15pt">
                <w:txbxContent>
                  <w:p w14:paraId="09E4923D" w14:textId="20CAEAA1" w:rsidR="00E15874" w:rsidRPr="00E15874" w:rsidRDefault="00E15874" w:rsidP="00E15874">
                    <w:pPr>
                      <w:spacing w:after="0"/>
                      <w:rPr>
                        <w:rFonts w:ascii="Aptos" w:eastAsia="Aptos" w:hAnsi="Aptos" w:cs="Aptos"/>
                        <w:noProof/>
                        <w:color w:val="000000"/>
                        <w:sz w:val="12"/>
                        <w:szCs w:val="12"/>
                      </w:rPr>
                    </w:pPr>
                    <w:r w:rsidRPr="00E15874">
                      <w:rPr>
                        <w:rFonts w:ascii="Aptos" w:eastAsia="Aptos" w:hAnsi="Aptos" w:cs="Aptos"/>
                        <w:noProof/>
                        <w:color w:val="000000"/>
                        <w:sz w:val="12"/>
                        <w:szCs w:val="12"/>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AA840" w14:textId="4214CB4A" w:rsidR="00E15874" w:rsidRDefault="00E15874">
    <w:pPr>
      <w:pStyle w:val="Footer"/>
    </w:pPr>
    <w:r>
      <w:rPr>
        <w:noProof/>
      </w:rPr>
      <mc:AlternateContent>
        <mc:Choice Requires="wps">
          <w:drawing>
            <wp:anchor distT="0" distB="0" distL="0" distR="0" simplePos="0" relativeHeight="251660288" behindDoc="0" locked="0" layoutInCell="1" allowOverlap="1" wp14:anchorId="32C7BF75" wp14:editId="7CF5B5D7">
              <wp:simplePos x="914400" y="9417050"/>
              <wp:positionH relativeFrom="page">
                <wp:align>right</wp:align>
              </wp:positionH>
              <wp:positionV relativeFrom="page">
                <wp:align>bottom</wp:align>
              </wp:positionV>
              <wp:extent cx="459105" cy="298450"/>
              <wp:effectExtent l="0" t="0" r="0" b="0"/>
              <wp:wrapNone/>
              <wp:docPr id="2039705541"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105" cy="298450"/>
                      </a:xfrm>
                      <a:prstGeom prst="rect">
                        <a:avLst/>
                      </a:prstGeom>
                      <a:noFill/>
                      <a:ln>
                        <a:noFill/>
                      </a:ln>
                    </wps:spPr>
                    <wps:txbx>
                      <w:txbxContent>
                        <w:p w14:paraId="0B70FCCC" w14:textId="089EDF3A" w:rsidR="00E15874" w:rsidRPr="00E15874" w:rsidRDefault="00E15874" w:rsidP="00E15874">
                          <w:pPr>
                            <w:spacing w:after="0"/>
                            <w:rPr>
                              <w:rFonts w:ascii="Aptos" w:eastAsia="Aptos" w:hAnsi="Aptos" w:cs="Aptos"/>
                              <w:noProof/>
                              <w:color w:val="000000"/>
                              <w:sz w:val="12"/>
                              <w:szCs w:val="12"/>
                            </w:rPr>
                          </w:pPr>
                          <w:r w:rsidRPr="00E15874">
                            <w:rPr>
                              <w:rFonts w:ascii="Aptos" w:eastAsia="Aptos" w:hAnsi="Aptos" w:cs="Aptos"/>
                              <w:noProof/>
                              <w:color w:val="000000"/>
                              <w:sz w:val="12"/>
                              <w:szCs w:val="12"/>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2C7BF75" id="_x0000_t202" coordsize="21600,21600" o:spt="202" path="m,l,21600r21600,l21600,xe">
              <v:stroke joinstyle="miter"/>
              <v:path gradientshapeok="t" o:connecttype="rect"/>
            </v:shapetype>
            <v:shape id="Text Box 3" o:spid="_x0000_s1027" type="#_x0000_t202" alt="Public" style="position:absolute;margin-left:-15.05pt;margin-top:0;width:36.15pt;height:23.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" filled="f" stroked="f">
              <v:fill o:detectmouseclick="t"/>
              <v:textbox style="mso-fit-shape-to-text:t" inset="0,0,20pt,15pt">
                <w:txbxContent>
                  <w:p w14:paraId="0B70FCCC" w14:textId="089EDF3A" w:rsidR="00E15874" w:rsidRPr="00E15874" w:rsidRDefault="00E15874" w:rsidP="00E15874">
                    <w:pPr>
                      <w:spacing w:after="0"/>
                      <w:rPr>
                        <w:rFonts w:ascii="Aptos" w:eastAsia="Aptos" w:hAnsi="Aptos" w:cs="Aptos"/>
                        <w:noProof/>
                        <w:color w:val="000000"/>
                        <w:sz w:val="12"/>
                        <w:szCs w:val="12"/>
                      </w:rPr>
                    </w:pPr>
                    <w:r w:rsidRPr="00E15874">
                      <w:rPr>
                        <w:rFonts w:ascii="Aptos" w:eastAsia="Aptos" w:hAnsi="Aptos" w:cs="Aptos"/>
                        <w:noProof/>
                        <w:color w:val="000000"/>
                        <w:sz w:val="12"/>
                        <w:szCs w:val="12"/>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4BE6" w14:textId="13BE50C0" w:rsidR="00E15874" w:rsidRDefault="00E15874">
    <w:pPr>
      <w:pStyle w:val="Footer"/>
    </w:pPr>
    <w:r>
      <w:rPr>
        <w:noProof/>
      </w:rPr>
      <mc:AlternateContent>
        <mc:Choice Requires="wps">
          <w:drawing>
            <wp:anchor distT="0" distB="0" distL="0" distR="0" simplePos="0" relativeHeight="251658240" behindDoc="0" locked="0" layoutInCell="1" allowOverlap="1" wp14:anchorId="072C9E6F" wp14:editId="029D20BE">
              <wp:simplePos x="635" y="635"/>
              <wp:positionH relativeFrom="page">
                <wp:align>right</wp:align>
              </wp:positionH>
              <wp:positionV relativeFrom="page">
                <wp:align>bottom</wp:align>
              </wp:positionV>
              <wp:extent cx="459105" cy="298450"/>
              <wp:effectExtent l="0" t="0" r="0" b="0"/>
              <wp:wrapNone/>
              <wp:docPr id="1344567578"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105" cy="298450"/>
                      </a:xfrm>
                      <a:prstGeom prst="rect">
                        <a:avLst/>
                      </a:prstGeom>
                      <a:noFill/>
                      <a:ln>
                        <a:noFill/>
                      </a:ln>
                    </wps:spPr>
                    <wps:txbx>
                      <w:txbxContent>
                        <w:p w14:paraId="3D6BE31E" w14:textId="6EF4C279" w:rsidR="00E15874" w:rsidRPr="00E15874" w:rsidRDefault="00E15874" w:rsidP="00E15874">
                          <w:pPr>
                            <w:spacing w:after="0"/>
                            <w:rPr>
                              <w:rFonts w:ascii="Aptos" w:eastAsia="Aptos" w:hAnsi="Aptos" w:cs="Aptos"/>
                              <w:noProof/>
                              <w:color w:val="000000"/>
                              <w:sz w:val="12"/>
                              <w:szCs w:val="12"/>
                            </w:rPr>
                          </w:pPr>
                          <w:r w:rsidRPr="00E15874">
                            <w:rPr>
                              <w:rFonts w:ascii="Aptos" w:eastAsia="Aptos" w:hAnsi="Aptos" w:cs="Aptos"/>
                              <w:noProof/>
                              <w:color w:val="000000"/>
                              <w:sz w:val="12"/>
                              <w:szCs w:val="12"/>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72C9E6F" id="_x0000_t202" coordsize="21600,21600" o:spt="202" path="m,l,21600r21600,l21600,xe">
              <v:stroke joinstyle="miter"/>
              <v:path gradientshapeok="t" o:connecttype="rect"/>
            </v:shapetype>
            <v:shape id="Text Box 1" o:spid="_x0000_s1028" type="#_x0000_t202" alt="Public" style="position:absolute;margin-left:-15.05pt;margin-top:0;width:36.15pt;height:23.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" filled="f" stroked="f">
              <v:fill o:detectmouseclick="t"/>
              <v:textbox style="mso-fit-shape-to-text:t" inset="0,0,20pt,15pt">
                <w:txbxContent>
                  <w:p w14:paraId="3D6BE31E" w14:textId="6EF4C279" w:rsidR="00E15874" w:rsidRPr="00E15874" w:rsidRDefault="00E15874" w:rsidP="00E15874">
                    <w:pPr>
                      <w:spacing w:after="0"/>
                      <w:rPr>
                        <w:rFonts w:ascii="Aptos" w:eastAsia="Aptos" w:hAnsi="Aptos" w:cs="Aptos"/>
                        <w:noProof/>
                        <w:color w:val="000000"/>
                        <w:sz w:val="12"/>
                        <w:szCs w:val="12"/>
                      </w:rPr>
                    </w:pPr>
                    <w:r w:rsidRPr="00E15874">
                      <w:rPr>
                        <w:rFonts w:ascii="Aptos" w:eastAsia="Aptos" w:hAnsi="Aptos" w:cs="Aptos"/>
                        <w:noProof/>
                        <w:color w:val="000000"/>
                        <w:sz w:val="12"/>
                        <w:szCs w:val="12"/>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CCDFC" w14:textId="77777777" w:rsidR="00192D34" w:rsidRDefault="00192D34" w:rsidP="00E15874">
      <w:pPr>
        <w:spacing w:after="0" w:line="240" w:lineRule="auto"/>
      </w:pPr>
      <w:r>
        <w:separator/>
      </w:r>
    </w:p>
  </w:footnote>
  <w:footnote w:type="continuationSeparator" w:id="0">
    <w:p w14:paraId="0E9AC2CC" w14:textId="77777777" w:rsidR="00192D34" w:rsidRDefault="00192D34" w:rsidP="00E15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05C00"/>
    <w:multiLevelType w:val="hybridMultilevel"/>
    <w:tmpl w:val="781E781C"/>
    <w:lvl w:ilvl="0" w:tplc="444A340C">
      <w:start w:val="1"/>
      <w:numFmt w:val="bullet"/>
      <w:lvlText w:val="•"/>
      <w:lvlJc w:val="left"/>
      <w:pPr>
        <w:ind w:left="720" w:hanging="360"/>
      </w:pPr>
    </w:lvl>
    <w:lvl w:ilvl="1" w:tplc="1C14953E">
      <w:numFmt w:val="decimal"/>
      <w:lvlText w:val=""/>
      <w:lvlJc w:val="left"/>
    </w:lvl>
    <w:lvl w:ilvl="2" w:tplc="1018D036">
      <w:numFmt w:val="decimal"/>
      <w:lvlText w:val=""/>
      <w:lvlJc w:val="left"/>
    </w:lvl>
    <w:lvl w:ilvl="3" w:tplc="381610C2">
      <w:numFmt w:val="decimal"/>
      <w:lvlText w:val=""/>
      <w:lvlJc w:val="left"/>
    </w:lvl>
    <w:lvl w:ilvl="4" w:tplc="5596E426">
      <w:numFmt w:val="decimal"/>
      <w:lvlText w:val=""/>
      <w:lvlJc w:val="left"/>
    </w:lvl>
    <w:lvl w:ilvl="5" w:tplc="189A19D6">
      <w:numFmt w:val="decimal"/>
      <w:lvlText w:val=""/>
      <w:lvlJc w:val="left"/>
    </w:lvl>
    <w:lvl w:ilvl="6" w:tplc="8E3624AA">
      <w:numFmt w:val="decimal"/>
      <w:lvlText w:val=""/>
      <w:lvlJc w:val="left"/>
    </w:lvl>
    <w:lvl w:ilvl="7" w:tplc="D42675C8">
      <w:numFmt w:val="decimal"/>
      <w:lvlText w:val=""/>
      <w:lvlJc w:val="left"/>
    </w:lvl>
    <w:lvl w:ilvl="8" w:tplc="0ABE86E2">
      <w:numFmt w:val="decimal"/>
      <w:lvlText w:val=""/>
      <w:lvlJc w:val="left"/>
    </w:lvl>
  </w:abstractNum>
  <w:num w:numId="1" w16cid:durableId="6162527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D1B"/>
    <w:rsid w:val="00192D34"/>
    <w:rsid w:val="00200A61"/>
    <w:rsid w:val="002A7614"/>
    <w:rsid w:val="00354A99"/>
    <w:rsid w:val="00392FB1"/>
    <w:rsid w:val="003A2E06"/>
    <w:rsid w:val="004F2BD2"/>
    <w:rsid w:val="006E6635"/>
    <w:rsid w:val="00AC43D2"/>
    <w:rsid w:val="00AD41C0"/>
    <w:rsid w:val="00C44D1B"/>
    <w:rsid w:val="00D04D76"/>
    <w:rsid w:val="00E15874"/>
    <w:rsid w:val="00ED53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FBA61"/>
  <w15:chartTrackingRefBased/>
  <w15:docId w15:val="{B80272CA-A763-454B-92B8-2E193212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874"/>
    <w:pPr>
      <w:spacing w:line="259" w:lineRule="auto"/>
    </w:pPr>
    <w:rPr>
      <w:kern w:val="0"/>
      <w:sz w:val="22"/>
      <w:szCs w:val="22"/>
      <w14:ligatures w14:val="none"/>
    </w:rPr>
  </w:style>
  <w:style w:type="paragraph" w:styleId="Heading1">
    <w:name w:val="heading 1"/>
    <w:basedOn w:val="Normal"/>
    <w:next w:val="Normal"/>
    <w:link w:val="Heading1Char"/>
    <w:uiPriority w:val="9"/>
    <w:qFormat/>
    <w:rsid w:val="00C44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4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4D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D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D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D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D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D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D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D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44D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D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D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D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D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D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D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D1B"/>
    <w:rPr>
      <w:rFonts w:eastAsiaTheme="majorEastAsia" w:cstheme="majorBidi"/>
      <w:color w:val="272727" w:themeColor="text1" w:themeTint="D8"/>
    </w:rPr>
  </w:style>
  <w:style w:type="paragraph" w:styleId="Title">
    <w:name w:val="Title"/>
    <w:basedOn w:val="Normal"/>
    <w:next w:val="Normal"/>
    <w:link w:val="TitleChar"/>
    <w:uiPriority w:val="10"/>
    <w:qFormat/>
    <w:rsid w:val="00C44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D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D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D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D1B"/>
    <w:pPr>
      <w:spacing w:before="160"/>
      <w:jc w:val="center"/>
    </w:pPr>
    <w:rPr>
      <w:i/>
      <w:iCs/>
      <w:color w:val="404040" w:themeColor="text1" w:themeTint="BF"/>
    </w:rPr>
  </w:style>
  <w:style w:type="character" w:customStyle="1" w:styleId="QuoteChar">
    <w:name w:val="Quote Char"/>
    <w:basedOn w:val="DefaultParagraphFont"/>
    <w:link w:val="Quote"/>
    <w:uiPriority w:val="29"/>
    <w:rsid w:val="00C44D1B"/>
    <w:rPr>
      <w:i/>
      <w:iCs/>
      <w:color w:val="404040" w:themeColor="text1" w:themeTint="BF"/>
    </w:rPr>
  </w:style>
  <w:style w:type="paragraph" w:styleId="ListParagraph">
    <w:name w:val="List Paragraph"/>
    <w:basedOn w:val="Normal"/>
    <w:qFormat/>
    <w:rsid w:val="00C44D1B"/>
    <w:pPr>
      <w:ind w:left="720"/>
      <w:contextualSpacing/>
    </w:pPr>
  </w:style>
  <w:style w:type="character" w:styleId="IntenseEmphasis">
    <w:name w:val="Intense Emphasis"/>
    <w:basedOn w:val="DefaultParagraphFont"/>
    <w:uiPriority w:val="21"/>
    <w:qFormat/>
    <w:rsid w:val="00C44D1B"/>
    <w:rPr>
      <w:i/>
      <w:iCs/>
      <w:color w:val="0F4761" w:themeColor="accent1" w:themeShade="BF"/>
    </w:rPr>
  </w:style>
  <w:style w:type="paragraph" w:styleId="IntenseQuote">
    <w:name w:val="Intense Quote"/>
    <w:basedOn w:val="Normal"/>
    <w:next w:val="Normal"/>
    <w:link w:val="IntenseQuoteChar"/>
    <w:uiPriority w:val="30"/>
    <w:qFormat/>
    <w:rsid w:val="00C44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D1B"/>
    <w:rPr>
      <w:i/>
      <w:iCs/>
      <w:color w:val="0F4761" w:themeColor="accent1" w:themeShade="BF"/>
    </w:rPr>
  </w:style>
  <w:style w:type="character" w:styleId="IntenseReference">
    <w:name w:val="Intense Reference"/>
    <w:basedOn w:val="DefaultParagraphFont"/>
    <w:uiPriority w:val="32"/>
    <w:qFormat/>
    <w:rsid w:val="00C44D1B"/>
    <w:rPr>
      <w:b/>
      <w:bCs/>
      <w:smallCaps/>
      <w:color w:val="0F4761" w:themeColor="accent1" w:themeShade="BF"/>
      <w:spacing w:val="5"/>
    </w:rPr>
  </w:style>
  <w:style w:type="paragraph" w:styleId="Footer">
    <w:name w:val="footer"/>
    <w:basedOn w:val="Normal"/>
    <w:link w:val="FooterChar"/>
    <w:uiPriority w:val="99"/>
    <w:unhideWhenUsed/>
    <w:rsid w:val="00E15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874"/>
  </w:style>
  <w:style w:type="character" w:styleId="Hyperlink">
    <w:name w:val="Hyperlink"/>
    <w:basedOn w:val="DefaultParagraphFont"/>
    <w:uiPriority w:val="99"/>
    <w:unhideWhenUsed/>
    <w:rsid w:val="00E15874"/>
    <w:rPr>
      <w:color w:val="467886" w:themeColor="hyperlink"/>
      <w:u w:val="single"/>
    </w:rPr>
  </w:style>
  <w:style w:type="paragraph" w:styleId="Caption">
    <w:name w:val="caption"/>
    <w:basedOn w:val="Normal"/>
    <w:next w:val="Normal"/>
    <w:uiPriority w:val="35"/>
    <w:unhideWhenUsed/>
    <w:qFormat/>
    <w:rsid w:val="00E15874"/>
    <w:pPr>
      <w:spacing w:after="200" w:line="240" w:lineRule="auto"/>
    </w:pPr>
    <w:rPr>
      <w:i/>
      <w:iCs/>
      <w:color w:val="0E2841" w:themeColor="text2"/>
      <w:sz w:val="18"/>
      <w:szCs w:val="18"/>
    </w:rPr>
  </w:style>
  <w:style w:type="paragraph" w:customStyle="1" w:styleId="EndNoteBibliography">
    <w:name w:val="EndNote Bibliography"/>
    <w:basedOn w:val="Normal"/>
    <w:link w:val="EndNoteBibliographyChar"/>
    <w:rsid w:val="00E1587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15874"/>
    <w:rPr>
      <w:rFonts w:ascii="Calibri" w:hAnsi="Calibri" w:cs="Calibri"/>
      <w:noProof/>
      <w:kern w:val="0"/>
      <w:sz w:val="22"/>
      <w:szCs w:val="22"/>
      <w14:ligatures w14:val="none"/>
    </w:rPr>
  </w:style>
  <w:style w:type="character" w:styleId="Strong">
    <w:name w:val="Strong"/>
    <w:basedOn w:val="DefaultParagraphFont"/>
    <w:uiPriority w:val="22"/>
    <w:qFormat/>
    <w:rsid w:val="00E15874"/>
    <w:rPr>
      <w:b/>
      <w:bCs/>
    </w:rPr>
  </w:style>
  <w:style w:type="table" w:styleId="PlainTable2">
    <w:name w:val="Plain Table 2"/>
    <w:basedOn w:val="TableNormal"/>
    <w:uiPriority w:val="42"/>
    <w:rsid w:val="00E15874"/>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kapsarcksa-my.sharepoint.com/personal/balawiaa_kapsarc_org/Documents/Documents/Offshore%20wind%20+%20Hydrogen/Wind%20Conversion%20file%20-%20offshore%20points%20for%20journ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 (5)'!$H$9:$H$10</c:f>
              <c:strCache>
                <c:ptCount val="2"/>
                <c:pt idx="0">
                  <c:v>15 MW turbine</c:v>
                </c:pt>
                <c:pt idx="1">
                  <c:v>Turbine Output</c:v>
                </c:pt>
              </c:strCache>
            </c:strRef>
          </c:tx>
          <c:spPr>
            <a:ln w="28575" cap="rnd">
              <a:solidFill>
                <a:schemeClr val="accent1"/>
              </a:solidFill>
              <a:round/>
            </a:ln>
            <a:effectLst/>
          </c:spPr>
          <c:marker>
            <c:symbol val="none"/>
          </c:marker>
          <c:cat>
            <c:numRef>
              <c:f>'Sheet1 (5)'!$G$11:$G$35</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'Sheet1 (5)'!$H$11:$H$35</c:f>
              <c:numCache>
                <c:formatCode>General</c:formatCode>
                <c:ptCount val="25"/>
                <c:pt idx="0">
                  <c:v>0</c:v>
                </c:pt>
                <c:pt idx="1">
                  <c:v>0</c:v>
                </c:pt>
                <c:pt idx="2">
                  <c:v>0</c:v>
                </c:pt>
                <c:pt idx="3">
                  <c:v>0.72</c:v>
                </c:pt>
                <c:pt idx="4">
                  <c:v>1.2390000000000001</c:v>
                </c:pt>
                <c:pt idx="5">
                  <c:v>2.2709999999999999</c:v>
                </c:pt>
                <c:pt idx="6">
                  <c:v>3.8170000000000002</c:v>
                </c:pt>
                <c:pt idx="7">
                  <c:v>5.8760000000000003</c:v>
                </c:pt>
                <c:pt idx="8">
                  <c:v>8.4499999999999993</c:v>
                </c:pt>
                <c:pt idx="9">
                  <c:v>11.536</c:v>
                </c:pt>
                <c:pt idx="10">
                  <c:v>15</c:v>
                </c:pt>
                <c:pt idx="11">
                  <c:v>15</c:v>
                </c:pt>
                <c:pt idx="12">
                  <c:v>15</c:v>
                </c:pt>
                <c:pt idx="13">
                  <c:v>15</c:v>
                </c:pt>
                <c:pt idx="14">
                  <c:v>15</c:v>
                </c:pt>
                <c:pt idx="15">
                  <c:v>15</c:v>
                </c:pt>
                <c:pt idx="16">
                  <c:v>15</c:v>
                </c:pt>
                <c:pt idx="17">
                  <c:v>15</c:v>
                </c:pt>
                <c:pt idx="18">
                  <c:v>15</c:v>
                </c:pt>
                <c:pt idx="19">
                  <c:v>15</c:v>
                </c:pt>
                <c:pt idx="20">
                  <c:v>15</c:v>
                </c:pt>
                <c:pt idx="21">
                  <c:v>15</c:v>
                </c:pt>
                <c:pt idx="22">
                  <c:v>15</c:v>
                </c:pt>
                <c:pt idx="23">
                  <c:v>15</c:v>
                </c:pt>
                <c:pt idx="24">
                  <c:v>15</c:v>
                </c:pt>
              </c:numCache>
            </c:numRef>
          </c:val>
          <c:smooth val="0"/>
          <c:extLst>
            <c:ext xmlns:c16="http://schemas.microsoft.com/office/drawing/2014/chart" uri="{C3380CC4-5D6E-409C-BE32-E72D297353CC}">
              <c16:uniqueId val="{00000000-66E3-4164-AC89-8FEDAB9CDEFF}"/>
            </c:ext>
          </c:extLst>
        </c:ser>
        <c:dLbls>
          <c:showLegendKey val="0"/>
          <c:showVal val="0"/>
          <c:showCatName val="0"/>
          <c:showSerName val="0"/>
          <c:showPercent val="0"/>
          <c:showBubbleSize val="0"/>
        </c:dLbls>
        <c:smooth val="0"/>
        <c:axId val="599296672"/>
        <c:axId val="599295232"/>
      </c:lineChart>
      <c:catAx>
        <c:axId val="599296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Wind speed (m/s)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9295232"/>
        <c:crosses val="autoZero"/>
        <c:auto val="1"/>
        <c:lblAlgn val="ctr"/>
        <c:lblOffset val="100"/>
        <c:noMultiLvlLbl val="0"/>
      </c:catAx>
      <c:valAx>
        <c:axId val="599295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Rated power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9296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2238</Words>
  <Characters>13294</Characters>
  <Application>Microsoft Office Word</Application>
  <DocSecurity>0</DocSecurity>
  <Lines>349</Lines>
  <Paragraphs>158</Paragraphs>
  <ScaleCrop>false</ScaleCrop>
  <Company>KAPSARC</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Albalawi</dc:creator>
  <cp:keywords/>
  <dc:description/>
  <cp:lastModifiedBy>Ahmed Albalawi</cp:lastModifiedBy>
  <cp:revision>2</cp:revision>
  <dcterms:created xsi:type="dcterms:W3CDTF">2026-04-13T10:00:00Z</dcterms:created>
  <dcterms:modified xsi:type="dcterms:W3CDTF">2026-04-13T10:03:00Z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5024791a,412e06f0,79936fc5</vt:lpwstr>
  </property>
  <property fmtid="{D5CDD505-2E9C-101B-9397-08002B2CF9AE}" pid="3" name="ClassificationContentMarkingFooterFontProps">
    <vt:lpwstr>#000000,6,Aptos</vt:lpwstr>
  </property>
  <property fmtid="{D5CDD505-2E9C-101B-9397-08002B2CF9AE}" pid="4" name="ClassificationContentMarkingFooterText">
    <vt:lpwstr>Public</vt:lpwstr>
  </property>
  <property fmtid="{D5CDD505-2E9C-101B-9397-08002B2CF9AE}" pid="5" name="MSIP_Label_3e8d34d1-3830-4ae1-841c-ed04f7a732ea_Enabled">
    <vt:lpwstr>true</vt:lpwstr>
  </property>
  <property fmtid="{D5CDD505-2E9C-101B-9397-08002B2CF9AE}" pid="6" name="MSIP_Label_3e8d34d1-3830-4ae1-841c-ed04f7a732ea_SetDate">
    <vt:lpwstr>2026-04-13T10:00:47Z</vt:lpwstr>
  </property>
  <property fmtid="{D5CDD505-2E9C-101B-9397-08002B2CF9AE}" pid="7" name="MSIP_Label_3e8d34d1-3830-4ae1-841c-ed04f7a732ea_Method">
    <vt:lpwstr>Privileged</vt:lpwstr>
  </property>
  <property fmtid="{D5CDD505-2E9C-101B-9397-08002B2CF9AE}" pid="8" name="MSIP_Label_3e8d34d1-3830-4ae1-841c-ed04f7a732ea_Name">
    <vt:lpwstr>Public</vt:lpwstr>
  </property>
  <property fmtid="{D5CDD505-2E9C-101B-9397-08002B2CF9AE}" pid="9" name="MSIP_Label_3e8d34d1-3830-4ae1-841c-ed04f7a732ea_SiteId">
    <vt:lpwstr>9d1eab37-c590-430b-ba29-48eeaea0eee2</vt:lpwstr>
  </property>
  <property fmtid="{D5CDD505-2E9C-101B-9397-08002B2CF9AE}" pid="10" name="MSIP_Label_3e8d34d1-3830-4ae1-841c-ed04f7a732ea_ActionId">
    <vt:lpwstr>fb57c8a4-810f-4818-a1cf-30823496e2cf</vt:lpwstr>
  </property>
  <property fmtid="{D5CDD505-2E9C-101B-9397-08002B2CF9AE}" pid="11" name="MSIP_Label_3e8d34d1-3830-4ae1-841c-ed04f7a732ea_ContentBits">
    <vt:lpwstr>2</vt:lpwstr>
  </property>
  <property fmtid="{D5CDD505-2E9C-101B-9397-08002B2CF9AE}" pid="12" name="MSIP_Label_3e8d34d1-3830-4ae1-841c-ed04f7a732ea_Tag">
    <vt:lpwstr>10, 0, 1, 1</vt:lpwstr>
  </property>
</Properties>
</file>