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4007E" w14:textId="77777777" w:rsidR="003D3C0F" w:rsidRPr="00727CBB" w:rsidRDefault="003D3C0F" w:rsidP="00F007AD">
      <w:pPr>
        <w:spacing w:line="360" w:lineRule="auto"/>
        <w:ind w:firstLineChars="0" w:firstLine="0"/>
        <w:jc w:val="left"/>
        <w:rPr>
          <w:b/>
          <w:bCs/>
          <w:sz w:val="30"/>
          <w:szCs w:val="30"/>
        </w:rPr>
      </w:pPr>
      <w:r w:rsidRPr="00727CBB">
        <w:rPr>
          <w:b/>
          <w:bCs/>
          <w:sz w:val="30"/>
          <w:szCs w:val="30"/>
        </w:rPr>
        <w:t xml:space="preserve">Supplementary </w:t>
      </w:r>
      <w:r w:rsidRPr="00727CBB">
        <w:rPr>
          <w:rFonts w:hint="eastAsia"/>
          <w:b/>
          <w:bCs/>
          <w:sz w:val="30"/>
          <w:szCs w:val="30"/>
        </w:rPr>
        <w:t>Method</w:t>
      </w:r>
    </w:p>
    <w:p w14:paraId="4B8394E0" w14:textId="77777777" w:rsidR="003D3C0F" w:rsidRDefault="003D3C0F" w:rsidP="006775B9">
      <w:pPr>
        <w:spacing w:line="360" w:lineRule="auto"/>
        <w:ind w:firstLineChars="0" w:firstLine="0"/>
        <w:rPr>
          <w:b/>
          <w:bCs/>
          <w:sz w:val="24"/>
        </w:rPr>
      </w:pPr>
      <w:r>
        <w:rPr>
          <w:rFonts w:hint="eastAsia"/>
          <w:b/>
          <w:bCs/>
          <w:sz w:val="24"/>
        </w:rPr>
        <w:t xml:space="preserve">Causal </w:t>
      </w:r>
      <w:r w:rsidRPr="00727CBB">
        <w:rPr>
          <w:b/>
          <w:bCs/>
          <w:sz w:val="24"/>
        </w:rPr>
        <w:t xml:space="preserve">relations among the whole set of </w:t>
      </w:r>
      <w:r>
        <w:rPr>
          <w:rFonts w:hint="eastAsia"/>
          <w:b/>
          <w:bCs/>
          <w:sz w:val="24"/>
        </w:rPr>
        <w:t>196</w:t>
      </w:r>
      <w:r w:rsidRPr="00727CBB">
        <w:rPr>
          <w:b/>
          <w:bCs/>
          <w:sz w:val="24"/>
        </w:rPr>
        <w:t xml:space="preserve"> diseases</w:t>
      </w:r>
    </w:p>
    <w:p w14:paraId="11F32A92" w14:textId="4C999B26" w:rsidR="003D3C0F" w:rsidRDefault="003D3C0F" w:rsidP="00F13EE6">
      <w:pPr>
        <w:spacing w:line="360" w:lineRule="auto"/>
        <w:ind w:firstLine="480"/>
        <w:rPr>
          <w:sz w:val="24"/>
        </w:rPr>
      </w:pPr>
      <w:r w:rsidRPr="006C6C0C">
        <w:rPr>
          <w:sz w:val="24"/>
        </w:rPr>
        <w:t xml:space="preserve">By pairing every possible combination of two diagnoses, we generated a large set of diagnostic pairs. For each pair </w:t>
      </w:r>
      <m:oMath>
        <m:d>
          <m:dPr>
            <m:ctrlPr>
              <w:rPr>
                <w:rFonts w:ascii="Cambria Math" w:hAnsi="Cambria Math"/>
                <w:bCs/>
                <w:i/>
                <w:sz w:val="24"/>
              </w:rPr>
            </m:ctrlPr>
          </m:dPr>
          <m:e>
            <m:sSub>
              <m:sSubPr>
                <m:ctrlPr>
                  <w:rPr>
                    <w:rFonts w:ascii="Cambria Math" w:hAnsi="Cambria Math"/>
                    <w:i/>
                    <w:sz w:val="24"/>
                  </w:rPr>
                </m:ctrlPr>
              </m:sSubPr>
              <m:e>
                <m:r>
                  <w:rPr>
                    <w:rFonts w:ascii="Cambria Math" w:hAnsi="Cambria Math" w:hint="eastAsia"/>
                    <w:sz w:val="24"/>
                  </w:rPr>
                  <m:t>D</m:t>
                </m:r>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hint="eastAsia"/>
                    <w:sz w:val="24"/>
                  </w:rPr>
                  <m:t>D</m:t>
                </m:r>
              </m:e>
              <m:sub>
                <m:r>
                  <w:rPr>
                    <w:rFonts w:ascii="Cambria Math" w:hAnsi="Cambria Math"/>
                    <w:sz w:val="24"/>
                  </w:rPr>
                  <m:t>2</m:t>
                </m:r>
              </m:sub>
            </m:sSub>
            <m:r>
              <w:rPr>
                <w:rFonts w:ascii="Cambria Math" w:hAnsi="Cambria Math"/>
                <w:sz w:val="24"/>
              </w:rPr>
              <m:t>​</m:t>
            </m:r>
            <m:ctrlPr>
              <w:rPr>
                <w:rFonts w:ascii="Cambria Math" w:hAnsi="Cambria Math"/>
                <w:i/>
                <w:sz w:val="24"/>
              </w:rPr>
            </m:ctrlPr>
          </m:e>
        </m:d>
      </m:oMath>
      <w:r w:rsidRPr="006C6C0C">
        <w:rPr>
          <w:sz w:val="24"/>
        </w:rPr>
        <w:t xml:space="preserve">, we then constructed a separate cohort </w:t>
      </w:r>
      <w:r w:rsidRPr="00DE33B5">
        <w:rPr>
          <w:sz w:val="24"/>
        </w:rPr>
        <w:t xml:space="preserve">(Figure </w:t>
      </w:r>
      <w:r w:rsidR="00201A0C" w:rsidRPr="00DE33B5">
        <w:rPr>
          <w:rFonts w:hint="eastAsia"/>
          <w:sz w:val="24"/>
        </w:rPr>
        <w:t>1</w:t>
      </w:r>
      <w:r w:rsidRPr="00DE33B5">
        <w:rPr>
          <w:sz w:val="24"/>
        </w:rPr>
        <w:t>). Wit</w:t>
      </w:r>
      <w:r w:rsidRPr="006C6C0C">
        <w:rPr>
          <w:sz w:val="24"/>
        </w:rPr>
        <w:t xml:space="preserve">hin that cohort, all individuals with a first‐occurrence diagnosis of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Pr="006C6C0C">
        <w:rPr>
          <w:rFonts w:ascii="Cambria Math" w:hAnsi="Cambria Math"/>
          <w:i/>
          <w:sz w:val="24"/>
        </w:rPr>
        <w:t>​</w:t>
      </w:r>
      <w:r w:rsidRPr="006C6C0C">
        <w:rPr>
          <w:sz w:val="24"/>
        </w:rPr>
        <w:t xml:space="preserve">​ (and no prior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Pr="006C6C0C">
        <w:rPr>
          <w:sz w:val="24"/>
        </w:rPr>
        <w:t xml:space="preserve">) comprised the exposed group </w:t>
      </w:r>
      <w:r>
        <w:rPr>
          <w:rFonts w:hint="eastAsia"/>
          <w:sz w:val="24"/>
        </w:rPr>
        <w:t>(</w:t>
      </w:r>
      <m:oMath>
        <m:sSub>
          <m:sSubPr>
            <m:ctrlPr>
              <w:rPr>
                <w:rFonts w:ascii="Cambria Math" w:hAnsi="Cambria Math"/>
                <w:bCs/>
                <w:i/>
                <w:sz w:val="24"/>
              </w:rPr>
            </m:ctrlPr>
          </m:sSubPr>
          <m:e>
            <m:r>
              <w:rPr>
                <w:rFonts w:ascii="Cambria Math" w:hAnsi="Cambria Math"/>
                <w:sz w:val="24"/>
              </w:rPr>
              <m:t>N</m:t>
            </m:r>
          </m:e>
          <m:sub>
            <m:r>
              <w:rPr>
                <w:rFonts w:ascii="Cambria Math" w:hAnsi="Cambria Math"/>
                <w:sz w:val="24"/>
              </w:rPr>
              <m:t>exposed</m:t>
            </m:r>
          </m:sub>
        </m:sSub>
      </m:oMath>
      <w:r>
        <w:rPr>
          <w:rFonts w:hint="eastAsia"/>
          <w:sz w:val="24"/>
        </w:rPr>
        <w:t>)</w:t>
      </w:r>
      <w:r w:rsidRPr="006C6C0C">
        <w:rPr>
          <w:sz w:val="24"/>
        </w:rPr>
        <w:t xml:space="preserve">; the date of hospital discharge for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Pr="006C6C0C">
        <w:rPr>
          <w:rFonts w:ascii="Cambria Math" w:hAnsi="Cambria Math"/>
          <w:i/>
          <w:sz w:val="24"/>
        </w:rPr>
        <w:t>​</w:t>
      </w:r>
      <w:r w:rsidRPr="006C6C0C">
        <w:rPr>
          <w:sz w:val="24"/>
        </w:rPr>
        <w:t xml:space="preserve">​​ defined each subject’s time zero. We then counted the number of those subjects who received a diagnosis of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Pr="006C6C0C">
        <w:rPr>
          <w:sz w:val="24"/>
        </w:rPr>
        <w:t>​ within five years</w:t>
      </w:r>
      <w:r>
        <w:rPr>
          <w:rFonts w:hint="eastAsia"/>
          <w:sz w:val="24"/>
        </w:rPr>
        <w:t xml:space="preserve"> (</w:t>
      </w:r>
      <m:oMath>
        <m:sSub>
          <m:sSubPr>
            <m:ctrlPr>
              <w:rPr>
                <w:rFonts w:ascii="Cambria Math" w:hAnsi="Cambria Math"/>
                <w:bCs/>
                <w:i/>
                <w:sz w:val="24"/>
              </w:rPr>
            </m:ctrlPr>
          </m:sSubPr>
          <m:e>
            <m:r>
              <w:rPr>
                <w:rFonts w:ascii="Cambria Math" w:hAnsi="Cambria Math"/>
                <w:sz w:val="24"/>
              </w:rPr>
              <m:t>C</m:t>
            </m:r>
          </m:e>
          <m:sub>
            <m:r>
              <w:rPr>
                <w:rFonts w:ascii="Cambria Math" w:hAnsi="Cambria Math"/>
                <w:sz w:val="24"/>
              </w:rPr>
              <m:t>exposed</m:t>
            </m:r>
          </m:sub>
        </m:sSub>
      </m:oMath>
      <w:r w:rsidRPr="006C6C0C">
        <w:rPr>
          <w:sz w:val="24"/>
        </w:rPr>
        <w:t>​​</w:t>
      </w:r>
      <w:r>
        <w:rPr>
          <w:rFonts w:hint="eastAsia"/>
          <w:sz w:val="24"/>
        </w:rPr>
        <w:t>)</w:t>
      </w:r>
      <w:r w:rsidRPr="006C6C0C">
        <w:rPr>
          <w:sz w:val="24"/>
        </w:rPr>
        <w:t>. In parallel, we built 1:1 age‐, sex‐, and discharge‐date–matched control group</w:t>
      </w:r>
      <w:r w:rsidR="00F13EE6">
        <w:rPr>
          <w:rFonts w:hint="eastAsia"/>
          <w:sz w:val="24"/>
        </w:rPr>
        <w:t>s</w:t>
      </w:r>
      <w:r w:rsidRPr="006C6C0C">
        <w:rPr>
          <w:sz w:val="24"/>
        </w:rPr>
        <w:t xml:space="preserve"> of individuals without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Pr="006C6C0C">
        <w:rPr>
          <w:rFonts w:ascii="Cambria Math" w:hAnsi="Cambria Math"/>
          <w:i/>
          <w:sz w:val="24"/>
        </w:rPr>
        <w:t>​</w:t>
      </w:r>
      <w:r w:rsidRPr="006C6C0C">
        <w:rPr>
          <w:sz w:val="24"/>
        </w:rPr>
        <w:t>​​​ (</w:t>
      </w:r>
      <w:bookmarkStart w:id="0" w:name="OLE_LINK2"/>
      <m:oMath>
        <m:sSub>
          <m:sSubPr>
            <m:ctrlPr>
              <w:rPr>
                <w:rFonts w:ascii="Cambria Math" w:hAnsi="Cambria Math"/>
                <w:bCs/>
                <w:i/>
                <w:sz w:val="24"/>
              </w:rPr>
            </m:ctrlPr>
          </m:sSubPr>
          <m:e>
            <m:r>
              <w:rPr>
                <w:rFonts w:ascii="Cambria Math" w:hAnsi="Cambria Math"/>
                <w:sz w:val="24"/>
              </w:rPr>
              <m:t>N</m:t>
            </m:r>
          </m:e>
          <m:sub>
            <m:r>
              <w:rPr>
                <w:rFonts w:ascii="Cambria Math" w:hAnsi="Cambria Math"/>
                <w:sz w:val="24"/>
              </w:rPr>
              <m:t>control</m:t>
            </m:r>
          </m:sub>
        </m:sSub>
      </m:oMath>
      <w:r w:rsidRPr="006C6C0C">
        <w:rPr>
          <w:sz w:val="24"/>
        </w:rPr>
        <w:t>)</w:t>
      </w:r>
      <w:bookmarkEnd w:id="0"/>
      <w:r w:rsidRPr="006C6C0C">
        <w:rPr>
          <w:sz w:val="24"/>
        </w:rPr>
        <w:t xml:space="preserve"> and likewise observed their five‐year incidence of</w:t>
      </w:r>
      <w:r>
        <w:rPr>
          <w:rFonts w:hint="eastAsia"/>
          <w:sz w:val="24"/>
        </w:rPr>
        <w:t xml:space="preserve">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Pr="006C6C0C">
        <w:rPr>
          <w:sz w:val="24"/>
        </w:rPr>
        <w:t>​​</w:t>
      </w:r>
      <w:r>
        <w:rPr>
          <w:rFonts w:hint="eastAsia"/>
          <w:sz w:val="24"/>
        </w:rPr>
        <w:t xml:space="preserve"> (</w:t>
      </w:r>
      <m:oMath>
        <m:sSub>
          <m:sSubPr>
            <m:ctrlPr>
              <w:rPr>
                <w:rFonts w:ascii="Cambria Math" w:hAnsi="Cambria Math"/>
                <w:bCs/>
                <w:i/>
                <w:sz w:val="24"/>
              </w:rPr>
            </m:ctrlPr>
          </m:sSubPr>
          <m:e>
            <m:r>
              <w:rPr>
                <w:rFonts w:ascii="Cambria Math" w:hAnsi="Cambria Math"/>
                <w:sz w:val="24"/>
              </w:rPr>
              <m:t>C</m:t>
            </m:r>
          </m:e>
          <m:sub>
            <m:r>
              <w:rPr>
                <w:rFonts w:ascii="Cambria Math" w:hAnsi="Cambria Math"/>
                <w:sz w:val="24"/>
              </w:rPr>
              <m:t>control</m:t>
            </m:r>
          </m:sub>
        </m:sSub>
      </m:oMath>
      <w:r w:rsidRPr="006C6C0C">
        <w:rPr>
          <w:sz w:val="24"/>
        </w:rPr>
        <w:t>​​</w:t>
      </w:r>
      <w:r>
        <w:rPr>
          <w:rFonts w:hint="eastAsia"/>
          <w:sz w:val="24"/>
        </w:rPr>
        <w:t>)</w:t>
      </w:r>
      <w:r w:rsidRPr="006C6C0C">
        <w:rPr>
          <w:sz w:val="24"/>
        </w:rPr>
        <w:t xml:space="preserve">​. To ensure temporal ordering, anyone in either group with a prior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Pr="006C6C0C">
        <w:rPr>
          <w:sz w:val="24"/>
        </w:rPr>
        <w:t>​ diagnosis before time zero was excluded from analysis.</w:t>
      </w:r>
    </w:p>
    <w:p w14:paraId="4AFB01F4" w14:textId="48A17071" w:rsidR="00201A0C" w:rsidRDefault="00DA7132" w:rsidP="00F13EE6">
      <w:pPr>
        <w:spacing w:line="360" w:lineRule="auto"/>
        <w:ind w:firstLineChars="0" w:firstLine="0"/>
        <w:jc w:val="center"/>
        <w:rPr>
          <w:sz w:val="24"/>
        </w:rPr>
      </w:pPr>
      <w:r>
        <w:rPr>
          <w:noProof/>
          <w14:ligatures w14:val="standardContextual"/>
        </w:rPr>
        <w:drawing>
          <wp:inline distT="0" distB="0" distL="0" distR="0" wp14:anchorId="74637631" wp14:editId="561C6E40">
            <wp:extent cx="4379087" cy="3271968"/>
            <wp:effectExtent l="0" t="0" r="2540" b="5080"/>
            <wp:docPr id="1606246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46779" name=""/>
                    <pic:cNvPicPr/>
                  </pic:nvPicPr>
                  <pic:blipFill>
                    <a:blip r:embed="rId7"/>
                    <a:stretch>
                      <a:fillRect/>
                    </a:stretch>
                  </pic:blipFill>
                  <pic:spPr>
                    <a:xfrm>
                      <a:off x="0" y="0"/>
                      <a:ext cx="4382814" cy="3274752"/>
                    </a:xfrm>
                    <a:prstGeom prst="rect">
                      <a:avLst/>
                    </a:prstGeom>
                  </pic:spPr>
                </pic:pic>
              </a:graphicData>
            </a:graphic>
          </wp:inline>
        </w:drawing>
      </w:r>
    </w:p>
    <w:p w14:paraId="76117C83" w14:textId="26A6EA43" w:rsidR="00DA7132" w:rsidRPr="00581D31" w:rsidRDefault="00DA7132" w:rsidP="00581D31">
      <w:pPr>
        <w:spacing w:line="240" w:lineRule="auto"/>
        <w:ind w:firstLineChars="0" w:firstLine="0"/>
        <w:rPr>
          <w:sz w:val="21"/>
          <w:szCs w:val="21"/>
        </w:rPr>
      </w:pPr>
      <w:r w:rsidRPr="00581D31">
        <w:rPr>
          <w:b/>
          <w:bCs/>
          <w:sz w:val="21"/>
          <w:szCs w:val="21"/>
        </w:rPr>
        <w:t xml:space="preserve">Figure 1. </w:t>
      </w:r>
      <w:bookmarkStart w:id="1" w:name="OLE_LINK1"/>
      <w:r w:rsidRPr="00581D31">
        <w:rPr>
          <w:b/>
          <w:bCs/>
          <w:sz w:val="21"/>
          <w:szCs w:val="21"/>
        </w:rPr>
        <w:t>Schematic of Cohort Construction and Five-Year Follow-up for D₂ Incidence in Exposed versus Matched Control Groups</w:t>
      </w:r>
      <w:r w:rsidR="008C12C8" w:rsidRPr="00581D31">
        <w:rPr>
          <w:rFonts w:hint="eastAsia"/>
          <w:b/>
          <w:bCs/>
          <w:sz w:val="21"/>
          <w:szCs w:val="21"/>
        </w:rPr>
        <w:t>.</w:t>
      </w:r>
      <w:r w:rsidR="00581D31" w:rsidRPr="00581D31">
        <w:rPr>
          <w:rFonts w:hint="eastAsia"/>
          <w:b/>
          <w:bCs/>
          <w:sz w:val="21"/>
          <w:szCs w:val="21"/>
        </w:rPr>
        <w:t xml:space="preserve"> </w:t>
      </w:r>
      <w:r w:rsidR="00581D31" w:rsidRPr="00581D31">
        <w:rPr>
          <w:sz w:val="21"/>
          <w:szCs w:val="21"/>
        </w:rPr>
        <w:t>Exposed group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exposed</m:t>
            </m:r>
          </m:sub>
        </m:sSub>
      </m:oMath>
      <w:r w:rsidR="00581D31" w:rsidRPr="00581D31">
        <w:rPr>
          <w:sz w:val="21"/>
          <w:szCs w:val="21"/>
        </w:rPr>
        <w:t>): individuals with a first‐occurrence D₁ and no prior D₂.</w:t>
      </w:r>
      <w:r w:rsidR="00581D31" w:rsidRPr="00581D31">
        <w:rPr>
          <w:rFonts w:hint="eastAsia"/>
          <w:sz w:val="21"/>
          <w:szCs w:val="21"/>
        </w:rPr>
        <w:t xml:space="preserve"> </w:t>
      </w:r>
      <w:r w:rsidR="00581D31" w:rsidRPr="00581D31">
        <w:rPr>
          <w:sz w:val="21"/>
          <w:szCs w:val="21"/>
        </w:rPr>
        <w:t>Control group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control</m:t>
            </m:r>
          </m:sub>
        </m:sSub>
      </m:oMath>
      <w:r w:rsidR="00581D31" w:rsidRPr="00581D31">
        <w:rPr>
          <w:sz w:val="21"/>
          <w:szCs w:val="21"/>
        </w:rPr>
        <w:t>): age-, sex- and discharge-date–matched individuals without prior D₁ or D₂ (1</w:t>
      </w:r>
      <w:r w:rsidR="00581D31" w:rsidRPr="00581D31">
        <w:rPr>
          <w:rFonts w:ascii="Cambria Math" w:hAnsi="Cambria Math" w:cs="Cambria Math"/>
          <w:sz w:val="21"/>
          <w:szCs w:val="21"/>
        </w:rPr>
        <w:t>∶</w:t>
      </w:r>
      <w:r w:rsidR="00581D31" w:rsidRPr="00581D31">
        <w:rPr>
          <w:sz w:val="21"/>
          <w:szCs w:val="21"/>
        </w:rPr>
        <w:t>1 matching).</w:t>
      </w:r>
    </w:p>
    <w:bookmarkEnd w:id="1"/>
    <w:p w14:paraId="6A18FCB3" w14:textId="77777777" w:rsidR="00DA7132" w:rsidRDefault="00DA7132" w:rsidP="006775B9">
      <w:pPr>
        <w:spacing w:line="360" w:lineRule="auto"/>
        <w:ind w:firstLineChars="0" w:firstLine="0"/>
        <w:rPr>
          <w:sz w:val="24"/>
        </w:rPr>
      </w:pPr>
    </w:p>
    <w:p w14:paraId="209B44E2" w14:textId="77777777" w:rsidR="00DA7132" w:rsidRDefault="00DA7132" w:rsidP="006775B9">
      <w:pPr>
        <w:spacing w:line="360" w:lineRule="auto"/>
        <w:ind w:firstLineChars="0" w:firstLine="0"/>
        <w:rPr>
          <w:sz w:val="24"/>
        </w:rPr>
      </w:pPr>
    </w:p>
    <w:p w14:paraId="716147D6" w14:textId="5BA33E56" w:rsidR="008C2635" w:rsidRDefault="003D3C0F" w:rsidP="00F13EE6">
      <w:pPr>
        <w:spacing w:line="360" w:lineRule="auto"/>
        <w:ind w:firstLine="480"/>
        <w:rPr>
          <w:sz w:val="24"/>
        </w:rPr>
      </w:pPr>
      <w:r w:rsidRPr="00100BDA">
        <w:rPr>
          <w:sz w:val="24"/>
        </w:rPr>
        <w:t xml:space="preserve">We quantified the strength of association for each diagnostic pair by computing </w:t>
      </w:r>
      <w:r w:rsidRPr="00100BDA">
        <w:rPr>
          <w:sz w:val="24"/>
        </w:rPr>
        <w:lastRenderedPageBreak/>
        <w:t>the risk ratio (RR)</w:t>
      </w:r>
      <w:r w:rsidR="008C2635">
        <w:rPr>
          <w:rFonts w:hint="eastAsia"/>
          <w:sz w:val="24"/>
        </w:rPr>
        <w:t>:</w:t>
      </w:r>
    </w:p>
    <w:p w14:paraId="7AEAA158" w14:textId="4E862B7D" w:rsidR="008C2635" w:rsidRPr="000668A3" w:rsidRDefault="008C2635" w:rsidP="006775B9">
      <w:pPr>
        <w:spacing w:line="360" w:lineRule="auto"/>
        <w:ind w:firstLineChars="0" w:firstLine="0"/>
        <w:rPr>
          <w:szCs w:val="28"/>
        </w:rPr>
      </w:pPr>
      <w:bookmarkStart w:id="2" w:name="_Hlk185521479"/>
      <m:oMathPara>
        <m:oMath>
          <m:r>
            <w:rPr>
              <w:rFonts w:ascii="Cambria Math" w:hAnsi="Cambria Math"/>
              <w:szCs w:val="28"/>
            </w:rPr>
            <m:t>Relative Risk </m:t>
          </m:r>
          <m:d>
            <m:dPr>
              <m:ctrlPr>
                <w:rPr>
                  <w:rFonts w:ascii="Cambria Math" w:hAnsi="Cambria Math"/>
                  <w:szCs w:val="28"/>
                </w:rPr>
              </m:ctrlPr>
            </m:dPr>
            <m:e>
              <m:r>
                <w:rPr>
                  <w:rFonts w:ascii="Cambria Math" w:hAnsi="Cambria Math"/>
                  <w:szCs w:val="28"/>
                </w:rPr>
                <m:t>RR</m:t>
              </m:r>
              <m:ctrlPr>
                <w:rPr>
                  <w:rFonts w:ascii="Cambria Math" w:hAnsi="Cambria Math"/>
                  <w:i/>
                  <w:szCs w:val="28"/>
                </w:rPr>
              </m:ctrlPr>
            </m:e>
          </m:d>
          <m:r>
            <m:rPr>
              <m:sty m:val="p"/>
            </m:rPr>
            <w:rPr>
              <w:rFonts w:ascii="Cambria Math" w:hAnsi="Cambria Math"/>
              <w:szCs w:val="28"/>
            </w:rPr>
            <m:t>=</m:t>
          </m:r>
          <m:f>
            <m:fPr>
              <m:ctrlPr>
                <w:rPr>
                  <w:rFonts w:ascii="Cambria Math" w:hAnsi="Cambria Math"/>
                  <w:szCs w:val="28"/>
                </w:rPr>
              </m:ctrlPr>
            </m:fPr>
            <m:num>
              <m:sSub>
                <m:sSubPr>
                  <m:ctrlPr>
                    <w:rPr>
                      <w:rFonts w:ascii="Cambria Math" w:hAnsi="Cambria Math"/>
                      <w:i/>
                      <w:szCs w:val="28"/>
                    </w:rPr>
                  </m:ctrlPr>
                </m:sSubPr>
                <m:e>
                  <m:r>
                    <w:rPr>
                      <w:rFonts w:ascii="Cambria Math" w:hAnsi="Cambria Math"/>
                      <w:szCs w:val="28"/>
                    </w:rPr>
                    <m:t>C</m:t>
                  </m:r>
                  <m:ctrlPr>
                    <w:rPr>
                      <w:rFonts w:ascii="Cambria Math" w:hAnsi="Cambria Math"/>
                      <w:szCs w:val="28"/>
                    </w:rPr>
                  </m:ctrlPr>
                </m:e>
                <m:sub>
                  <m:r>
                    <w:rPr>
                      <w:rFonts w:ascii="Cambria Math" w:hAnsi="Cambria Math"/>
                      <w:szCs w:val="28"/>
                    </w:rPr>
                    <m:t>exposed</m:t>
                  </m:r>
                </m:sub>
              </m:sSub>
            </m:num>
            <m:den>
              <m:f>
                <m:fPr>
                  <m:ctrlPr>
                    <w:rPr>
                      <w:rFonts w:ascii="Cambria Math" w:hAnsi="Cambria Math"/>
                      <w:szCs w:val="28"/>
                    </w:rPr>
                  </m:ctrlPr>
                </m:fPr>
                <m:num>
                  <m:r>
                    <w:rPr>
                      <w:rFonts w:ascii="Cambria Math" w:hAnsi="Cambria Math"/>
                      <w:szCs w:val="28"/>
                    </w:rPr>
                    <m:t>1</m:t>
                  </m:r>
                </m:num>
                <m:den>
                  <m:r>
                    <w:rPr>
                      <w:rFonts w:ascii="Cambria Math" w:hAnsi="Cambria Math"/>
                      <w:szCs w:val="28"/>
                    </w:rPr>
                    <m:t>N</m:t>
                  </m:r>
                </m:den>
              </m:f>
              <m:nary>
                <m:naryPr>
                  <m:chr m:val="∑"/>
                  <m:supHide m:val="1"/>
                  <m:ctrlPr>
                    <w:rPr>
                      <w:rFonts w:ascii="Cambria Math" w:hAnsi="Cambria Math"/>
                      <w:szCs w:val="28"/>
                    </w:rPr>
                  </m:ctrlPr>
                </m:naryPr>
                <m:sub>
                  <m:r>
                    <w:rPr>
                      <w:rFonts w:ascii="Cambria Math" w:hAnsi="Cambria Math"/>
                      <w:szCs w:val="28"/>
                    </w:rPr>
                    <m:t>i</m:t>
                  </m:r>
                  <m:ctrlPr>
                    <w:rPr>
                      <w:rFonts w:ascii="Cambria Math" w:hAnsi="Cambria Math"/>
                      <w:i/>
                      <w:szCs w:val="28"/>
                    </w:rPr>
                  </m:ctrlPr>
                </m:sub>
                <m:sup>
                  <m:ctrlPr>
                    <w:rPr>
                      <w:rFonts w:ascii="Cambria Math" w:hAnsi="Cambria Math"/>
                      <w:i/>
                      <w:szCs w:val="28"/>
                    </w:rPr>
                  </m:ctrlPr>
                </m:sup>
                <m:e>
                  <m:sSub>
                    <m:sSubPr>
                      <m:ctrlPr>
                        <w:rPr>
                          <w:rFonts w:ascii="Cambria Math" w:hAnsi="Cambria Math"/>
                          <w:i/>
                          <w:szCs w:val="28"/>
                        </w:rPr>
                      </m:ctrlPr>
                    </m:sSubPr>
                    <m:e>
                      <m:r>
                        <w:rPr>
                          <w:rFonts w:ascii="Cambria Math" w:hAnsi="Cambria Math"/>
                          <w:szCs w:val="28"/>
                        </w:rPr>
                        <m:t>C</m:t>
                      </m:r>
                    </m:e>
                    <m:sub>
                      <m:r>
                        <w:rPr>
                          <w:rFonts w:ascii="Cambria Math" w:hAnsi="Cambria Math"/>
                          <w:szCs w:val="28"/>
                        </w:rPr>
                        <m:t>control, i</m:t>
                      </m:r>
                    </m:sub>
                  </m:sSub>
                  <m:ctrlPr>
                    <w:rPr>
                      <w:rFonts w:ascii="Cambria Math" w:hAnsi="Cambria Math"/>
                      <w:i/>
                      <w:szCs w:val="28"/>
                    </w:rPr>
                  </m:ctrlPr>
                </m:e>
              </m:nary>
            </m:den>
          </m:f>
        </m:oMath>
      </m:oMathPara>
      <w:bookmarkEnd w:id="2"/>
    </w:p>
    <w:p w14:paraId="5941022A" w14:textId="370A98FE" w:rsidR="000668A3" w:rsidRDefault="00FA7313" w:rsidP="000668A3">
      <w:pPr>
        <w:spacing w:line="360" w:lineRule="auto"/>
        <w:ind w:firstLineChars="0" w:firstLine="0"/>
        <w:jc w:val="center"/>
        <w:rPr>
          <w:sz w:val="24"/>
        </w:rPr>
      </w:pPr>
      <w:r>
        <w:rPr>
          <w:rFonts w:hint="eastAsia"/>
          <w:sz w:val="24"/>
        </w:rPr>
        <w:t>(</w:t>
      </w:r>
      <w:r w:rsidR="000668A3" w:rsidRPr="00F007AD">
        <w:rPr>
          <w:sz w:val="24"/>
        </w:rPr>
        <w:t xml:space="preserve">Equation </w:t>
      </w:r>
      <w:r w:rsidR="000668A3">
        <w:rPr>
          <w:rFonts w:hint="eastAsia"/>
          <w:sz w:val="24"/>
        </w:rPr>
        <w:t>1</w:t>
      </w:r>
      <w:r w:rsidR="000668A3" w:rsidRPr="00F007AD">
        <w:rPr>
          <w:sz w:val="24"/>
        </w:rPr>
        <w:t>)</w:t>
      </w:r>
    </w:p>
    <w:p w14:paraId="38B4EAAC" w14:textId="6D423004" w:rsidR="003D3C0F" w:rsidRPr="006D7FE6" w:rsidRDefault="003D3C0F" w:rsidP="00F966F1">
      <w:pPr>
        <w:spacing w:line="360" w:lineRule="auto"/>
        <w:ind w:firstLineChars="0" w:firstLine="0"/>
        <w:rPr>
          <w:sz w:val="24"/>
        </w:rPr>
      </w:pPr>
      <w:r w:rsidRPr="00100BDA">
        <w:rPr>
          <w:sz w:val="24"/>
        </w:rPr>
        <w:t xml:space="preserve">To obtain confidence bounds and a significance </w:t>
      </w:r>
      <w:r w:rsidRPr="00100BDA">
        <w:rPr>
          <w:rFonts w:hint="eastAsia"/>
          <w:i/>
          <w:iCs/>
          <w:sz w:val="24"/>
        </w:rPr>
        <w:t>P</w:t>
      </w:r>
      <w:r w:rsidRPr="00100BDA">
        <w:rPr>
          <w:sz w:val="24"/>
        </w:rPr>
        <w:t xml:space="preserve"> value (Equation 2) without relying solely on a single point estimate, we would ideally resample controls many times. </w:t>
      </w:r>
    </w:p>
    <w:p w14:paraId="5EA9B31A" w14:textId="10B539DF" w:rsidR="003D3C0F" w:rsidRPr="000668A3" w:rsidRDefault="003D3C0F" w:rsidP="00F966F1">
      <w:pPr>
        <w:spacing w:line="360" w:lineRule="auto"/>
        <w:ind w:firstLineChars="0" w:firstLine="0"/>
        <w:rPr>
          <w:szCs w:val="28"/>
        </w:rPr>
      </w:pPr>
      <w:bookmarkStart w:id="3" w:name="_Hlk185521491"/>
      <m:oMathPara>
        <m:oMath>
          <m:r>
            <w:rPr>
              <w:rFonts w:ascii="Cambria Math" w:hAnsi="Cambria Math"/>
              <w:szCs w:val="28"/>
            </w:rPr>
            <m:t>P</m:t>
          </m:r>
          <m:r>
            <m:rPr>
              <m:sty m:val="p"/>
            </m:rPr>
            <w:rPr>
              <w:rFonts w:ascii="Cambria Math" w:hAnsi="Cambria Math"/>
              <w:szCs w:val="28"/>
            </w:rPr>
            <m:t>=</m:t>
          </m:r>
          <m:f>
            <m:fPr>
              <m:ctrlPr>
                <w:rPr>
                  <w:rFonts w:ascii="Cambria Math" w:hAnsi="Cambria Math"/>
                  <w:i/>
                  <w:szCs w:val="28"/>
                </w:rPr>
              </m:ctrlPr>
            </m:fPr>
            <m:num>
              <m:r>
                <m:rPr>
                  <m:sty m:val="p"/>
                </m:rPr>
                <w:rPr>
                  <w:rFonts w:ascii="Cambria Math" w:hAnsi="Cambria Math"/>
                  <w:szCs w:val="28"/>
                </w:rPr>
                <m:t>1</m:t>
              </m:r>
              <m:ctrlPr>
                <w:rPr>
                  <w:rFonts w:ascii="Cambria Math" w:hAnsi="Cambria Math"/>
                  <w:szCs w:val="28"/>
                </w:rPr>
              </m:ctrlPr>
            </m:num>
            <m:den>
              <m:r>
                <m:rPr>
                  <m:sty m:val="p"/>
                </m:rPr>
                <w:rPr>
                  <w:rFonts w:ascii="Cambria Math" w:hAnsi="Cambria Math"/>
                  <w:szCs w:val="28"/>
                </w:rPr>
                <m:t>N</m:t>
              </m:r>
            </m:den>
          </m:f>
          <m:d>
            <m:dPr>
              <m:begChr m:val="{"/>
              <m:endChr m:val="}"/>
              <m:ctrlPr>
                <w:rPr>
                  <w:rFonts w:ascii="Cambria Math" w:hAnsi="Cambria Math"/>
                  <w:i/>
                  <w:szCs w:val="28"/>
                </w:rPr>
              </m:ctrlPr>
            </m:dPr>
            <m:e>
              <m:d>
                <m:dPr>
                  <m:begChr m:val=""/>
                  <m:endChr m:val="|"/>
                  <m:ctrlPr>
                    <w:rPr>
                      <w:rFonts w:ascii="Cambria Math" w:hAnsi="Cambria Math"/>
                      <w:i/>
                      <w:szCs w:val="28"/>
                    </w:rPr>
                  </m:ctrlPr>
                </m:dPr>
                <m:e>
                  <m:r>
                    <m:rPr>
                      <m:sty m:val="p"/>
                    </m:rPr>
                    <w:rPr>
                      <w:rFonts w:ascii="Cambria Math" w:hAnsi="Cambria Math"/>
                      <w:szCs w:val="28"/>
                    </w:rPr>
                    <m:t>i</m:t>
                  </m:r>
                </m:e>
              </m:d>
              <m:sSub>
                <m:sSubPr>
                  <m:ctrlPr>
                    <w:rPr>
                      <w:rFonts w:ascii="Cambria Math" w:hAnsi="Cambria Math"/>
                      <w:i/>
                      <w:szCs w:val="28"/>
                    </w:rPr>
                  </m:ctrlPr>
                </m:sSubPr>
                <m:e>
                  <m:r>
                    <w:rPr>
                      <w:rFonts w:ascii="Cambria Math" w:hAnsi="Cambria Math"/>
                      <w:szCs w:val="28"/>
                    </w:rPr>
                    <m:t>C</m:t>
                  </m:r>
                </m:e>
                <m:sub>
                  <m:r>
                    <w:rPr>
                      <w:rFonts w:ascii="Cambria Math" w:hAnsi="Cambria Math"/>
                      <w:szCs w:val="28"/>
                    </w:rPr>
                    <m:t>control,  i</m:t>
                  </m:r>
                </m:sub>
              </m:sSub>
              <m:r>
                <m:rPr>
                  <m:sty m:val="p"/>
                </m:rPr>
                <w:rPr>
                  <w:rFonts w:ascii="Cambria Math" w:hAnsi="Cambria Math"/>
                  <w:szCs w:val="28"/>
                </w:rPr>
                <m:t>≥</m:t>
              </m:r>
              <m:sSub>
                <m:sSubPr>
                  <m:ctrlPr>
                    <w:rPr>
                      <w:rFonts w:ascii="Cambria Math" w:hAnsi="Cambria Math"/>
                      <w:i/>
                      <w:szCs w:val="28"/>
                    </w:rPr>
                  </m:ctrlPr>
                </m:sSubPr>
                <m:e>
                  <m:r>
                    <w:rPr>
                      <w:rFonts w:ascii="Cambria Math" w:hAnsi="Cambria Math"/>
                      <w:szCs w:val="28"/>
                    </w:rPr>
                    <m:t>C</m:t>
                  </m:r>
                  <m:ctrlPr>
                    <w:rPr>
                      <w:rFonts w:ascii="Cambria Math" w:hAnsi="Cambria Math"/>
                      <w:szCs w:val="28"/>
                    </w:rPr>
                  </m:ctrlPr>
                </m:e>
                <m:sub>
                  <m:r>
                    <w:rPr>
                      <w:rFonts w:ascii="Cambria Math" w:hAnsi="Cambria Math"/>
                      <w:szCs w:val="28"/>
                    </w:rPr>
                    <m:t>exposed</m:t>
                  </m:r>
                </m:sub>
              </m:sSub>
            </m:e>
          </m:d>
        </m:oMath>
      </m:oMathPara>
      <w:bookmarkEnd w:id="3"/>
    </w:p>
    <w:p w14:paraId="67129E90" w14:textId="2C9EDF34" w:rsidR="00723B72" w:rsidRDefault="00FA7313" w:rsidP="00723B72">
      <w:pPr>
        <w:spacing w:line="360" w:lineRule="auto"/>
        <w:ind w:firstLineChars="0" w:firstLine="0"/>
        <w:jc w:val="center"/>
        <w:rPr>
          <w:sz w:val="24"/>
        </w:rPr>
      </w:pPr>
      <w:r>
        <w:rPr>
          <w:rFonts w:hint="eastAsia"/>
          <w:sz w:val="24"/>
        </w:rPr>
        <w:t>(</w:t>
      </w:r>
      <w:r w:rsidR="00723B72" w:rsidRPr="00F007AD">
        <w:rPr>
          <w:sz w:val="24"/>
        </w:rPr>
        <w:t xml:space="preserve">Equation </w:t>
      </w:r>
      <w:r w:rsidR="00723B72">
        <w:rPr>
          <w:rFonts w:hint="eastAsia"/>
          <w:sz w:val="24"/>
        </w:rPr>
        <w:t>2</w:t>
      </w:r>
      <w:r w:rsidR="00723B72" w:rsidRPr="00F007AD">
        <w:rPr>
          <w:sz w:val="24"/>
        </w:rPr>
        <w:t>)</w:t>
      </w:r>
    </w:p>
    <w:p w14:paraId="35EE4520" w14:textId="77777777" w:rsidR="00D13FB3" w:rsidRDefault="00F966F1" w:rsidP="00F966F1">
      <w:pPr>
        <w:spacing w:line="360" w:lineRule="auto"/>
        <w:ind w:firstLineChars="0" w:firstLine="0"/>
        <w:rPr>
          <w:sz w:val="24"/>
        </w:rPr>
      </w:pPr>
      <w:r w:rsidRPr="006D7FE6">
        <w:rPr>
          <w:sz w:val="24"/>
        </w:rPr>
        <w:t xml:space="preserve">Here, </w:t>
      </w:r>
      <m:oMath>
        <m:sSub>
          <m:sSubPr>
            <m:ctrlPr>
              <w:rPr>
                <w:rFonts w:ascii="Cambria Math" w:hAnsi="Cambria Math"/>
                <w:i/>
                <w:szCs w:val="28"/>
              </w:rPr>
            </m:ctrlPr>
          </m:sSubPr>
          <m:e>
            <m:r>
              <w:rPr>
                <w:rFonts w:ascii="Cambria Math" w:hAnsi="Cambria Math"/>
                <w:szCs w:val="28"/>
              </w:rPr>
              <m:t>C</m:t>
            </m:r>
          </m:e>
          <m:sub>
            <m:r>
              <w:rPr>
                <w:rFonts w:ascii="Cambria Math" w:hAnsi="Cambria Math"/>
                <w:szCs w:val="28"/>
              </w:rPr>
              <m:t>control, i</m:t>
            </m:r>
          </m:sub>
        </m:sSub>
      </m:oMath>
      <w:r>
        <w:rPr>
          <w:rFonts w:hint="eastAsia"/>
          <w:szCs w:val="28"/>
        </w:rPr>
        <w:t xml:space="preserve"> </w:t>
      </w:r>
      <w:r w:rsidRPr="006D7FE6">
        <w:rPr>
          <w:sz w:val="24"/>
        </w:rPr>
        <w:t xml:space="preserve">is the five‐year event count in the </w:t>
      </w:r>
      <m:oMath>
        <m:r>
          <w:rPr>
            <w:rFonts w:ascii="Cambria Math" w:hAnsi="Cambria Math"/>
            <w:sz w:val="24"/>
          </w:rPr>
          <m:t>ith</m:t>
        </m:r>
      </m:oMath>
      <w:r>
        <w:rPr>
          <w:rFonts w:hint="eastAsia"/>
          <w:sz w:val="24"/>
        </w:rPr>
        <w:t xml:space="preserve"> </w:t>
      </w:r>
      <w:r w:rsidRPr="006D7FE6">
        <w:rPr>
          <w:sz w:val="24"/>
        </w:rPr>
        <w:t xml:space="preserve">resampled control set, and </w:t>
      </w:r>
      <m:oMath>
        <m:r>
          <w:rPr>
            <w:rFonts w:ascii="Cambria Math" w:hAnsi="Cambria Math"/>
            <w:sz w:val="24"/>
          </w:rPr>
          <m:t>N</m:t>
        </m:r>
      </m:oMath>
      <w:r w:rsidRPr="006D7FE6">
        <w:rPr>
          <w:sz w:val="24"/>
        </w:rPr>
        <w:t xml:space="preserve"> is the total number of such sets.</w:t>
      </w:r>
      <w:r>
        <w:rPr>
          <w:rFonts w:hint="eastAsia"/>
          <w:sz w:val="24"/>
        </w:rPr>
        <w:t xml:space="preserve"> </w:t>
      </w:r>
    </w:p>
    <w:p w14:paraId="475ECF31" w14:textId="77777777" w:rsidR="00D13FB3" w:rsidRDefault="00D13FB3" w:rsidP="00F966F1">
      <w:pPr>
        <w:spacing w:line="360" w:lineRule="auto"/>
        <w:ind w:firstLineChars="0" w:firstLine="0"/>
        <w:rPr>
          <w:sz w:val="24"/>
        </w:rPr>
      </w:pPr>
    </w:p>
    <w:p w14:paraId="2272830A" w14:textId="7D76F43A" w:rsidR="00EB6D72" w:rsidRDefault="003D3C0F" w:rsidP="0052339C">
      <w:pPr>
        <w:spacing w:line="360" w:lineRule="auto"/>
        <w:ind w:firstLine="480"/>
        <w:rPr>
          <w:sz w:val="24"/>
        </w:rPr>
      </w:pPr>
      <w:r w:rsidRPr="00100BDA">
        <w:rPr>
          <w:sz w:val="24"/>
        </w:rPr>
        <w:t xml:space="preserve">However, </w:t>
      </w:r>
      <w:r>
        <w:rPr>
          <w:rFonts w:hint="eastAsia"/>
          <w:sz w:val="24"/>
        </w:rPr>
        <w:t>e</w:t>
      </w:r>
      <w:r w:rsidRPr="006D7FE6">
        <w:rPr>
          <w:sz w:val="24"/>
        </w:rPr>
        <w:t>xtensive resampling across all diagnostic pairs would incur prohibitive computational costs.</w:t>
      </w:r>
      <w:r>
        <w:rPr>
          <w:rFonts w:hint="eastAsia"/>
          <w:sz w:val="24"/>
        </w:rPr>
        <w:t xml:space="preserve"> </w:t>
      </w:r>
      <w:r w:rsidRPr="006D7FE6">
        <w:rPr>
          <w:sz w:val="24"/>
        </w:rPr>
        <w:t>To pre‐screen candidate pairs rapidly, we adopted the simplified binomial‐model approach of Brunak et al.</w:t>
      </w:r>
      <w:r w:rsidR="00AC78AC" w:rsidRPr="00AC78AC">
        <w:rPr>
          <w:sz w:val="24"/>
        </w:rPr>
        <w:t xml:space="preserve">; they showed that, in the region of small </w:t>
      </w:r>
      <w:r w:rsidR="00F531DF" w:rsidRPr="00F531DF">
        <w:rPr>
          <w:rFonts w:hint="eastAsia"/>
          <w:i/>
          <w:iCs/>
          <w:sz w:val="24"/>
        </w:rPr>
        <w:t>P</w:t>
      </w:r>
      <w:r w:rsidR="00F531DF">
        <w:rPr>
          <w:rFonts w:hint="eastAsia"/>
          <w:sz w:val="24"/>
        </w:rPr>
        <w:t xml:space="preserve"> </w:t>
      </w:r>
      <w:r w:rsidR="00AC78AC" w:rsidRPr="00AC78AC">
        <w:rPr>
          <w:sz w:val="24"/>
        </w:rPr>
        <w:t xml:space="preserve">values, this binomial approximation is in fact more conservative than full resampling. </w:t>
      </w:r>
      <w:bookmarkStart w:id="4" w:name="OLE_LINK31"/>
    </w:p>
    <w:p w14:paraId="222D2675" w14:textId="217328CF" w:rsidR="000668A3" w:rsidRDefault="00E82B6F" w:rsidP="000668A3">
      <w:pPr>
        <w:spacing w:line="360" w:lineRule="auto"/>
        <w:ind w:firstLineChars="0" w:firstLine="420"/>
        <w:rPr>
          <w:sz w:val="24"/>
        </w:rPr>
      </w:pPr>
      <w:bookmarkStart w:id="5" w:name="OLE_LINK32"/>
      <w:bookmarkStart w:id="6" w:name="OLE_LINK33"/>
      <w:r w:rsidRPr="00E82B6F">
        <w:rPr>
          <w:sz w:val="24"/>
        </w:rPr>
        <w:t xml:space="preserve">In the prescreening step, </w:t>
      </w:r>
      <w:r w:rsidR="000668A3" w:rsidRPr="000668A3">
        <w:rPr>
          <w:sz w:val="24"/>
        </w:rPr>
        <w:t xml:space="preserve">we denoted the total number of exposed </w:t>
      </w:r>
      <w:r w:rsidR="000668A3">
        <w:rPr>
          <w:rFonts w:hint="eastAsia"/>
          <w:sz w:val="24"/>
        </w:rPr>
        <w:t xml:space="preserve">individuals </w:t>
      </w:r>
      <w:r w:rsidR="000668A3" w:rsidRPr="000668A3">
        <w:rPr>
          <w:sz w:val="24"/>
        </w:rPr>
        <w:t xml:space="preserve">with </w:t>
      </w:r>
      <w:r w:rsidR="000668A3">
        <w:rPr>
          <w:rFonts w:hint="eastAsia"/>
          <w:sz w:val="24"/>
        </w:rPr>
        <w:t>diagnosis</w:t>
      </w:r>
      <w:r w:rsidR="000668A3" w:rsidRPr="000668A3">
        <w:rPr>
          <w:sz w:val="24"/>
        </w:rPr>
        <w:t xml:space="preserve"> D₁ as</w:t>
      </w:r>
      <w:r w:rsidR="000668A3">
        <w:rPr>
          <w:rFonts w:hint="eastAsia"/>
          <w:sz w:val="24"/>
        </w:rPr>
        <w:t xml:space="preserve"> </w:t>
      </w:r>
      <m:oMath>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exposed</m:t>
            </m:r>
          </m:sub>
        </m:sSub>
      </m:oMath>
      <w:r w:rsidR="000668A3" w:rsidRPr="000668A3">
        <w:rPr>
          <w:sz w:val="24"/>
        </w:rPr>
        <w:t xml:space="preserve"> ​</w:t>
      </w:r>
      <w:r w:rsidR="000668A3">
        <w:rPr>
          <w:rFonts w:hint="eastAsia"/>
          <w:sz w:val="24"/>
        </w:rPr>
        <w:t xml:space="preserve">. For the </w:t>
      </w:r>
      <m:oMath>
        <m:r>
          <w:rPr>
            <w:rFonts w:ascii="Cambria Math" w:hAnsi="Cambria Math"/>
            <w:sz w:val="24"/>
          </w:rPr>
          <m:t>i</m:t>
        </m:r>
      </m:oMath>
      <w:r w:rsidR="000668A3">
        <w:rPr>
          <w:rFonts w:hint="eastAsia"/>
          <w:sz w:val="24"/>
        </w:rPr>
        <w:t xml:space="preserve">-th </w:t>
      </w:r>
      <w:r w:rsidR="000668A3" w:rsidRPr="000668A3">
        <w:rPr>
          <w:sz w:val="24"/>
        </w:rPr>
        <w:t>exposed</w:t>
      </w:r>
      <w:r w:rsidR="000668A3" w:rsidRPr="000668A3">
        <w:rPr>
          <w:rFonts w:hint="eastAsia"/>
          <w:sz w:val="24"/>
        </w:rPr>
        <w:t xml:space="preserve"> </w:t>
      </w:r>
      <w:r w:rsidR="000668A3">
        <w:rPr>
          <w:rFonts w:hint="eastAsia"/>
          <w:sz w:val="24"/>
        </w:rPr>
        <w:t xml:space="preserve">individual, we defined the </w:t>
      </w:r>
      <w:r w:rsidR="000668A3" w:rsidRPr="000668A3">
        <w:rPr>
          <w:sz w:val="24"/>
        </w:rPr>
        <w:t>size of its matched‐control pool as</w:t>
      </w:r>
      <w:r w:rsidR="000668A3">
        <w:rPr>
          <w:rFonts w:hint="eastAsia"/>
          <w:sz w:val="24"/>
        </w:rPr>
        <w:t xml:space="preserve"> </w:t>
      </w:r>
      <m:oMath>
        <m:sSub>
          <m:sSubPr>
            <m:ctrlPr>
              <w:rPr>
                <w:rFonts w:ascii="Cambria Math" w:hAnsi="Cambria Math"/>
                <w:i/>
                <w:sz w:val="24"/>
              </w:rPr>
            </m:ctrlPr>
          </m:sSubPr>
          <m:e>
            <m:r>
              <w:rPr>
                <w:rFonts w:ascii="Cambria Math" w:hAnsi="Cambria Math" w:hint="eastAsia"/>
                <w:sz w:val="24"/>
              </w:rPr>
              <m:t>n</m:t>
            </m:r>
          </m:e>
          <m:sub>
            <m:r>
              <w:rPr>
                <w:rFonts w:ascii="Cambria Math" w:hAnsi="Cambria Math"/>
                <w:sz w:val="24"/>
              </w:rPr>
              <m:t>match,i</m:t>
            </m:r>
          </m:sub>
        </m:sSub>
      </m:oMath>
      <w:r w:rsidR="000668A3">
        <w:rPr>
          <w:rFonts w:hint="eastAsia"/>
          <w:sz w:val="24"/>
        </w:rPr>
        <w:t xml:space="preserve"> and let </w:t>
      </w:r>
      <m:oMath>
        <m:sSub>
          <m:sSubPr>
            <m:ctrlPr>
              <w:rPr>
                <w:rFonts w:ascii="Cambria Math" w:hAnsi="Cambria Math"/>
                <w:i/>
                <w:sz w:val="24"/>
              </w:rPr>
            </m:ctrlPr>
          </m:sSubPr>
          <m:e>
            <m:r>
              <w:rPr>
                <w:rFonts w:ascii="Cambria Math" w:hAnsi="Cambria Math"/>
                <w:sz w:val="24"/>
              </w:rPr>
              <m:t>C</m:t>
            </m:r>
          </m:e>
          <m:sub>
            <m:r>
              <w:rPr>
                <w:rFonts w:ascii="Cambria Math" w:hAnsi="Cambria Math"/>
                <w:sz w:val="24"/>
              </w:rPr>
              <m:t>i</m:t>
            </m:r>
          </m:sub>
        </m:sSub>
      </m:oMath>
      <w:r w:rsidR="000668A3">
        <w:rPr>
          <w:rFonts w:hint="eastAsia"/>
          <w:sz w:val="24"/>
        </w:rPr>
        <w:t xml:space="preserve"> b</w:t>
      </w:r>
      <w:r w:rsidR="000668A3" w:rsidRPr="000668A3">
        <w:rPr>
          <w:sz w:val="24"/>
        </w:rPr>
        <w:t xml:space="preserve">e the number of those control </w:t>
      </w:r>
      <w:r w:rsidR="000668A3">
        <w:rPr>
          <w:rFonts w:hint="eastAsia"/>
          <w:sz w:val="24"/>
        </w:rPr>
        <w:t xml:space="preserve">individuals </w:t>
      </w:r>
      <w:r w:rsidR="000668A3" w:rsidRPr="000668A3">
        <w:rPr>
          <w:sz w:val="24"/>
        </w:rPr>
        <w:t>that experienced diagnosis D₂ within five years</w:t>
      </w:r>
      <w:r w:rsidR="000668A3">
        <w:rPr>
          <w:rFonts w:hint="eastAsia"/>
          <w:sz w:val="24"/>
        </w:rPr>
        <w:t xml:space="preserve">; thus, the control group event </w:t>
      </w:r>
      <w:r w:rsidR="000668A3" w:rsidRPr="00AC78AC">
        <w:rPr>
          <w:sz w:val="24"/>
        </w:rPr>
        <w:t>probability</w:t>
      </w:r>
      <w:r w:rsidR="000668A3">
        <w:rPr>
          <w:rFonts w:hint="eastAsia"/>
          <w:sz w:val="24"/>
        </w:rPr>
        <w:t xml:space="preserve"> for that trail is </w:t>
      </w:r>
      <m:oMath>
        <m:func>
          <m:funcPr>
            <m:ctrlPr>
              <w:rPr>
                <w:rFonts w:ascii="Cambria Math" w:hAnsi="Cambria Math"/>
                <w:sz w:val="24"/>
              </w:rPr>
            </m:ctrlPr>
          </m:funcPr>
          <m:fName>
            <m:r>
              <m:rPr>
                <m:sty m:val="p"/>
              </m:rPr>
              <w:rPr>
                <w:rFonts w:ascii="Cambria Math" w:hAnsi="Cambria Math"/>
                <w:sz w:val="24"/>
              </w:rPr>
              <m:t>Pr</m:t>
            </m:r>
          </m:fName>
          <m:e>
            <m:d>
              <m:dPr>
                <m:ctrlPr>
                  <w:rPr>
                    <w:rFonts w:ascii="Cambria Math" w:hAnsi="Cambria Math"/>
                    <w:i/>
                    <w:sz w:val="24"/>
                  </w:rPr>
                </m:ctrlPr>
              </m:dPr>
              <m:e>
                <m:r>
                  <w:rPr>
                    <w:rFonts w:ascii="Cambria Math" w:hAnsi="Cambria Math"/>
                    <w:sz w:val="24"/>
                  </w:rPr>
                  <m:t>D2​</m:t>
                </m:r>
              </m:e>
            </m:d>
          </m:e>
        </m:func>
      </m:oMath>
      <w:r w:rsidR="00A173CD">
        <w:rPr>
          <w:rFonts w:hint="eastAsia"/>
          <w:sz w:val="24"/>
        </w:rPr>
        <w:t xml:space="preserve"> (</w:t>
      </w:r>
      <w:r w:rsidR="00A173CD" w:rsidRPr="00F007AD">
        <w:rPr>
          <w:sz w:val="24"/>
        </w:rPr>
        <w:t xml:space="preserve">Equation </w:t>
      </w:r>
      <w:r w:rsidR="00A173CD">
        <w:rPr>
          <w:rFonts w:hint="eastAsia"/>
          <w:sz w:val="24"/>
        </w:rPr>
        <w:t>3)</w:t>
      </w:r>
      <w:r w:rsidR="000668A3">
        <w:rPr>
          <w:rFonts w:hint="eastAsia"/>
          <w:sz w:val="24"/>
        </w:rPr>
        <w:t>.</w:t>
      </w:r>
      <w:r w:rsidR="000668A3" w:rsidRPr="000668A3">
        <w:rPr>
          <w:sz w:val="24"/>
        </w:rPr>
        <w:t xml:space="preserve"> Averaging over all </w:t>
      </w:r>
      <m:oMath>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exposed</m:t>
            </m:r>
          </m:sub>
        </m:sSub>
      </m:oMath>
      <w:r w:rsidR="000668A3" w:rsidRPr="000668A3">
        <w:rPr>
          <w:sz w:val="24"/>
        </w:rPr>
        <w:t xml:space="preserve">​ trials </w:t>
      </w:r>
      <w:proofErr w:type="gramStart"/>
      <w:r w:rsidR="000668A3" w:rsidRPr="000668A3">
        <w:rPr>
          <w:sz w:val="24"/>
        </w:rPr>
        <w:t>gives</w:t>
      </w:r>
      <w:proofErr w:type="gramEnd"/>
      <w:r w:rsidR="000668A3" w:rsidRPr="000668A3">
        <w:rPr>
          <w:sz w:val="24"/>
        </w:rPr>
        <w:t xml:space="preserve"> the overall event‐probability estimate</w:t>
      </w:r>
      <w:r w:rsidR="000668A3">
        <w:rPr>
          <w:rFonts w:hint="eastAsia"/>
          <w:sz w:val="24"/>
        </w:rPr>
        <w:t xml:space="preserve"> </w:t>
      </w:r>
      <m:oMath>
        <m:acc>
          <m:accPr>
            <m:ctrlPr>
              <w:rPr>
                <w:rFonts w:ascii="Cambria Math" w:hAnsi="Cambria Math"/>
                <w:sz w:val="24"/>
              </w:rPr>
            </m:ctrlPr>
          </m:accPr>
          <m:e>
            <m:r>
              <w:rPr>
                <w:rFonts w:ascii="Cambria Math" w:hAnsi="Cambria Math"/>
                <w:sz w:val="24"/>
              </w:rPr>
              <m:t>Pr</m:t>
            </m:r>
          </m:e>
        </m:acc>
        <m:sSub>
          <m:sSubPr>
            <m:ctrlPr>
              <w:rPr>
                <w:rFonts w:ascii="Cambria Math" w:hAnsi="Cambria Math"/>
                <w:i/>
                <w:sz w:val="24"/>
              </w:rPr>
            </m:ctrlPr>
          </m:sSubPr>
          <m:e>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e>
            </m:d>
            <m:ctrlPr>
              <w:rPr>
                <w:rFonts w:ascii="Cambria Math" w:hAnsi="Cambria Math"/>
                <w:sz w:val="24"/>
              </w:rPr>
            </m:ctrlPr>
          </m:e>
          <m:sub>
            <m:r>
              <m:rPr>
                <m:nor/>
              </m:rPr>
              <w:rPr>
                <w:rFonts w:ascii="Cambria Math" w:hAnsi="Cambria Math"/>
                <w:sz w:val="24"/>
              </w:rPr>
              <m:t>test</m:t>
            </m:r>
          </m:sub>
        </m:sSub>
        <m:r>
          <w:rPr>
            <w:rFonts w:ascii="Cambria Math" w:hAnsi="Cambria Math"/>
            <w:sz w:val="24"/>
          </w:rPr>
          <m:t xml:space="preserve"> </m:t>
        </m:r>
      </m:oMath>
      <w:r w:rsidR="00A173CD">
        <w:rPr>
          <w:rFonts w:hint="eastAsia"/>
          <w:sz w:val="24"/>
        </w:rPr>
        <w:t>(</w:t>
      </w:r>
      <w:r w:rsidR="00A173CD" w:rsidRPr="00F007AD">
        <w:rPr>
          <w:sz w:val="24"/>
        </w:rPr>
        <w:t xml:space="preserve">Equation </w:t>
      </w:r>
      <w:r w:rsidR="00A173CD">
        <w:rPr>
          <w:rFonts w:hint="eastAsia"/>
          <w:sz w:val="24"/>
        </w:rPr>
        <w:t>3).</w:t>
      </w:r>
    </w:p>
    <w:p w14:paraId="7EE82711" w14:textId="39292DA5" w:rsidR="000668A3" w:rsidRPr="000668A3" w:rsidRDefault="000668A3" w:rsidP="000668A3">
      <w:pPr>
        <w:spacing w:line="360" w:lineRule="auto"/>
        <w:ind w:firstLine="480"/>
        <w:rPr>
          <w:sz w:val="24"/>
        </w:rPr>
      </w:pPr>
    </w:p>
    <w:p w14:paraId="17C8DABA" w14:textId="6114DB54" w:rsidR="003D3C0F" w:rsidRPr="00723B72" w:rsidRDefault="00000000" w:rsidP="000668A3">
      <w:pPr>
        <w:spacing w:line="360" w:lineRule="auto"/>
        <w:ind w:firstLine="480"/>
        <w:rPr>
          <w:sz w:val="24"/>
        </w:rPr>
      </w:pPr>
      <m:oMathPara>
        <m:oMath>
          <m:func>
            <m:funcPr>
              <m:ctrlPr>
                <w:rPr>
                  <w:rFonts w:ascii="Cambria Math" w:hAnsi="Cambria Math"/>
                  <w:sz w:val="24"/>
                </w:rPr>
              </m:ctrlPr>
            </m:funcPr>
            <m:fName>
              <m:r>
                <m:rPr>
                  <m:sty m:val="p"/>
                </m:rPr>
                <w:rPr>
                  <w:rFonts w:ascii="Cambria Math" w:hAnsi="Cambria Math"/>
                  <w:sz w:val="24"/>
                </w:rPr>
                <m:t>Pr</m:t>
              </m:r>
            </m:fName>
            <m:e>
              <m:d>
                <m:dPr>
                  <m:ctrlPr>
                    <w:rPr>
                      <w:rFonts w:ascii="Cambria Math" w:hAnsi="Cambria Math"/>
                      <w:i/>
                      <w:sz w:val="24"/>
                    </w:rPr>
                  </m:ctrlPr>
                </m:dPr>
                <m:e>
                  <m:r>
                    <w:rPr>
                      <w:rFonts w:ascii="Cambria Math" w:hAnsi="Cambria Math"/>
                      <w:sz w:val="24"/>
                    </w:rPr>
                    <m:t>D2​</m:t>
                  </m:r>
                </m:e>
              </m:d>
            </m:e>
          </m:func>
          <m:r>
            <w:rPr>
              <w:rFonts w:ascii="Cambria Math" w:hAnsi="Cambria Math"/>
              <w:sz w:val="24"/>
            </w:rPr>
            <m:t>=</m:t>
          </m:r>
          <m:f>
            <m:fPr>
              <m:ctrlPr>
                <w:rPr>
                  <w:rFonts w:ascii="Cambria Math" w:hAnsi="Cambria Math"/>
                  <w:sz w:val="24"/>
                </w:rPr>
              </m:ctrlPr>
            </m:fPr>
            <m:num>
              <m:sSub>
                <m:sSubPr>
                  <m:ctrlPr>
                    <w:rPr>
                      <w:rFonts w:ascii="Cambria Math" w:hAnsi="Cambria Math"/>
                      <w:i/>
                      <w:sz w:val="24"/>
                    </w:rPr>
                  </m:ctrlPr>
                </m:sSubPr>
                <m:e>
                  <m:r>
                    <w:rPr>
                      <w:rFonts w:ascii="Cambria Math" w:hAnsi="Cambria Math"/>
                      <w:sz w:val="24"/>
                    </w:rPr>
                    <m:t>c</m:t>
                  </m:r>
                </m:e>
                <m:sub>
                  <m:r>
                    <w:rPr>
                      <w:rFonts w:ascii="Cambria Math" w:hAnsi="Cambria Math"/>
                      <w:sz w:val="24"/>
                    </w:rPr>
                    <m:t>i</m:t>
                  </m:r>
                </m:sub>
              </m:sSub>
              <m:ctrlPr>
                <w:rPr>
                  <w:rFonts w:ascii="Cambria Math" w:hAnsi="Cambria Math"/>
                  <w:i/>
                  <w:sz w:val="24"/>
                </w:rPr>
              </m:ctrlPr>
            </m:num>
            <m:den>
              <m:sSub>
                <m:sSubPr>
                  <m:ctrlPr>
                    <w:rPr>
                      <w:rFonts w:ascii="Cambria Math" w:hAnsi="Cambria Math"/>
                      <w:i/>
                      <w:sz w:val="24"/>
                    </w:rPr>
                  </m:ctrlPr>
                </m:sSubPr>
                <m:e>
                  <m:r>
                    <w:rPr>
                      <w:rFonts w:ascii="Cambria Math" w:hAnsi="Cambria Math"/>
                      <w:sz w:val="24"/>
                    </w:rPr>
                    <m:t>n</m:t>
                  </m:r>
                </m:e>
                <m:sub>
                  <m:r>
                    <m:rPr>
                      <m:nor/>
                    </m:rPr>
                    <w:rPr>
                      <w:rFonts w:ascii="Cambria Math" w:hAnsi="Cambria Math"/>
                      <w:sz w:val="24"/>
                    </w:rPr>
                    <m:t>match</m:t>
                  </m:r>
                  <m:r>
                    <w:rPr>
                      <w:rFonts w:ascii="Cambria Math" w:hAnsi="Cambria Math"/>
                      <w:sz w:val="24"/>
                    </w:rPr>
                    <m:t>,i</m:t>
                  </m:r>
                </m:sub>
              </m:sSub>
              <m:ctrlPr>
                <w:rPr>
                  <w:rFonts w:ascii="Cambria Math" w:hAnsi="Cambria Math"/>
                  <w:i/>
                  <w:sz w:val="24"/>
                </w:rPr>
              </m:ctrlPr>
            </m:den>
          </m:f>
          <m:r>
            <w:rPr>
              <w:rFonts w:ascii="Cambria Math" w:hAnsi="Cambria Math"/>
              <w:sz w:val="24"/>
            </w:rPr>
            <m:t>​</m:t>
          </m:r>
        </m:oMath>
      </m:oMathPara>
      <w:bookmarkEnd w:id="4"/>
      <w:bookmarkEnd w:id="5"/>
      <w:bookmarkEnd w:id="6"/>
    </w:p>
    <w:p w14:paraId="02A4F09C" w14:textId="022AC862" w:rsidR="00723B72" w:rsidRDefault="00FA7313" w:rsidP="00723B72">
      <w:pPr>
        <w:spacing w:line="360" w:lineRule="auto"/>
        <w:ind w:firstLineChars="0" w:firstLine="0"/>
        <w:jc w:val="center"/>
        <w:rPr>
          <w:sz w:val="24"/>
        </w:rPr>
      </w:pPr>
      <w:r>
        <w:rPr>
          <w:rFonts w:hint="eastAsia"/>
          <w:sz w:val="24"/>
        </w:rPr>
        <w:t>(</w:t>
      </w:r>
      <w:r w:rsidR="00723B72" w:rsidRPr="00F007AD">
        <w:rPr>
          <w:sz w:val="24"/>
        </w:rPr>
        <w:t xml:space="preserve">Equation </w:t>
      </w:r>
      <w:r w:rsidR="00723B72">
        <w:rPr>
          <w:rFonts w:hint="eastAsia"/>
          <w:sz w:val="24"/>
        </w:rPr>
        <w:t>3</w:t>
      </w:r>
      <w:r w:rsidR="00723B72" w:rsidRPr="00F007AD">
        <w:rPr>
          <w:sz w:val="24"/>
        </w:rPr>
        <w:t>)</w:t>
      </w:r>
    </w:p>
    <w:p w14:paraId="7A0A928C" w14:textId="77777777" w:rsidR="00723B72" w:rsidRDefault="00723B72" w:rsidP="000668A3">
      <w:pPr>
        <w:spacing w:line="360" w:lineRule="auto"/>
        <w:ind w:firstLine="480"/>
        <w:rPr>
          <w:sz w:val="24"/>
        </w:rPr>
      </w:pPr>
    </w:p>
    <w:bookmarkStart w:id="7" w:name="OLE_LINK34"/>
    <w:p w14:paraId="2404A68B" w14:textId="53498F96" w:rsidR="00F007AD" w:rsidRPr="00723B72" w:rsidRDefault="00000000" w:rsidP="006775B9">
      <w:pPr>
        <w:spacing w:line="360" w:lineRule="auto"/>
        <w:ind w:firstLineChars="0" w:firstLine="0"/>
        <w:rPr>
          <w:sz w:val="24"/>
        </w:rPr>
      </w:pPr>
      <m:oMathPara>
        <m:oMath>
          <m:acc>
            <m:accPr>
              <m:ctrlPr>
                <w:rPr>
                  <w:rFonts w:ascii="Cambria Math" w:hAnsi="Cambria Math"/>
                  <w:sz w:val="24"/>
                </w:rPr>
              </m:ctrlPr>
            </m:accPr>
            <m:e>
              <m:r>
                <w:rPr>
                  <w:rFonts w:ascii="Cambria Math" w:hAnsi="Cambria Math"/>
                  <w:sz w:val="24"/>
                </w:rPr>
                <m:t>Pr</m:t>
              </m:r>
            </m:e>
          </m:acc>
          <m:sSub>
            <m:sSubPr>
              <m:ctrlPr>
                <w:rPr>
                  <w:rFonts w:ascii="Cambria Math" w:hAnsi="Cambria Math"/>
                  <w:i/>
                  <w:sz w:val="24"/>
                </w:rPr>
              </m:ctrlPr>
            </m:sSubPr>
            <m:e>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e>
              </m:d>
              <m:ctrlPr>
                <w:rPr>
                  <w:rFonts w:ascii="Cambria Math" w:hAnsi="Cambria Math"/>
                  <w:sz w:val="24"/>
                </w:rPr>
              </m:ctrlPr>
            </m:e>
            <m:sub>
              <m:r>
                <m:rPr>
                  <m:nor/>
                </m:rPr>
                <w:rPr>
                  <w:rFonts w:ascii="Cambria Math" w:hAnsi="Cambria Math"/>
                  <w:sz w:val="24"/>
                </w:rPr>
                <m:t>test</m:t>
              </m:r>
            </m:sub>
          </m:sSub>
          <w:bookmarkEnd w:id="7"/>
          <m:r>
            <w:rPr>
              <w:rFonts w:ascii="Cambria Math" w:hAnsi="Cambria Math"/>
              <w:sz w:val="24"/>
            </w:rPr>
            <m:t>=</m:t>
          </m:r>
          <m:f>
            <m:fPr>
              <m:ctrlPr>
                <w:rPr>
                  <w:rFonts w:ascii="Cambria Math" w:hAnsi="Cambria Math"/>
                  <w:sz w:val="24"/>
                </w:rPr>
              </m:ctrlPr>
            </m:fPr>
            <m:num>
              <m:r>
                <w:rPr>
                  <w:rFonts w:ascii="Cambria Math" w:hAnsi="Cambria Math"/>
                  <w:sz w:val="24"/>
                </w:rPr>
                <m:t>1</m:t>
              </m:r>
              <m:ctrlPr>
                <w:rPr>
                  <w:rFonts w:ascii="Cambria Math" w:hAnsi="Cambria Math"/>
                  <w:i/>
                  <w:sz w:val="24"/>
                </w:rPr>
              </m:ctrlPr>
            </m:num>
            <m:den>
              <m:sSub>
                <m:sSubPr>
                  <m:ctrlPr>
                    <w:rPr>
                      <w:rFonts w:ascii="Cambria Math" w:hAnsi="Cambria Math"/>
                      <w:i/>
                      <w:sz w:val="24"/>
                    </w:rPr>
                  </m:ctrlPr>
                </m:sSubPr>
                <m:e>
                  <m:r>
                    <w:rPr>
                      <w:rFonts w:ascii="Cambria Math" w:hAnsi="Cambria Math"/>
                      <w:sz w:val="24"/>
                    </w:rPr>
                    <m:t>n</m:t>
                  </m:r>
                </m:e>
                <m:sub>
                  <m:r>
                    <m:rPr>
                      <m:nor/>
                    </m:rPr>
                    <w:rPr>
                      <w:rFonts w:ascii="Cambria Math" w:hAnsi="Cambria Math" w:hint="eastAsia"/>
                      <w:sz w:val="24"/>
                    </w:rPr>
                    <m:t>exposed</m:t>
                  </m:r>
                </m:sub>
              </m:sSub>
              <m:ctrlPr>
                <w:rPr>
                  <w:rFonts w:ascii="Cambria Math" w:hAnsi="Cambria Math"/>
                  <w:i/>
                  <w:sz w:val="24"/>
                </w:rPr>
              </m:ctrlPr>
            </m:den>
          </m:f>
          <m:nary>
            <m:naryPr>
              <m:chr m:val="∑"/>
              <m:ctrlPr>
                <w:rPr>
                  <w:rFonts w:ascii="Cambria Math" w:hAnsi="Cambria Math"/>
                  <w:sz w:val="24"/>
                </w:rPr>
              </m:ctrlPr>
            </m:naryPr>
            <m:sub>
              <m:r>
                <w:rPr>
                  <w:rFonts w:ascii="Cambria Math" w:hAnsi="Cambria Math"/>
                  <w:sz w:val="24"/>
                </w:rPr>
                <m:t>i=1</m:t>
              </m:r>
              <m:ctrlPr>
                <w:rPr>
                  <w:rFonts w:ascii="Cambria Math" w:hAnsi="Cambria Math"/>
                  <w:i/>
                  <w:sz w:val="24"/>
                </w:rPr>
              </m:ctrlPr>
            </m:sub>
            <m:sup>
              <m:sSub>
                <m:sSubPr>
                  <m:ctrlPr>
                    <w:rPr>
                      <w:rFonts w:ascii="Cambria Math" w:hAnsi="Cambria Math"/>
                      <w:i/>
                      <w:sz w:val="24"/>
                    </w:rPr>
                  </m:ctrlPr>
                </m:sSubPr>
                <m:e>
                  <m:r>
                    <w:rPr>
                      <w:rFonts w:ascii="Cambria Math" w:hAnsi="Cambria Math"/>
                      <w:sz w:val="24"/>
                    </w:rPr>
                    <m:t>n</m:t>
                  </m:r>
                </m:e>
                <m:sub>
                  <m:r>
                    <m:rPr>
                      <m:nor/>
                    </m:rPr>
                    <w:rPr>
                      <w:rFonts w:ascii="Cambria Math" w:hAnsi="Cambria Math" w:hint="eastAsia"/>
                      <w:sz w:val="24"/>
                    </w:rPr>
                    <m:t>exposed</m:t>
                  </m:r>
                </m:sub>
              </m:sSub>
              <m:ctrlPr>
                <w:rPr>
                  <w:rFonts w:ascii="Cambria Math" w:hAnsi="Cambria Math"/>
                  <w:i/>
                  <w:sz w:val="24"/>
                </w:rPr>
              </m:ctrlPr>
            </m:sup>
            <m:e>
              <m:f>
                <m:fPr>
                  <m:ctrlPr>
                    <w:rPr>
                      <w:rFonts w:ascii="Cambria Math" w:hAnsi="Cambria Math"/>
                      <w:sz w:val="24"/>
                    </w:rPr>
                  </m:ctrlPr>
                </m:fPr>
                <m:num>
                  <m:sSub>
                    <m:sSubPr>
                      <m:ctrlPr>
                        <w:rPr>
                          <w:rFonts w:ascii="Cambria Math" w:hAnsi="Cambria Math"/>
                          <w:i/>
                          <w:sz w:val="24"/>
                        </w:rPr>
                      </m:ctrlPr>
                    </m:sSubPr>
                    <m:e>
                      <m:r>
                        <w:rPr>
                          <w:rFonts w:ascii="Cambria Math" w:hAnsi="Cambria Math"/>
                          <w:sz w:val="24"/>
                        </w:rPr>
                        <m:t>c</m:t>
                      </m:r>
                    </m:e>
                    <m:sub>
                      <m:r>
                        <w:rPr>
                          <w:rFonts w:ascii="Cambria Math" w:hAnsi="Cambria Math"/>
                          <w:sz w:val="24"/>
                        </w:rPr>
                        <m:t>i</m:t>
                      </m:r>
                    </m:sub>
                  </m:sSub>
                  <m:ctrlPr>
                    <w:rPr>
                      <w:rFonts w:ascii="Cambria Math" w:hAnsi="Cambria Math"/>
                      <w:i/>
                      <w:sz w:val="24"/>
                    </w:rPr>
                  </m:ctrlPr>
                </m:num>
                <m:den>
                  <m:sSub>
                    <m:sSubPr>
                      <m:ctrlPr>
                        <w:rPr>
                          <w:rFonts w:ascii="Cambria Math" w:hAnsi="Cambria Math"/>
                          <w:i/>
                          <w:sz w:val="24"/>
                        </w:rPr>
                      </m:ctrlPr>
                    </m:sSubPr>
                    <m:e>
                      <m:r>
                        <w:rPr>
                          <w:rFonts w:ascii="Cambria Math" w:hAnsi="Cambria Math"/>
                          <w:sz w:val="24"/>
                        </w:rPr>
                        <m:t>n</m:t>
                      </m:r>
                    </m:e>
                    <m:sub>
                      <m:r>
                        <m:rPr>
                          <m:nor/>
                        </m:rPr>
                        <w:rPr>
                          <w:rFonts w:ascii="Cambria Math" w:hAnsi="Cambria Math"/>
                          <w:sz w:val="24"/>
                        </w:rPr>
                        <m:t>match</m:t>
                      </m:r>
                      <m:r>
                        <w:rPr>
                          <w:rFonts w:ascii="Cambria Math" w:hAnsi="Cambria Math"/>
                          <w:sz w:val="24"/>
                        </w:rPr>
                        <m:t>,i</m:t>
                      </m:r>
                    </m:sub>
                  </m:sSub>
                  <m:ctrlPr>
                    <w:rPr>
                      <w:rFonts w:ascii="Cambria Math" w:hAnsi="Cambria Math"/>
                      <w:i/>
                      <w:sz w:val="24"/>
                    </w:rPr>
                  </m:ctrlPr>
                </m:den>
              </m:f>
              <m:ctrlPr>
                <w:rPr>
                  <w:rFonts w:ascii="Cambria Math" w:hAnsi="Cambria Math"/>
                  <w:i/>
                  <w:sz w:val="24"/>
                </w:rPr>
              </m:ctrlPr>
            </m:e>
          </m:nary>
        </m:oMath>
      </m:oMathPara>
    </w:p>
    <w:p w14:paraId="6A6F50B4" w14:textId="5C11C332" w:rsidR="00723B72" w:rsidRDefault="00FA7313" w:rsidP="00723B72">
      <w:pPr>
        <w:spacing w:line="360" w:lineRule="auto"/>
        <w:ind w:firstLineChars="0" w:firstLine="0"/>
        <w:jc w:val="center"/>
        <w:rPr>
          <w:sz w:val="24"/>
        </w:rPr>
      </w:pPr>
      <w:r>
        <w:rPr>
          <w:rFonts w:hint="eastAsia"/>
          <w:sz w:val="24"/>
        </w:rPr>
        <w:t>(</w:t>
      </w:r>
      <w:r w:rsidR="00723B72" w:rsidRPr="00F007AD">
        <w:rPr>
          <w:sz w:val="24"/>
        </w:rPr>
        <w:t xml:space="preserve">Equation </w:t>
      </w:r>
      <w:r w:rsidR="00723B72">
        <w:rPr>
          <w:rFonts w:hint="eastAsia"/>
          <w:sz w:val="24"/>
        </w:rPr>
        <w:t>4</w:t>
      </w:r>
      <w:r w:rsidR="00723B72" w:rsidRPr="00F007AD">
        <w:rPr>
          <w:sz w:val="24"/>
        </w:rPr>
        <w:t>)</w:t>
      </w:r>
    </w:p>
    <w:p w14:paraId="7B75DAB0" w14:textId="52A5F71F" w:rsidR="00F007AD" w:rsidRPr="00F007AD" w:rsidRDefault="00F007AD" w:rsidP="00723B72">
      <w:pPr>
        <w:spacing w:line="360" w:lineRule="auto"/>
        <w:ind w:firstLine="480"/>
        <w:rPr>
          <w:sz w:val="24"/>
        </w:rPr>
      </w:pPr>
      <w:r w:rsidRPr="00F007AD">
        <w:rPr>
          <w:sz w:val="24"/>
        </w:rPr>
        <w:lastRenderedPageBreak/>
        <w:t>Using this binomial framework greatly reduces computational cost while remaining conservative in the small</w:t>
      </w:r>
      <w:r w:rsidR="000668A3">
        <w:rPr>
          <w:rFonts w:hint="eastAsia"/>
          <w:sz w:val="24"/>
        </w:rPr>
        <w:t xml:space="preserve"> </w:t>
      </w:r>
      <w:r w:rsidR="00A61CC3" w:rsidRPr="00A61CC3">
        <w:rPr>
          <w:rFonts w:hint="eastAsia"/>
          <w:i/>
          <w:iCs/>
          <w:sz w:val="24"/>
        </w:rPr>
        <w:t>P</w:t>
      </w:r>
      <w:r w:rsidRPr="00F007AD">
        <w:rPr>
          <w:sz w:val="24"/>
        </w:rPr>
        <w:t xml:space="preserve"> regime. We then applied a significance threshold </w:t>
      </w:r>
      <w:r w:rsidR="00A61CC3">
        <w:rPr>
          <w:rFonts w:hint="eastAsia"/>
          <w:sz w:val="24"/>
        </w:rPr>
        <w:t>(</w:t>
      </w:r>
      <w:r w:rsidRPr="00A61CC3">
        <w:rPr>
          <w:i/>
          <w:iCs/>
          <w:sz w:val="24"/>
        </w:rPr>
        <w:t>P</w:t>
      </w:r>
      <w:r w:rsidR="00A61CC3">
        <w:rPr>
          <w:rFonts w:hint="eastAsia"/>
          <w:sz w:val="24"/>
        </w:rPr>
        <w:t xml:space="preserve"> </w:t>
      </w:r>
      <w:r w:rsidRPr="00F007AD">
        <w:rPr>
          <w:sz w:val="24"/>
        </w:rPr>
        <w:t>&lt;</w:t>
      </w:r>
      <w:r w:rsidR="00A61CC3">
        <w:rPr>
          <w:rFonts w:hint="eastAsia"/>
          <w:sz w:val="24"/>
        </w:rPr>
        <w:t xml:space="preserve"> </w:t>
      </w:r>
      <w:r w:rsidRPr="00F007AD">
        <w:rPr>
          <w:sz w:val="24"/>
        </w:rPr>
        <w:t xml:space="preserve">0.05) and required </w:t>
      </w:r>
      <m:oMath>
        <m:sSub>
          <m:sSubPr>
            <m:ctrlPr>
              <w:rPr>
                <w:rFonts w:ascii="Cambria Math" w:hAnsi="Cambria Math"/>
                <w:bCs/>
                <w:i/>
                <w:sz w:val="24"/>
              </w:rPr>
            </m:ctrlPr>
          </m:sSubPr>
          <m:e>
            <m:r>
              <w:rPr>
                <w:rFonts w:ascii="Cambria Math" w:hAnsi="Cambria Math"/>
                <w:sz w:val="24"/>
              </w:rPr>
              <m:t>C</m:t>
            </m:r>
          </m:e>
          <m:sub>
            <m:r>
              <w:rPr>
                <w:rFonts w:ascii="Cambria Math" w:hAnsi="Cambria Math"/>
                <w:sz w:val="24"/>
              </w:rPr>
              <m:t>exposed</m:t>
            </m:r>
          </m:sub>
        </m:sSub>
        <m:r>
          <w:rPr>
            <w:rFonts w:ascii="Cambria Math" w:hAnsi="Cambria Math"/>
            <w:sz w:val="24"/>
          </w:rPr>
          <m:t xml:space="preserve"> ≥ 20</m:t>
        </m:r>
      </m:oMath>
      <w:r w:rsidR="00A61CC3">
        <w:rPr>
          <w:rFonts w:hint="eastAsia"/>
          <w:bCs/>
          <w:sz w:val="24"/>
        </w:rPr>
        <w:t xml:space="preserve"> </w:t>
      </w:r>
      <w:r w:rsidRPr="00F007AD">
        <w:rPr>
          <w:sz w:val="24"/>
        </w:rPr>
        <w:t xml:space="preserve">to filter out unstable estimates. </w:t>
      </w:r>
      <w:r w:rsidR="00A642CB" w:rsidRPr="00A642CB">
        <w:rPr>
          <w:sz w:val="24"/>
        </w:rPr>
        <w:t>Pairs that passed these filters then underwent bootstrap validation against 10</w:t>
      </w:r>
      <w:r w:rsidR="00A642CB">
        <w:rPr>
          <w:rFonts w:hint="eastAsia"/>
          <w:sz w:val="24"/>
        </w:rPr>
        <w:t>,</w:t>
      </w:r>
      <w:r w:rsidR="00A642CB" w:rsidRPr="00A642CB">
        <w:rPr>
          <w:sz w:val="24"/>
        </w:rPr>
        <w:t>000 resampled control sets, yielding RR estimates with 95% CIs and exact p-values (</w:t>
      </w:r>
      <w:r w:rsidR="00A642CB" w:rsidRPr="00F007AD">
        <w:rPr>
          <w:sz w:val="24"/>
        </w:rPr>
        <w:t>Equation</w:t>
      </w:r>
      <w:r w:rsidR="00A642CB" w:rsidRPr="00A642CB">
        <w:rPr>
          <w:sz w:val="24"/>
        </w:rPr>
        <w:t xml:space="preserve"> 1</w:t>
      </w:r>
      <w:r w:rsidR="00A173CD">
        <w:rPr>
          <w:rFonts w:hint="eastAsia"/>
          <w:sz w:val="24"/>
        </w:rPr>
        <w:t xml:space="preserve">, </w:t>
      </w:r>
      <w:r w:rsidR="00A642CB" w:rsidRPr="00A642CB">
        <w:rPr>
          <w:sz w:val="24"/>
        </w:rPr>
        <w:t>2).</w:t>
      </w:r>
    </w:p>
    <w:p w14:paraId="374446D8" w14:textId="77777777" w:rsidR="00F007AD" w:rsidRPr="00F007AD" w:rsidRDefault="00F007AD" w:rsidP="00F007AD">
      <w:pPr>
        <w:spacing w:line="360" w:lineRule="auto"/>
        <w:ind w:firstLineChars="0" w:firstLine="0"/>
        <w:jc w:val="left"/>
        <w:rPr>
          <w:sz w:val="24"/>
        </w:rPr>
      </w:pPr>
    </w:p>
    <w:p w14:paraId="37E0F02A" w14:textId="77777777" w:rsidR="00414BBF" w:rsidRPr="00414BBF" w:rsidRDefault="00414BBF" w:rsidP="00414BBF">
      <w:pPr>
        <w:spacing w:line="360" w:lineRule="auto"/>
        <w:ind w:firstLineChars="0" w:firstLine="0"/>
        <w:jc w:val="left"/>
        <w:rPr>
          <w:sz w:val="24"/>
        </w:rPr>
      </w:pPr>
      <w:r w:rsidRPr="00414BBF">
        <w:rPr>
          <w:b/>
          <w:bCs/>
          <w:sz w:val="24"/>
        </w:rPr>
        <w:t>Directionality of the Multimorbid Disease Pairs</w:t>
      </w:r>
    </w:p>
    <w:p w14:paraId="499FEE22" w14:textId="43684F74" w:rsidR="00414BBF" w:rsidRPr="00414BBF" w:rsidRDefault="00414BBF" w:rsidP="00267799">
      <w:pPr>
        <w:spacing w:line="360" w:lineRule="auto"/>
        <w:ind w:firstLine="480"/>
        <w:rPr>
          <w:sz w:val="24"/>
        </w:rPr>
      </w:pPr>
      <w:r w:rsidRPr="00414BBF">
        <w:rPr>
          <w:sz w:val="24"/>
        </w:rPr>
        <w:t>For each diagnostic pair (</w:t>
      </w:r>
      <m:oMath>
        <m:r>
          <w:rPr>
            <w:rFonts w:ascii="Cambria Math" w:hAnsi="Cambria Math"/>
            <w:sz w:val="24"/>
          </w:rPr>
          <m:t>D1, D2</m:t>
        </m:r>
      </m:oMath>
      <w:r w:rsidRPr="00414BBF">
        <w:rPr>
          <w:sz w:val="24"/>
        </w:rPr>
        <w:t xml:space="preserve">) with a </w:t>
      </w:r>
      <w:r w:rsidR="00C11005">
        <w:rPr>
          <w:rFonts w:hint="eastAsia"/>
          <w:sz w:val="24"/>
        </w:rPr>
        <w:t xml:space="preserve">RR </w:t>
      </w:r>
      <w:r w:rsidRPr="00414BBF">
        <w:rPr>
          <w:sz w:val="24"/>
        </w:rPr>
        <w:t>&gt;</w:t>
      </w:r>
      <w:r w:rsidR="00C11005">
        <w:rPr>
          <w:rFonts w:hint="eastAsia"/>
          <w:sz w:val="24"/>
        </w:rPr>
        <w:t xml:space="preserve"> </w:t>
      </w:r>
      <w:r w:rsidRPr="00414BBF">
        <w:rPr>
          <w:sz w:val="24"/>
        </w:rPr>
        <w:t>1 and at least one direction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00C11005">
        <w:rPr>
          <w:rFonts w:hint="eastAsia"/>
          <w:sz w:val="24"/>
        </w:rPr>
        <w:t xml:space="preserve"> or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r>
          <w:rPr>
            <w:rFonts w:ascii="Cambria Math" w:hAnsi="Cambria Math"/>
            <w:sz w:val="24"/>
          </w:rPr>
          <m:t>→</m:t>
        </m:r>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Pr="00414BBF">
        <w:rPr>
          <w:sz w:val="24"/>
        </w:rPr>
        <w:t xml:space="preserve">) yielding a significant </w:t>
      </w:r>
      <w:r w:rsidR="004D1E13" w:rsidRPr="004D1E13">
        <w:rPr>
          <w:rFonts w:hint="eastAsia"/>
          <w:i/>
          <w:iCs/>
          <w:sz w:val="24"/>
        </w:rPr>
        <w:t>P</w:t>
      </w:r>
      <w:r w:rsidRPr="00414BBF">
        <w:rPr>
          <w:sz w:val="24"/>
        </w:rPr>
        <w:t xml:space="preserve"> value, we performed a directionality test to establish whether one diagnosis consistently precedes the other in time.</w:t>
      </w:r>
      <w:r w:rsidR="00267799">
        <w:rPr>
          <w:rFonts w:hint="eastAsia"/>
          <w:sz w:val="24"/>
        </w:rPr>
        <w:t xml:space="preserve"> </w:t>
      </w:r>
      <w:r w:rsidRPr="00414BBF">
        <w:rPr>
          <w:sz w:val="24"/>
        </w:rPr>
        <w:t xml:space="preserve">In this test, we first identified all </w:t>
      </w:r>
      <w:r w:rsidR="008A1F6E">
        <w:rPr>
          <w:sz w:val="24"/>
        </w:rPr>
        <w:t>individual</w:t>
      </w:r>
      <w:r w:rsidRPr="00414BBF">
        <w:rPr>
          <w:sz w:val="24"/>
        </w:rPr>
        <w:t xml:space="preserve">s who received both diagnoses at least once. For each such </w:t>
      </w:r>
      <w:r w:rsidR="008A1F6E">
        <w:rPr>
          <w:sz w:val="24"/>
        </w:rPr>
        <w:t>individual</w:t>
      </w:r>
      <w:r w:rsidRPr="00414BBF">
        <w:rPr>
          <w:sz w:val="24"/>
        </w:rPr>
        <w:t xml:space="preserve">, we recorded the order in which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Pr="00414BBF">
        <w:rPr>
          <w:sz w:val="24"/>
        </w:rPr>
        <w:t xml:space="preserve">and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Pr="00414BBF">
        <w:rPr>
          <w:sz w:val="24"/>
        </w:rPr>
        <w:t xml:space="preserve"> appeared at their first </w:t>
      </w:r>
      <w:r w:rsidR="00267799">
        <w:rPr>
          <w:rFonts w:hint="eastAsia"/>
          <w:sz w:val="24"/>
        </w:rPr>
        <w:t>diagnosis</w:t>
      </w:r>
      <w:r w:rsidRPr="00414BBF">
        <w:rPr>
          <w:sz w:val="24"/>
        </w:rPr>
        <w:t xml:space="preserve"> bearing both codes. We then counted three mutually exclusive groups:</w:t>
      </w:r>
    </w:p>
    <w:p w14:paraId="177F6772" w14:textId="5276815D" w:rsidR="00414BBF" w:rsidRPr="00414BBF" w:rsidRDefault="00000000" w:rsidP="00AE4F00">
      <w:pPr>
        <w:numPr>
          <w:ilvl w:val="0"/>
          <w:numId w:val="3"/>
        </w:numPr>
        <w:spacing w:line="360" w:lineRule="auto"/>
        <w:ind w:firstLineChars="0"/>
        <w:rPr>
          <w:sz w:val="24"/>
        </w:rPr>
      </w:pPr>
      <m:oMath>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D</m:t>
            </m:r>
            <m:r>
              <w:rPr>
                <w:rFonts w:ascii="Cambria Math" w:hAnsi="Cambria Math"/>
                <w:sz w:val="24"/>
              </w:rPr>
              <m:t>1</m:t>
            </m:r>
          </m:sub>
        </m:sSub>
      </m:oMath>
      <w:r w:rsidR="00414BBF" w:rsidRPr="00414BBF">
        <w:rPr>
          <w:sz w:val="24"/>
        </w:rPr>
        <w:t xml:space="preserve">: number of </w:t>
      </w:r>
      <w:r w:rsidR="008A1F6E">
        <w:rPr>
          <w:sz w:val="24"/>
        </w:rPr>
        <w:t>individual</w:t>
      </w:r>
      <w:r w:rsidR="00414BBF" w:rsidRPr="00414BBF">
        <w:rPr>
          <w:sz w:val="24"/>
        </w:rPr>
        <w:t xml:space="preserve">s whose first‐discharge record lists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00414BBF" w:rsidRPr="00414BBF">
        <w:rPr>
          <w:sz w:val="24"/>
        </w:rPr>
        <w:t xml:space="preserve"> before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00414BBF" w:rsidRPr="00414BBF">
        <w:rPr>
          <w:sz w:val="24"/>
        </w:rPr>
        <w:t>,</w:t>
      </w:r>
    </w:p>
    <w:bookmarkStart w:id="8" w:name="OLE_LINK35"/>
    <w:p w14:paraId="0DB032C5" w14:textId="407720D0" w:rsidR="00414BBF" w:rsidRPr="00414BBF" w:rsidRDefault="00000000" w:rsidP="00AE4F00">
      <w:pPr>
        <w:numPr>
          <w:ilvl w:val="0"/>
          <w:numId w:val="3"/>
        </w:numPr>
        <w:spacing w:line="360" w:lineRule="auto"/>
        <w:ind w:firstLineChars="0"/>
        <w:rPr>
          <w:sz w:val="24"/>
        </w:rPr>
      </w:pPr>
      <m:oMath>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D</m:t>
            </m:r>
            <m:r>
              <w:rPr>
                <w:rFonts w:ascii="Cambria Math" w:hAnsi="Cambria Math"/>
                <w:sz w:val="24"/>
              </w:rPr>
              <m:t>2</m:t>
            </m:r>
          </m:sub>
        </m:sSub>
      </m:oMath>
      <w:bookmarkEnd w:id="8"/>
      <w:r w:rsidR="00414BBF" w:rsidRPr="00414BBF">
        <w:rPr>
          <w:sz w:val="24"/>
        </w:rPr>
        <w:t xml:space="preserve">: number whose record lists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00414BBF" w:rsidRPr="00414BBF">
        <w:rPr>
          <w:sz w:val="24"/>
        </w:rPr>
        <w:t xml:space="preserve"> before </w:t>
      </w:r>
      <w:r w:rsidR="00267799" w:rsidRPr="00414BBF">
        <w:rPr>
          <w:sz w:val="24"/>
        </w:rPr>
        <w:t xml:space="preserve">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00414BBF" w:rsidRPr="00414BBF">
        <w:rPr>
          <w:sz w:val="24"/>
        </w:rPr>
        <w:t>, and</w:t>
      </w:r>
    </w:p>
    <w:p w14:paraId="3B986571" w14:textId="38503B1A" w:rsidR="00414BBF" w:rsidRPr="00414BBF" w:rsidRDefault="00000000" w:rsidP="00AE4F00">
      <w:pPr>
        <w:numPr>
          <w:ilvl w:val="0"/>
          <w:numId w:val="3"/>
        </w:numPr>
        <w:spacing w:line="360" w:lineRule="auto"/>
        <w:ind w:firstLineChars="0"/>
        <w:rPr>
          <w:sz w:val="24"/>
        </w:rPr>
      </w:pPr>
      <m:oMath>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same</m:t>
            </m:r>
          </m:sub>
        </m:sSub>
      </m:oMath>
      <w:r w:rsidR="00414BBF" w:rsidRPr="00414BBF">
        <w:rPr>
          <w:sz w:val="24"/>
        </w:rPr>
        <w:t>: number whose record lists</w:t>
      </w:r>
      <w:r w:rsidR="00267799">
        <w:rPr>
          <w:rFonts w:hint="eastAsia"/>
          <w:sz w:val="24"/>
        </w:rPr>
        <w:t xml:space="preserve">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00414BBF" w:rsidRPr="00414BBF">
        <w:rPr>
          <w:sz w:val="24"/>
        </w:rPr>
        <w:t xml:space="preserve"> and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00267799" w:rsidRPr="00414BBF">
        <w:rPr>
          <w:sz w:val="24"/>
        </w:rPr>
        <w:t>,</w:t>
      </w:r>
      <w:r w:rsidR="00414BBF" w:rsidRPr="00414BBF">
        <w:rPr>
          <w:sz w:val="24"/>
        </w:rPr>
        <w:t xml:space="preserve"> together on the same discharge.</w:t>
      </w:r>
    </w:p>
    <w:p w14:paraId="6E764FD8" w14:textId="697F73FA" w:rsidR="00414BBF" w:rsidRPr="00414BBF" w:rsidRDefault="00414BBF" w:rsidP="002A1D72">
      <w:pPr>
        <w:spacing w:line="360" w:lineRule="auto"/>
        <w:ind w:firstLine="480"/>
        <w:rPr>
          <w:sz w:val="24"/>
        </w:rPr>
      </w:pPr>
      <w:r w:rsidRPr="00414BBF">
        <w:rPr>
          <w:sz w:val="24"/>
        </w:rPr>
        <w:t>These satisfy</w:t>
      </w:r>
      <w:r w:rsidR="00267799">
        <w:rPr>
          <w:rFonts w:hint="eastAsia"/>
          <w:sz w:val="24"/>
        </w:rPr>
        <w:t xml:space="preserve"> </w:t>
      </w:r>
      <m:oMath>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tatol</m:t>
            </m:r>
          </m:sub>
        </m:sSub>
        <m:r>
          <w:rPr>
            <w:rFonts w:ascii="Cambria Math" w:hAnsi="Cambria Math"/>
            <w:sz w:val="24"/>
          </w:rPr>
          <m:t xml:space="preserve">= </m:t>
        </m:r>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D</m:t>
            </m:r>
            <m:r>
              <w:rPr>
                <w:rFonts w:ascii="Cambria Math" w:hAnsi="Cambria Math"/>
                <w:sz w:val="24"/>
              </w:rPr>
              <m:t>1</m:t>
            </m:r>
          </m:sub>
        </m:sSub>
        <m:r>
          <w:rPr>
            <w:rFonts w:ascii="Cambria Math" w:hAnsi="Cambria Math"/>
            <w:sz w:val="24"/>
          </w:rPr>
          <m:t xml:space="preserve">+ </m:t>
        </m:r>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D</m:t>
            </m:r>
            <m:r>
              <w:rPr>
                <w:rFonts w:ascii="Cambria Math" w:hAnsi="Cambria Math"/>
                <w:sz w:val="24"/>
              </w:rPr>
              <m:t>2</m:t>
            </m:r>
          </m:sub>
        </m:sSub>
        <m:r>
          <w:rPr>
            <w:rFonts w:ascii="Cambria Math" w:hAnsi="Cambria Math"/>
            <w:sz w:val="24"/>
          </w:rPr>
          <m:t xml:space="preserve">+ </m:t>
        </m:r>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same</m:t>
            </m:r>
          </m:sub>
        </m:sSub>
      </m:oMath>
      <w:r w:rsidR="00267799">
        <w:rPr>
          <w:rFonts w:hint="eastAsia"/>
          <w:sz w:val="24"/>
        </w:rPr>
        <w:t xml:space="preserve">. </w:t>
      </w:r>
      <w:r w:rsidRPr="00414BBF">
        <w:rPr>
          <w:sz w:val="24"/>
        </w:rPr>
        <w:t xml:space="preserve">Under the null hypothesis of no temporal bias, </w:t>
      </w:r>
      <w:proofErr w:type="spellStart"/>
      <w:proofErr w:type="gramStart"/>
      <w:r w:rsidRPr="00414BBF">
        <w:rPr>
          <w:sz w:val="24"/>
        </w:rPr>
        <w:t>a</w:t>
      </w:r>
      <w:proofErr w:type="spellEnd"/>
      <w:proofErr w:type="gramEnd"/>
      <w:r w:rsidRPr="00414BBF">
        <w:rPr>
          <w:sz w:val="24"/>
        </w:rPr>
        <w:t xml:space="preserve"> </w:t>
      </w:r>
      <w:r w:rsidR="008A1F6E">
        <w:rPr>
          <w:sz w:val="24"/>
        </w:rPr>
        <w:t>individual</w:t>
      </w:r>
      <w:r w:rsidRPr="00414BBF">
        <w:rPr>
          <w:sz w:val="24"/>
        </w:rPr>
        <w:t xml:space="preserve"> with both diagnoses is equally likely to receive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Pr="00414BBF">
        <w:rPr>
          <w:sz w:val="24"/>
        </w:rPr>
        <w:t xml:space="preserve"> first or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00267799" w:rsidRPr="00414BBF">
        <w:rPr>
          <w:sz w:val="24"/>
        </w:rPr>
        <w:t>,</w:t>
      </w:r>
      <w:r w:rsidRPr="00414BBF">
        <w:rPr>
          <w:sz w:val="24"/>
        </w:rPr>
        <w:t xml:space="preserve"> first (each with probability 0.5). We therefore applied two one‐sided binomial tests (including all </w:t>
      </w:r>
      <m:oMath>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same</m:t>
            </m:r>
          </m:sub>
        </m:sSub>
      </m:oMath>
      <w:r w:rsidRPr="00414BBF">
        <w:rPr>
          <w:sz w:val="24"/>
        </w:rPr>
        <w:t xml:space="preserve"> cases in the denominator </w:t>
      </w:r>
      <m:oMath>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tatol</m:t>
            </m:r>
          </m:sub>
        </m:sSub>
      </m:oMath>
      <w:r w:rsidRPr="00414BBF">
        <w:rPr>
          <w:sz w:val="24"/>
        </w:rPr>
        <w:t xml:space="preserve"> to ask separately whether </w:t>
      </w:r>
      <m:oMath>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D</m:t>
            </m:r>
            <m:r>
              <w:rPr>
                <w:rFonts w:ascii="Cambria Math" w:hAnsi="Cambria Math"/>
                <w:sz w:val="24"/>
              </w:rPr>
              <m:t>1</m:t>
            </m:r>
          </m:sub>
        </m:sSub>
      </m:oMath>
      <w:r w:rsidRPr="00414BBF">
        <w:rPr>
          <w:sz w:val="24"/>
        </w:rPr>
        <w:t xml:space="preserve"> or </w:t>
      </w:r>
      <m:oMath>
        <m:sSub>
          <m:sSubPr>
            <m:ctrlPr>
              <w:rPr>
                <w:rFonts w:ascii="Cambria Math" w:hAnsi="Cambria Math"/>
                <w:i/>
                <w:sz w:val="24"/>
              </w:rPr>
            </m:ctrlPr>
          </m:sSubPr>
          <m:e>
            <m:r>
              <w:rPr>
                <w:rFonts w:ascii="Cambria Math" w:hAnsi="Cambria Math" w:hint="eastAsia"/>
                <w:sz w:val="24"/>
              </w:rPr>
              <m:t>N</m:t>
            </m:r>
          </m:e>
          <m:sub>
            <m:r>
              <w:rPr>
                <w:rFonts w:ascii="Cambria Math" w:hAnsi="Cambria Math" w:hint="eastAsia"/>
                <w:sz w:val="24"/>
              </w:rPr>
              <m:t>D</m:t>
            </m:r>
            <m:r>
              <w:rPr>
                <w:rFonts w:ascii="Cambria Math" w:hAnsi="Cambria Math"/>
                <w:sz w:val="24"/>
              </w:rPr>
              <m:t>2</m:t>
            </m:r>
          </m:sub>
        </m:sSub>
      </m:oMath>
      <w:r w:rsidRPr="00414BBF">
        <w:rPr>
          <w:sz w:val="24"/>
        </w:rPr>
        <w:t xml:space="preserve"> significantly exceeds its expected valu</w:t>
      </w:r>
      <w:r w:rsidR="002A1D72">
        <w:rPr>
          <w:rFonts w:hint="eastAsia"/>
          <w:sz w:val="24"/>
        </w:rPr>
        <w:t>e</w:t>
      </w:r>
      <w:r w:rsidRPr="00414BBF">
        <w:rPr>
          <w:sz w:val="24"/>
        </w:rPr>
        <w:t>.</w:t>
      </w:r>
      <w:r w:rsidR="002A1D72">
        <w:rPr>
          <w:rFonts w:hint="eastAsia"/>
          <w:sz w:val="24"/>
        </w:rPr>
        <w:t xml:space="preserve"> </w:t>
      </w:r>
      <w:r w:rsidR="002A1D72" w:rsidRPr="002A1D72">
        <w:rPr>
          <w:sz w:val="24"/>
        </w:rPr>
        <w:t>We computed</w:t>
      </w:r>
      <w:r w:rsidR="002A1D72" w:rsidRPr="002A1D72">
        <w:rPr>
          <w:i/>
          <w:iCs/>
          <w:sz w:val="24"/>
        </w:rPr>
        <w:t xml:space="preserve"> P</w:t>
      </w:r>
      <w:r w:rsidR="002A1D72" w:rsidRPr="002A1D72">
        <w:rPr>
          <w:sz w:val="24"/>
        </w:rPr>
        <w:t xml:space="preserve"> values for both directions and applied a Bonferroni correction for two tests, retaining only pairs with one significant direction. This guarantees reproducible temporal ordering and highlights directional (and potentially causal) multimorbidity relationships.</w:t>
      </w:r>
    </w:p>
    <w:p w14:paraId="0153E353" w14:textId="77777777" w:rsidR="00414BBF" w:rsidRDefault="00414BBF" w:rsidP="00AE4F00">
      <w:pPr>
        <w:spacing w:line="360" w:lineRule="auto"/>
        <w:ind w:firstLineChars="0" w:firstLine="0"/>
        <w:rPr>
          <w:b/>
          <w:bCs/>
          <w:sz w:val="24"/>
        </w:rPr>
      </w:pPr>
    </w:p>
    <w:p w14:paraId="6A6B4F03" w14:textId="77777777" w:rsidR="003D3C0F" w:rsidRDefault="003D3C0F" w:rsidP="00AE4F00">
      <w:pPr>
        <w:spacing w:line="360" w:lineRule="auto"/>
        <w:ind w:firstLineChars="0" w:firstLine="0"/>
        <w:rPr>
          <w:b/>
          <w:bCs/>
          <w:sz w:val="24"/>
        </w:rPr>
      </w:pPr>
      <w:r w:rsidRPr="00933115">
        <w:rPr>
          <w:b/>
          <w:bCs/>
          <w:sz w:val="24"/>
        </w:rPr>
        <w:t>Construction of multi‐level disease trajectories</w:t>
      </w:r>
    </w:p>
    <w:p w14:paraId="4BDE7DA0" w14:textId="2F2895DA" w:rsidR="0011187E" w:rsidRPr="0011187E" w:rsidRDefault="0011187E" w:rsidP="0011187E">
      <w:pPr>
        <w:spacing w:line="360" w:lineRule="auto"/>
        <w:ind w:firstLine="480"/>
        <w:rPr>
          <w:sz w:val="24"/>
        </w:rPr>
      </w:pPr>
      <w:r w:rsidRPr="0011187E">
        <w:rPr>
          <w:sz w:val="24"/>
        </w:rPr>
        <w:t>Each significant directional disease pair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Pr="0011187E">
        <w:rPr>
          <w:sz w:val="24"/>
        </w:rPr>
        <w:t>→</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Pr="0011187E">
        <w:rPr>
          <w:sz w:val="24"/>
        </w:rPr>
        <w:t xml:space="preserve">) was treated as a </w:t>
      </w:r>
      <w:r w:rsidR="00B53C20">
        <w:rPr>
          <w:rFonts w:hint="eastAsia"/>
          <w:sz w:val="24"/>
        </w:rPr>
        <w:t>stage 2</w:t>
      </w:r>
      <w:r w:rsidRPr="0011187E">
        <w:rPr>
          <w:sz w:val="24"/>
        </w:rPr>
        <w:t xml:space="preserve"> trajectory.</w:t>
      </w:r>
      <w:r>
        <w:rPr>
          <w:rFonts w:hint="eastAsia"/>
          <w:sz w:val="24"/>
        </w:rPr>
        <w:t xml:space="preserve"> </w:t>
      </w:r>
      <w:r w:rsidRPr="0011187E">
        <w:rPr>
          <w:sz w:val="24"/>
        </w:rPr>
        <w:t xml:space="preserve">To further explore </w:t>
      </w:r>
      <w:r w:rsidR="008A1F6E">
        <w:rPr>
          <w:sz w:val="24"/>
        </w:rPr>
        <w:t>individual</w:t>
      </w:r>
      <w:r w:rsidRPr="0011187E">
        <w:rPr>
          <w:sz w:val="24"/>
        </w:rPr>
        <w:t xml:space="preserve">s’ progression pathways, we concatenated related diagnostic pairs to extend these into </w:t>
      </w:r>
      <w:r w:rsidR="00B53C20">
        <w:rPr>
          <w:rFonts w:hint="eastAsia"/>
          <w:sz w:val="24"/>
        </w:rPr>
        <w:t xml:space="preserve">stage 3 </w:t>
      </w:r>
      <w:r w:rsidRPr="0011187E">
        <w:rPr>
          <w:sz w:val="24"/>
        </w:rPr>
        <w:t>trajectories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Pr="0011187E">
        <w:rPr>
          <w:sz w:val="24"/>
        </w:rPr>
        <w:t>→</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Pr="0011187E">
        <w:rPr>
          <w:sz w:val="24"/>
        </w:rPr>
        <w:t>→</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3</m:t>
            </m:r>
          </m:sub>
        </m:sSub>
      </m:oMath>
      <w:r w:rsidRPr="0011187E">
        <w:rPr>
          <w:sz w:val="24"/>
        </w:rPr>
        <w:t xml:space="preserve">). Two distinct strategies were employed during trajectory extension: one, termed “trajectory </w:t>
      </w:r>
      <w:r w:rsidRPr="0011187E">
        <w:rPr>
          <w:sz w:val="24"/>
        </w:rPr>
        <w:lastRenderedPageBreak/>
        <w:t>flow,” identifies all potential trajectories; the other, termed “population flow,” relies on trajectories observed in the actual cohort.</w:t>
      </w:r>
    </w:p>
    <w:p w14:paraId="15423C9E" w14:textId="2B7B9E12" w:rsidR="00B53C20" w:rsidRPr="00B53C20" w:rsidRDefault="0011187E" w:rsidP="00B53C20">
      <w:pPr>
        <w:spacing w:line="360" w:lineRule="auto"/>
        <w:ind w:firstLine="480"/>
        <w:rPr>
          <w:sz w:val="24"/>
        </w:rPr>
      </w:pPr>
      <w:r w:rsidRPr="0011187E">
        <w:rPr>
          <w:sz w:val="24"/>
        </w:rPr>
        <w:t xml:space="preserve">In trajectory flow, we first retrieved the cohort of </w:t>
      </w:r>
      <w:r w:rsidR="008A1F6E">
        <w:rPr>
          <w:sz w:val="24"/>
        </w:rPr>
        <w:t>individual</w:t>
      </w:r>
      <w:r w:rsidRPr="0011187E">
        <w:rPr>
          <w:sz w:val="24"/>
        </w:rPr>
        <w:t xml:space="preserve">s following a given </w:t>
      </w:r>
      <w:r w:rsidR="00B53C20">
        <w:rPr>
          <w:rFonts w:hint="eastAsia"/>
          <w:sz w:val="24"/>
        </w:rPr>
        <w:t>stage 2</w:t>
      </w:r>
      <w:r w:rsidRPr="0011187E">
        <w:rPr>
          <w:sz w:val="24"/>
        </w:rPr>
        <w:t xml:space="preserve"> trajectory </w:t>
      </w:r>
      <w:r w:rsidR="00B53C20" w:rsidRPr="0011187E">
        <w:rPr>
          <w:sz w:val="24"/>
        </w:rPr>
        <w:t>(</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00B53C20" w:rsidRPr="0011187E">
        <w:rPr>
          <w:sz w:val="24"/>
        </w:rPr>
        <w:t>→</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00B53C20" w:rsidRPr="0011187E">
        <w:rPr>
          <w:sz w:val="24"/>
        </w:rPr>
        <w:t>)</w:t>
      </w:r>
      <w:r w:rsidRPr="0011187E">
        <w:rPr>
          <w:sz w:val="24"/>
        </w:rPr>
        <w:t xml:space="preserve"> and tabulated the types and frequencies of subsequent diagnoses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3</m:t>
            </m:r>
          </m:sub>
        </m:sSub>
      </m:oMath>
      <w:r w:rsidRPr="0011187E">
        <w:rPr>
          <w:sz w:val="24"/>
        </w:rPr>
        <w:t xml:space="preserve">) in their later encounters. We then ranked these candidate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3</m:t>
            </m:r>
          </m:sub>
        </m:sSub>
      </m:oMath>
      <w:r w:rsidRPr="0011187E">
        <w:rPr>
          <w:sz w:val="24"/>
        </w:rPr>
        <w:t xml:space="preserve"> diagnoses in descending order of occurrence frequency and, starting from the most frequent, iteratively identified </w:t>
      </w:r>
      <w:r w:rsidR="008A1F6E">
        <w:rPr>
          <w:sz w:val="24"/>
        </w:rPr>
        <w:t>individual</w:t>
      </w:r>
      <w:r w:rsidRPr="0011187E">
        <w:rPr>
          <w:sz w:val="24"/>
        </w:rPr>
        <w:t xml:space="preserve"> subgroups corresponding to each </w:t>
      </w:r>
      <w:r w:rsidR="00B53C20">
        <w:rPr>
          <w:rFonts w:hint="eastAsia"/>
          <w:sz w:val="24"/>
        </w:rPr>
        <w:t>stage 3</w:t>
      </w:r>
      <w:r w:rsidRPr="0011187E">
        <w:rPr>
          <w:sz w:val="24"/>
        </w:rPr>
        <w:t xml:space="preserve"> trajectory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00B53C20" w:rsidRPr="0011187E">
        <w:rPr>
          <w:sz w:val="24"/>
        </w:rPr>
        <w:t>→</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00B53C20" w:rsidRPr="0011187E">
        <w:rPr>
          <w:sz w:val="24"/>
        </w:rPr>
        <w:t>→</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3</m:t>
            </m:r>
          </m:sub>
        </m:sSub>
      </m:oMath>
      <w:r w:rsidRPr="0011187E">
        <w:rPr>
          <w:sz w:val="24"/>
        </w:rPr>
        <w:t xml:space="preserve">) until no further candidate diagnoses remained. This approach allowed us to examine all potential </w:t>
      </w:r>
      <w:r w:rsidR="00B53C20">
        <w:rPr>
          <w:rFonts w:hint="eastAsia"/>
          <w:sz w:val="24"/>
        </w:rPr>
        <w:t>stage 4</w:t>
      </w:r>
      <w:r w:rsidRPr="0011187E">
        <w:rPr>
          <w:sz w:val="24"/>
        </w:rPr>
        <w:t xml:space="preserve"> trajectories and confirm the </w:t>
      </w:r>
      <w:r w:rsidR="008A1F6E">
        <w:rPr>
          <w:sz w:val="24"/>
        </w:rPr>
        <w:t>individual</w:t>
      </w:r>
      <w:r w:rsidRPr="0011187E">
        <w:rPr>
          <w:sz w:val="24"/>
        </w:rPr>
        <w:t xml:space="preserve"> populations adhering to each.</w:t>
      </w:r>
      <w:r w:rsidR="00B53C20" w:rsidRPr="00B53C20">
        <w:rPr>
          <w:sz w:val="24"/>
        </w:rPr>
        <w:t xml:space="preserve"> Using the same procedure, we sequentially expanded </w:t>
      </w:r>
      <w:r w:rsidR="00CC5A5F">
        <w:rPr>
          <w:rFonts w:hint="eastAsia"/>
          <w:sz w:val="24"/>
        </w:rPr>
        <w:t>stage 3</w:t>
      </w:r>
      <w:r w:rsidR="00B53C20" w:rsidRPr="00B53C20">
        <w:rPr>
          <w:sz w:val="24"/>
        </w:rPr>
        <w:t xml:space="preserve"> trajectories into</w:t>
      </w:r>
      <w:r w:rsidR="00CC5A5F">
        <w:rPr>
          <w:rFonts w:hint="eastAsia"/>
          <w:sz w:val="24"/>
        </w:rPr>
        <w:t xml:space="preserve"> stage 4</w:t>
      </w:r>
      <w:r w:rsidR="00B53C20" w:rsidRPr="00B53C20">
        <w:rPr>
          <w:sz w:val="24"/>
        </w:rPr>
        <w:t>,</w:t>
      </w:r>
      <w:r w:rsidR="00CC5A5F">
        <w:rPr>
          <w:rFonts w:hint="eastAsia"/>
          <w:sz w:val="24"/>
        </w:rPr>
        <w:t xml:space="preserve"> stage 5</w:t>
      </w:r>
      <w:r w:rsidR="00B53C20" w:rsidRPr="00B53C20">
        <w:rPr>
          <w:sz w:val="24"/>
        </w:rPr>
        <w:t xml:space="preserve">, and </w:t>
      </w:r>
      <w:r w:rsidR="00CC5A5F">
        <w:rPr>
          <w:rFonts w:hint="eastAsia"/>
          <w:sz w:val="24"/>
        </w:rPr>
        <w:t xml:space="preserve">stage 6 </w:t>
      </w:r>
      <w:r w:rsidR="00B53C20" w:rsidRPr="00B53C20">
        <w:rPr>
          <w:sz w:val="24"/>
        </w:rPr>
        <w:t xml:space="preserve">trajectories, terminating when no additional </w:t>
      </w:r>
      <w:r w:rsidR="008A1F6E">
        <w:rPr>
          <w:sz w:val="24"/>
        </w:rPr>
        <w:t>individual</w:t>
      </w:r>
      <w:r w:rsidR="00B53C20" w:rsidRPr="00B53C20">
        <w:rPr>
          <w:sz w:val="24"/>
        </w:rPr>
        <w:t xml:space="preserve">s met the criteria for longer sequences. At each expansion stage, we recorded the number of </w:t>
      </w:r>
      <w:r w:rsidR="008A1F6E">
        <w:rPr>
          <w:sz w:val="24"/>
        </w:rPr>
        <w:t>individual</w:t>
      </w:r>
      <w:r w:rsidR="00B53C20" w:rsidRPr="00B53C20">
        <w:rPr>
          <w:sz w:val="24"/>
        </w:rPr>
        <w:t>s fitting the current trajectory and relevant cohort statistics.</w:t>
      </w:r>
    </w:p>
    <w:p w14:paraId="291C3E2F" w14:textId="28BF9590" w:rsidR="00B53C20" w:rsidRDefault="00B53C20" w:rsidP="00B53C20">
      <w:pPr>
        <w:spacing w:line="360" w:lineRule="auto"/>
        <w:ind w:firstLine="480"/>
        <w:rPr>
          <w:sz w:val="24"/>
        </w:rPr>
      </w:pPr>
      <w:r w:rsidRPr="00B53C20">
        <w:rPr>
          <w:sz w:val="24"/>
        </w:rPr>
        <w:t xml:space="preserve">In population flow, we first grouped </w:t>
      </w:r>
      <w:r w:rsidR="008A1F6E">
        <w:rPr>
          <w:sz w:val="24"/>
        </w:rPr>
        <w:t>individual</w:t>
      </w:r>
      <w:r w:rsidRPr="00B53C20">
        <w:rPr>
          <w:sz w:val="24"/>
        </w:rPr>
        <w:t xml:space="preserve">s by each </w:t>
      </w:r>
      <w:r w:rsidR="00CC5A5F">
        <w:rPr>
          <w:rFonts w:hint="eastAsia"/>
          <w:sz w:val="24"/>
        </w:rPr>
        <w:t>stage 2</w:t>
      </w:r>
      <w:r w:rsidRPr="00B53C20">
        <w:rPr>
          <w:sz w:val="24"/>
        </w:rPr>
        <w:t xml:space="preserve"> trajectory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00CC5A5F" w:rsidRPr="0011187E">
        <w:rPr>
          <w:sz w:val="24"/>
        </w:rPr>
        <w:t>→</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Pr="00B53C20">
        <w:rPr>
          <w:sz w:val="24"/>
        </w:rPr>
        <w:t xml:space="preserve">) and assigned each individual to exactly one such trajectory; if </w:t>
      </w:r>
      <w:proofErr w:type="spellStart"/>
      <w:proofErr w:type="gramStart"/>
      <w:r w:rsidRPr="00B53C20">
        <w:rPr>
          <w:sz w:val="24"/>
        </w:rPr>
        <w:t>a</w:t>
      </w:r>
      <w:proofErr w:type="spellEnd"/>
      <w:proofErr w:type="gramEnd"/>
      <w:r w:rsidRPr="00B53C20">
        <w:rPr>
          <w:sz w:val="24"/>
        </w:rPr>
        <w:t xml:space="preserve"> </w:t>
      </w:r>
      <w:r w:rsidR="008A1F6E">
        <w:rPr>
          <w:rFonts w:hint="eastAsia"/>
          <w:sz w:val="24"/>
        </w:rPr>
        <w:t xml:space="preserve">individual </w:t>
      </w:r>
      <w:r w:rsidRPr="00B53C20">
        <w:rPr>
          <w:sz w:val="24"/>
        </w:rPr>
        <w:t xml:space="preserve">qualified for multiple </w:t>
      </w:r>
      <w:r w:rsidR="00CC5A5F">
        <w:rPr>
          <w:rFonts w:hint="eastAsia"/>
          <w:sz w:val="24"/>
        </w:rPr>
        <w:t>stage 2</w:t>
      </w:r>
      <w:r w:rsidRPr="00B53C20">
        <w:rPr>
          <w:sz w:val="24"/>
        </w:rPr>
        <w:t xml:space="preserve"> trajectories, they were </w:t>
      </w:r>
      <w:r w:rsidR="00CC5A5F">
        <w:rPr>
          <w:rFonts w:hint="eastAsia"/>
          <w:sz w:val="24"/>
        </w:rPr>
        <w:t xml:space="preserve">only </w:t>
      </w:r>
      <w:r w:rsidRPr="00B53C20">
        <w:rPr>
          <w:sz w:val="24"/>
        </w:rPr>
        <w:t>allocated to the trajectory with the largest population, reflecting the most prevalent pathway in the real‐world cohort. Within each assigned</w:t>
      </w:r>
      <w:r w:rsidR="00CC5A5F" w:rsidRPr="00CC5A5F">
        <w:rPr>
          <w:rFonts w:hint="eastAsia"/>
          <w:sz w:val="24"/>
        </w:rPr>
        <w:t xml:space="preserve"> </w:t>
      </w:r>
      <w:r w:rsidR="00CC5A5F">
        <w:rPr>
          <w:rFonts w:hint="eastAsia"/>
          <w:sz w:val="24"/>
        </w:rPr>
        <w:t>stage 2</w:t>
      </w:r>
      <w:r w:rsidRPr="00B53C20">
        <w:rPr>
          <w:sz w:val="24"/>
        </w:rPr>
        <w:t xml:space="preserve"> trajectory, </w:t>
      </w:r>
      <w:r w:rsidR="00CC5A5F">
        <w:rPr>
          <w:rFonts w:hint="eastAsia"/>
          <w:sz w:val="24"/>
        </w:rPr>
        <w:t xml:space="preserve">individuals </w:t>
      </w:r>
      <w:r w:rsidRPr="00B53C20">
        <w:rPr>
          <w:sz w:val="24"/>
        </w:rPr>
        <w:t>were then similarly allocated to at most on</w:t>
      </w:r>
      <w:r w:rsidR="00CC5A5F">
        <w:rPr>
          <w:rFonts w:hint="eastAsia"/>
          <w:sz w:val="24"/>
        </w:rPr>
        <w:t xml:space="preserve"> stage 3</w:t>
      </w:r>
      <w:r w:rsidRPr="00B53C20">
        <w:rPr>
          <w:sz w:val="24"/>
        </w:rPr>
        <w:t xml:space="preserve"> trajectory—specifically, the candidate trajectory with the highest </w:t>
      </w:r>
      <w:r w:rsidR="008A1F6E">
        <w:rPr>
          <w:sz w:val="24"/>
        </w:rPr>
        <w:t>individual</w:t>
      </w:r>
      <w:r w:rsidRPr="00B53C20">
        <w:rPr>
          <w:sz w:val="24"/>
        </w:rPr>
        <w:t xml:space="preserve"> count. The same allocation strategy was subsequently applied to expand higher</w:t>
      </w:r>
      <w:r w:rsidR="00CC5A5F">
        <w:rPr>
          <w:rFonts w:hint="eastAsia"/>
          <w:sz w:val="24"/>
        </w:rPr>
        <w:t xml:space="preserve"> stage </w:t>
      </w:r>
      <w:r w:rsidRPr="00B53C20">
        <w:rPr>
          <w:sz w:val="24"/>
        </w:rPr>
        <w:t>trajectories.</w:t>
      </w:r>
      <w:r w:rsidR="00CC5A5F">
        <w:rPr>
          <w:rFonts w:hint="eastAsia"/>
          <w:sz w:val="24"/>
        </w:rPr>
        <w:t xml:space="preserve"> </w:t>
      </w:r>
      <w:r w:rsidR="00CC5A5F" w:rsidRPr="00CC5A5F">
        <w:rPr>
          <w:sz w:val="24"/>
        </w:rPr>
        <w:t xml:space="preserve">In this way, each </w:t>
      </w:r>
      <w:r w:rsidR="00CC5A5F">
        <w:rPr>
          <w:rFonts w:hint="eastAsia"/>
          <w:sz w:val="24"/>
        </w:rPr>
        <w:t xml:space="preserve">individual </w:t>
      </w:r>
      <w:r w:rsidR="00CC5A5F" w:rsidRPr="00CC5A5F">
        <w:rPr>
          <w:sz w:val="24"/>
        </w:rPr>
        <w:t>was assigned to a single trajectory, thereby fully illustrating the distribution of different pathways within the real‐world population.</w:t>
      </w:r>
    </w:p>
    <w:p w14:paraId="490927B4" w14:textId="6699B468" w:rsidR="007C55C9" w:rsidRDefault="00CD5F17" w:rsidP="00572A0B">
      <w:pPr>
        <w:ind w:firstLineChars="0" w:firstLine="0"/>
        <w:rPr>
          <w:sz w:val="24"/>
        </w:rPr>
      </w:pPr>
      <w:bookmarkStart w:id="9" w:name="OLE_LINK36"/>
      <w:r w:rsidRPr="00CD5F17">
        <w:rPr>
          <w:sz w:val="24"/>
        </w:rPr>
        <w:t xml:space="preserve">We evaluated trajectory robustness via bootstrap resampling to compute a support value for each trajectory, defined as the proportion of resampled cohorts in which at least 20 individuals still follow the trajectory. </w:t>
      </w:r>
      <w:r w:rsidR="004C54BC">
        <w:rPr>
          <w:rFonts w:hint="eastAsia"/>
          <w:sz w:val="24"/>
        </w:rPr>
        <w:t>T</w:t>
      </w:r>
      <w:r w:rsidRPr="00CD5F17">
        <w:rPr>
          <w:sz w:val="24"/>
        </w:rPr>
        <w:t>he original number of individuals on the trajectory</w:t>
      </w:r>
      <w:r w:rsidR="006C5D3D">
        <w:rPr>
          <w:rFonts w:hint="eastAsia"/>
          <w:sz w:val="24"/>
        </w:rPr>
        <w:t xml:space="preserve"> (</w:t>
      </w:r>
      <m:oMath>
        <m:r>
          <w:rPr>
            <w:rFonts w:ascii="Cambria Math" w:hAnsi="Cambria Math"/>
            <w:sz w:val="24"/>
          </w:rPr>
          <m:t>N</m:t>
        </m:r>
      </m:oMath>
      <w:r w:rsidR="006C5D3D">
        <w:rPr>
          <w:rFonts w:hint="eastAsia"/>
          <w:sz w:val="24"/>
        </w:rPr>
        <w:t>)</w:t>
      </w:r>
      <w:r w:rsidRPr="00CD5F17">
        <w:rPr>
          <w:sz w:val="24"/>
        </w:rPr>
        <w:t xml:space="preserve"> and​ the total cohort size</w:t>
      </w:r>
      <w:r w:rsidR="004C54BC">
        <w:rPr>
          <w:rFonts w:hint="eastAsia"/>
          <w:sz w:val="24"/>
        </w:rPr>
        <w:t xml:space="preserve">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pop</m:t>
            </m:r>
          </m:sub>
        </m:sSub>
      </m:oMath>
      <w:r w:rsidR="004C54BC">
        <w:rPr>
          <w:rFonts w:hint="eastAsia"/>
          <w:sz w:val="24"/>
        </w:rPr>
        <w:t>)</w:t>
      </w:r>
      <w:r w:rsidRPr="00CD5F17">
        <w:rPr>
          <w:sz w:val="24"/>
        </w:rPr>
        <w:t xml:space="preserve">, we set the sampling probability </w:t>
      </w:r>
      <w:r w:rsidR="00572A0B">
        <w:rPr>
          <w:rFonts w:hint="eastAsia"/>
          <w:sz w:val="24"/>
        </w:rPr>
        <w:t>(</w:t>
      </w:r>
      <m:oMath>
        <m:r>
          <w:rPr>
            <w:rFonts w:ascii="Cambria Math" w:hAnsi="Cambria Math"/>
            <w:sz w:val="24"/>
          </w:rPr>
          <m:t>p=N/</m:t>
        </m:r>
        <m:sSub>
          <m:sSubPr>
            <m:ctrlPr>
              <w:rPr>
                <w:rFonts w:ascii="Cambria Math" w:hAnsi="Cambria Math"/>
                <w:i/>
                <w:sz w:val="24"/>
              </w:rPr>
            </m:ctrlPr>
          </m:sSubPr>
          <m:e>
            <m:r>
              <w:rPr>
                <w:rFonts w:ascii="Cambria Math" w:hAnsi="Cambria Math"/>
                <w:sz w:val="24"/>
              </w:rPr>
              <m:t>N</m:t>
            </m:r>
          </m:e>
          <m:sub>
            <m:r>
              <w:rPr>
                <w:rFonts w:ascii="Cambria Math" w:hAnsi="Cambria Math"/>
                <w:sz w:val="24"/>
              </w:rPr>
              <m:t>pop</m:t>
            </m:r>
          </m:sub>
        </m:sSub>
      </m:oMath>
      <w:r w:rsidR="00572A0B">
        <w:rPr>
          <w:rFonts w:hint="eastAsia"/>
          <w:sz w:val="24"/>
        </w:rPr>
        <w:t>)</w:t>
      </w:r>
      <w:r w:rsidRPr="00CD5F17">
        <w:rPr>
          <w:sz w:val="24"/>
        </w:rPr>
        <w:t>​. In each of 10</w:t>
      </w:r>
      <w:r w:rsidR="00572A0B">
        <w:rPr>
          <w:rFonts w:hint="eastAsia"/>
          <w:sz w:val="24"/>
        </w:rPr>
        <w:t>,</w:t>
      </w:r>
      <w:r w:rsidRPr="00CD5F17">
        <w:rPr>
          <w:sz w:val="24"/>
        </w:rPr>
        <w:t xml:space="preserve">000 resamples of size ​, the number of trajectory individuals follows a </w:t>
      </w:r>
      <w:r w:rsidR="00572A0B" w:rsidRPr="00572A0B">
        <w:rPr>
          <w:sz w:val="24"/>
        </w:rPr>
        <w:t xml:space="preserve">Binomial </w:t>
      </w:r>
      <w:r w:rsidRPr="00CD5F17">
        <w:rPr>
          <w:sz w:val="24"/>
        </w:rPr>
        <w:t>distribution</w:t>
      </w:r>
      <w:r w:rsidR="00572A0B">
        <w:rPr>
          <w:rFonts w:hint="eastAsia"/>
          <w:sz w:val="24"/>
        </w:rPr>
        <w:t xml:space="preserve">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pop</m:t>
            </m:r>
          </m:sub>
        </m:sSub>
        <m:r>
          <w:rPr>
            <w:rFonts w:ascii="Cambria Math" w:hAnsi="Cambria Math"/>
            <w:sz w:val="24"/>
          </w:rPr>
          <m:t>, p</m:t>
        </m:r>
      </m:oMath>
      <w:r w:rsidR="00572A0B">
        <w:rPr>
          <w:rFonts w:hint="eastAsia"/>
          <w:sz w:val="24"/>
        </w:rPr>
        <w:t>)</w:t>
      </w:r>
      <w:r w:rsidRPr="00CD5F17">
        <w:rPr>
          <w:sz w:val="24"/>
        </w:rPr>
        <w:t>. The support value is then estimated as the fraction of resamples meeting</w:t>
      </w:r>
      <w:r w:rsidR="00572A0B">
        <w:rPr>
          <w:rFonts w:hint="eastAsia"/>
          <w:sz w:val="24"/>
        </w:rPr>
        <w:t xml:space="preserve"> (</w:t>
      </w:r>
      <m:oMath>
        <m:r>
          <w:rPr>
            <w:rFonts w:ascii="Cambria Math" w:hAnsi="Cambria Math"/>
            <w:sz w:val="24"/>
          </w:rPr>
          <m:t>C ≥20</m:t>
        </m:r>
      </m:oMath>
      <w:r w:rsidR="00572A0B">
        <w:rPr>
          <w:rFonts w:hint="eastAsia"/>
          <w:sz w:val="24"/>
        </w:rPr>
        <w:t>)</w:t>
      </w:r>
      <w:r w:rsidRPr="00CD5F17">
        <w:rPr>
          <w:sz w:val="24"/>
        </w:rPr>
        <w:t xml:space="preserve">. Only trajectories with support exceeding 0.99 </w:t>
      </w:r>
      <w:r w:rsidRPr="00CD5F17">
        <w:rPr>
          <w:sz w:val="24"/>
        </w:rPr>
        <w:lastRenderedPageBreak/>
        <w:t>were retained. This bootstrap‐based assessment was performed independently for each trajectory order, and the corresponding results were saved for subsequent analysis.</w:t>
      </w:r>
      <w:bookmarkEnd w:id="9"/>
    </w:p>
    <w:p w14:paraId="574A6BA2" w14:textId="77777777" w:rsidR="00572A0B" w:rsidRPr="00572A0B" w:rsidRDefault="00572A0B" w:rsidP="00572A0B">
      <w:pPr>
        <w:ind w:firstLineChars="0" w:firstLine="0"/>
        <w:rPr>
          <w:i/>
        </w:rPr>
      </w:pPr>
    </w:p>
    <w:p w14:paraId="31C319A1" w14:textId="77777777" w:rsidR="003D3C0F" w:rsidRPr="00A72F9E" w:rsidRDefault="003D3C0F" w:rsidP="00AE4F00">
      <w:pPr>
        <w:spacing w:line="360" w:lineRule="auto"/>
        <w:ind w:firstLineChars="0" w:firstLine="0"/>
        <w:rPr>
          <w:b/>
          <w:bCs/>
          <w:sz w:val="24"/>
        </w:rPr>
      </w:pPr>
      <w:bookmarkStart w:id="10" w:name="OLE_LINK37"/>
      <w:r w:rsidRPr="00933115">
        <w:rPr>
          <w:b/>
          <w:bCs/>
          <w:sz w:val="24"/>
        </w:rPr>
        <w:t>Construction of trajectory networks and identification of key diagnoses</w:t>
      </w:r>
    </w:p>
    <w:bookmarkEnd w:id="10"/>
    <w:p w14:paraId="4A3C256F" w14:textId="2C5EB72F" w:rsidR="00EC417B" w:rsidRPr="00EC417B" w:rsidRDefault="00EC417B" w:rsidP="00EC417B">
      <w:pPr>
        <w:ind w:firstLine="480"/>
        <w:rPr>
          <w:sz w:val="24"/>
        </w:rPr>
      </w:pPr>
      <w:r w:rsidRPr="00EC417B">
        <w:rPr>
          <w:sz w:val="24"/>
        </w:rPr>
        <w:t>We further analyzed the relationships and patterns among the identified trajectory flows by applying clustering algorithms to detect diagnostic combinations with similar characteristics. Specifically, we calculated the Jaccard similarity coefficient for each pair of trajectories—reflecting shared diagnoses—to construct a distance matrix, which was then used as input for community detection via the Markov cluster algorithm (MCL) and the Louvain method. To evaluate the consistency between these two clustering approaches, we quantified their agreement using normalized mutual information (NMI). Based on the clustering results, we selected trajectories for downstream analysis by retaining only those whose constituent diagnoses fell entirely within the clusters of interest.</w:t>
      </w:r>
      <w:r>
        <w:rPr>
          <w:rFonts w:hint="eastAsia"/>
          <w:sz w:val="24"/>
        </w:rPr>
        <w:t xml:space="preserve"> </w:t>
      </w:r>
    </w:p>
    <w:p w14:paraId="6B6BA133" w14:textId="1DFDD0AA" w:rsidR="009056E2" w:rsidRPr="009056E2" w:rsidRDefault="009056E2" w:rsidP="009056E2">
      <w:pPr>
        <w:ind w:firstLine="480"/>
        <w:rPr>
          <w:sz w:val="24"/>
        </w:rPr>
      </w:pPr>
      <w:r w:rsidRPr="009056E2">
        <w:rPr>
          <w:sz w:val="24"/>
        </w:rPr>
        <w:t xml:space="preserve">We constructed a directed disease network in which each node’s size reflects its 5-year mortality rate and each edge’s thickness encodes the probability that disease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Pr="009056E2">
        <w:rPr>
          <w:sz w:val="24"/>
        </w:rPr>
        <w:t xml:space="preserve"> progresses to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Pr="009056E2">
        <w:rPr>
          <w:sz w:val="24"/>
        </w:rPr>
        <w:t xml:space="preserve"> within five years. From our trajectory data, we extracted every consecutive disease pair and—restricting to patients with at least five years of follow-up—calculated both the unconditional progression probability (the fraction of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Pr="009056E2">
        <w:rPr>
          <w:sz w:val="24"/>
        </w:rPr>
        <w:t xml:space="preserve"> patients who developed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Pr>
          <w:rFonts w:hint="eastAsia"/>
          <w:sz w:val="24"/>
        </w:rPr>
        <w:t xml:space="preserve"> </w:t>
      </w:r>
      <w:r w:rsidRPr="009056E2">
        <w:rPr>
          <w:sz w:val="24"/>
        </w:rPr>
        <w:t xml:space="preserve">within five years) and the probability of death after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Pr="009056E2">
        <w:rPr>
          <w:sz w:val="24"/>
        </w:rPr>
        <w:t xml:space="preserve">. </w:t>
      </w:r>
    </w:p>
    <w:p w14:paraId="1B140E1A" w14:textId="06601994" w:rsidR="009056E2" w:rsidRPr="009056E2" w:rsidRDefault="009056E2" w:rsidP="009056E2">
      <w:pPr>
        <w:ind w:firstLine="480"/>
        <w:rPr>
          <w:sz w:val="24"/>
        </w:rPr>
      </w:pPr>
      <w:r w:rsidRPr="009056E2">
        <w:rPr>
          <w:sz w:val="24"/>
        </w:rPr>
        <w:t xml:space="preserve">To reveal each disease’s role in the network, we performed a comprehensive topological analysis using centrality metrics. Degree centrality (the count of direct connections) gauges a disease’s immediate influence, while betweenness centrality (how often a node falls on the shortest paths between others) identifies those that act as critical “bridges.” Closeness centrality (the inverse average distance to all other nodes) measures how efficiently a disease can transmit effects through the network, and </w:t>
      </w:r>
      <w:r w:rsidRPr="009056E2">
        <w:rPr>
          <w:sz w:val="24"/>
        </w:rPr>
        <w:lastRenderedPageBreak/>
        <w:t xml:space="preserve">eigenvector centrality weights each connection by its neighbor’s importance, thus capturing global prominence. </w:t>
      </w:r>
    </w:p>
    <w:p w14:paraId="58705348" w14:textId="2FC1E5E9" w:rsidR="00490528" w:rsidRDefault="00490528" w:rsidP="009056E2">
      <w:pPr>
        <w:ind w:firstLineChars="0" w:firstLine="0"/>
        <w:rPr>
          <w:szCs w:val="28"/>
        </w:rPr>
      </w:pPr>
    </w:p>
    <w:p w14:paraId="7447C3F0" w14:textId="77777777" w:rsidR="00692303" w:rsidRDefault="00692303" w:rsidP="00692303">
      <w:pPr>
        <w:ind w:firstLineChars="0" w:firstLine="0"/>
        <w:rPr>
          <w:b/>
          <w:bCs/>
          <w:sz w:val="24"/>
        </w:rPr>
      </w:pPr>
      <w:bookmarkStart w:id="11" w:name="_Hlk185521328"/>
      <w:r w:rsidRPr="00692303">
        <w:rPr>
          <w:b/>
          <w:bCs/>
          <w:sz w:val="24"/>
        </w:rPr>
        <w:t>Validate Central Diagnosis</w:t>
      </w:r>
    </w:p>
    <w:bookmarkEnd w:id="11"/>
    <w:p w14:paraId="52BE2E4C" w14:textId="38735A8D" w:rsidR="00490528" w:rsidRPr="00055FA4" w:rsidRDefault="00055FA4" w:rsidP="00055FA4">
      <w:pPr>
        <w:ind w:firstLine="480"/>
        <w:rPr>
          <w:sz w:val="24"/>
        </w:rPr>
      </w:pPr>
      <w:r w:rsidRPr="00055FA4">
        <w:rPr>
          <w:sz w:val="24"/>
        </w:rPr>
        <w:t xml:space="preserve">For each index diagnosis, we defined the set of diagnoses occurring beforehand as the </w:t>
      </w:r>
      <w:r>
        <w:rPr>
          <w:rFonts w:hint="eastAsia"/>
          <w:sz w:val="24"/>
        </w:rPr>
        <w:t xml:space="preserve">preceding </w:t>
      </w:r>
      <w:r w:rsidRPr="00055FA4">
        <w:rPr>
          <w:sz w:val="24"/>
        </w:rPr>
        <w:t>diagnosis set and those occurring afterward as the subsequent</w:t>
      </w:r>
      <w:r>
        <w:rPr>
          <w:rFonts w:hint="eastAsia"/>
          <w:sz w:val="24"/>
        </w:rPr>
        <w:t xml:space="preserve"> </w:t>
      </w:r>
      <w:r w:rsidRPr="00055FA4">
        <w:rPr>
          <w:sz w:val="24"/>
        </w:rPr>
        <w:t xml:space="preserve">diagnosis set. To assess the impact of each key diagnosis, we built a separate prospective nested case–control cohort for each one. In each cohort, the exposed group included individuals who, after receiving any diagnosis from the </w:t>
      </w:r>
      <w:r>
        <w:rPr>
          <w:rFonts w:hint="eastAsia"/>
          <w:sz w:val="24"/>
        </w:rPr>
        <w:t xml:space="preserve">preceding </w:t>
      </w:r>
      <w:r w:rsidRPr="00055FA4">
        <w:rPr>
          <w:sz w:val="24"/>
        </w:rPr>
        <w:t xml:space="preserve">set, later developed a diagnosis from the subsequent set during follow-up. We then matched these exposed subjects to controls by age, sex, and observation time; controls had a </w:t>
      </w:r>
      <w:r>
        <w:rPr>
          <w:rFonts w:hint="eastAsia"/>
          <w:sz w:val="24"/>
        </w:rPr>
        <w:t xml:space="preserve">preceding </w:t>
      </w:r>
      <w:r w:rsidRPr="00055FA4">
        <w:rPr>
          <w:sz w:val="24"/>
        </w:rPr>
        <w:t>set diagnosis but did not go on to develop any subsequent</w:t>
      </w:r>
      <w:r>
        <w:rPr>
          <w:rFonts w:hint="eastAsia"/>
          <w:sz w:val="24"/>
        </w:rPr>
        <w:t xml:space="preserve"> </w:t>
      </w:r>
      <w:r w:rsidRPr="00055FA4">
        <w:rPr>
          <w:sz w:val="24"/>
        </w:rPr>
        <w:t>set diagnosis within the same follow-up period. For each cohort, we compared the incidence of the key diagnosis between exposed and control groups by calculating the relative risk (RR), and we used a resampling method to estimate its confidence interval and statistical significance (The calculations were the same as the causal diagnostic estimates described above).</w:t>
      </w:r>
    </w:p>
    <w:p w14:paraId="24BB12C7" w14:textId="77777777" w:rsidR="009D465D" w:rsidRPr="00BC7501" w:rsidRDefault="009D465D" w:rsidP="00F007AD">
      <w:pPr>
        <w:spacing w:line="360" w:lineRule="auto"/>
        <w:ind w:firstLine="560"/>
      </w:pPr>
    </w:p>
    <w:sectPr w:rsidR="009D465D" w:rsidRPr="00BC750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2CE70" w14:textId="77777777" w:rsidR="00DC404C" w:rsidRDefault="00DC404C" w:rsidP="002214CE">
      <w:pPr>
        <w:spacing w:line="240" w:lineRule="auto"/>
        <w:ind w:firstLine="560"/>
      </w:pPr>
      <w:r>
        <w:separator/>
      </w:r>
    </w:p>
  </w:endnote>
  <w:endnote w:type="continuationSeparator" w:id="0">
    <w:p w14:paraId="411E940C" w14:textId="77777777" w:rsidR="00DC404C" w:rsidRDefault="00DC404C" w:rsidP="002214CE">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F608" w14:textId="77777777" w:rsidR="002214CE" w:rsidRDefault="002214CE">
    <w:pPr>
      <w:pStyle w:val="aff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F83B" w14:textId="77777777" w:rsidR="002214CE" w:rsidRDefault="002214CE">
    <w:pPr>
      <w:pStyle w:val="aff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B9792" w14:textId="77777777" w:rsidR="002214CE" w:rsidRDefault="002214CE">
    <w:pPr>
      <w:pStyle w:val="aff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1250" w14:textId="77777777" w:rsidR="00DC404C" w:rsidRDefault="00DC404C" w:rsidP="002214CE">
      <w:pPr>
        <w:spacing w:line="240" w:lineRule="auto"/>
        <w:ind w:firstLine="560"/>
      </w:pPr>
      <w:r>
        <w:separator/>
      </w:r>
    </w:p>
  </w:footnote>
  <w:footnote w:type="continuationSeparator" w:id="0">
    <w:p w14:paraId="5E7C9725" w14:textId="77777777" w:rsidR="00DC404C" w:rsidRDefault="00DC404C" w:rsidP="002214CE">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9DF89" w14:textId="77777777" w:rsidR="002214CE" w:rsidRDefault="002214CE">
    <w:pPr>
      <w:pStyle w:val="aff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2006" w14:textId="77777777" w:rsidR="002214CE" w:rsidRDefault="002214CE">
    <w:pPr>
      <w:pStyle w:val="aff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0138" w14:textId="77777777" w:rsidR="002214CE" w:rsidRDefault="002214CE">
    <w:pPr>
      <w:pStyle w:val="aff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2156"/>
    <w:multiLevelType w:val="multilevel"/>
    <w:tmpl w:val="4148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BB1974"/>
    <w:multiLevelType w:val="multilevel"/>
    <w:tmpl w:val="4CC4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873ADA"/>
    <w:multiLevelType w:val="multilevel"/>
    <w:tmpl w:val="1448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D76B4C"/>
    <w:multiLevelType w:val="multilevel"/>
    <w:tmpl w:val="3952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2963765">
    <w:abstractNumId w:val="3"/>
  </w:num>
  <w:num w:numId="2" w16cid:durableId="1516192320">
    <w:abstractNumId w:val="1"/>
  </w:num>
  <w:num w:numId="3" w16cid:durableId="332807738">
    <w:abstractNumId w:val="0"/>
  </w:num>
  <w:num w:numId="4" w16cid:durableId="1833718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C0F"/>
    <w:rsid w:val="00031BE8"/>
    <w:rsid w:val="00055FA4"/>
    <w:rsid w:val="000668A3"/>
    <w:rsid w:val="0011187E"/>
    <w:rsid w:val="0019281A"/>
    <w:rsid w:val="001B1F77"/>
    <w:rsid w:val="00201A0C"/>
    <w:rsid w:val="00210B8B"/>
    <w:rsid w:val="002214CE"/>
    <w:rsid w:val="00225034"/>
    <w:rsid w:val="002276F6"/>
    <w:rsid w:val="00254185"/>
    <w:rsid w:val="00267799"/>
    <w:rsid w:val="002A1D72"/>
    <w:rsid w:val="002D53DD"/>
    <w:rsid w:val="00393ADC"/>
    <w:rsid w:val="003D3C0F"/>
    <w:rsid w:val="00414BBF"/>
    <w:rsid w:val="00490528"/>
    <w:rsid w:val="004A7FB0"/>
    <w:rsid w:val="004C54BC"/>
    <w:rsid w:val="004D1E13"/>
    <w:rsid w:val="0052339C"/>
    <w:rsid w:val="0053003B"/>
    <w:rsid w:val="00540E84"/>
    <w:rsid w:val="00572A0B"/>
    <w:rsid w:val="00581D31"/>
    <w:rsid w:val="00624B0C"/>
    <w:rsid w:val="006775B9"/>
    <w:rsid w:val="00692303"/>
    <w:rsid w:val="006C5D3D"/>
    <w:rsid w:val="00703DA3"/>
    <w:rsid w:val="00723B72"/>
    <w:rsid w:val="007603CB"/>
    <w:rsid w:val="00771412"/>
    <w:rsid w:val="00784754"/>
    <w:rsid w:val="007C55C9"/>
    <w:rsid w:val="00867BE1"/>
    <w:rsid w:val="008A1F6E"/>
    <w:rsid w:val="008C12C8"/>
    <w:rsid w:val="008C2635"/>
    <w:rsid w:val="009056E2"/>
    <w:rsid w:val="009D465D"/>
    <w:rsid w:val="00A173CD"/>
    <w:rsid w:val="00A61CC3"/>
    <w:rsid w:val="00A642CB"/>
    <w:rsid w:val="00AC78AC"/>
    <w:rsid w:val="00AD5356"/>
    <w:rsid w:val="00AE4F00"/>
    <w:rsid w:val="00B012F8"/>
    <w:rsid w:val="00B164F1"/>
    <w:rsid w:val="00B53C20"/>
    <w:rsid w:val="00BC7501"/>
    <w:rsid w:val="00C11005"/>
    <w:rsid w:val="00C37EC0"/>
    <w:rsid w:val="00C404CC"/>
    <w:rsid w:val="00CC5A5F"/>
    <w:rsid w:val="00CD5F17"/>
    <w:rsid w:val="00D13FB3"/>
    <w:rsid w:val="00D566BA"/>
    <w:rsid w:val="00DA7132"/>
    <w:rsid w:val="00DC404C"/>
    <w:rsid w:val="00DE33B5"/>
    <w:rsid w:val="00E82B6F"/>
    <w:rsid w:val="00EA6470"/>
    <w:rsid w:val="00EB3CCF"/>
    <w:rsid w:val="00EB6D72"/>
    <w:rsid w:val="00EC417B"/>
    <w:rsid w:val="00F007AD"/>
    <w:rsid w:val="00F10A4E"/>
    <w:rsid w:val="00F13EE6"/>
    <w:rsid w:val="00F531DF"/>
    <w:rsid w:val="00F966F1"/>
    <w:rsid w:val="00FA7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222D8"/>
  <w15:chartTrackingRefBased/>
  <w15:docId w15:val="{A711F3E9-92F4-4E6F-8CC8-CCB1CDE3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C0F"/>
    <w:pPr>
      <w:widowControl w:val="0"/>
      <w:spacing w:after="0" w:line="520" w:lineRule="exact"/>
      <w:ind w:firstLineChars="200" w:firstLine="200"/>
      <w:jc w:val="both"/>
    </w:pPr>
    <w:rPr>
      <w:rFonts w:ascii="Times New Roman" w:eastAsia="宋体" w:hAnsi="Times New Roman" w:cs="Times New Roman"/>
      <w:sz w:val="28"/>
      <w14:ligatures w14:val="none"/>
    </w:rPr>
  </w:style>
  <w:style w:type="paragraph" w:styleId="1">
    <w:name w:val="heading 1"/>
    <w:basedOn w:val="a"/>
    <w:next w:val="a"/>
    <w:link w:val="10"/>
    <w:uiPriority w:val="9"/>
    <w:qFormat/>
    <w:rsid w:val="0019281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D3C0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autoRedefine/>
    <w:uiPriority w:val="9"/>
    <w:unhideWhenUsed/>
    <w:qFormat/>
    <w:rsid w:val="00C404CC"/>
    <w:pPr>
      <w:keepNext/>
      <w:keepLines/>
      <w:spacing w:before="260" w:after="260" w:line="416" w:lineRule="auto"/>
      <w:ind w:firstLineChars="0" w:firstLine="0"/>
      <w:outlineLvl w:val="2"/>
    </w:pPr>
    <w:rPr>
      <w:rFonts w:eastAsia="Times New Roman"/>
      <w:b/>
      <w:bCs/>
      <w:szCs w:val="32"/>
      <w14:ligatures w14:val="standardContextual"/>
    </w:rPr>
  </w:style>
  <w:style w:type="paragraph" w:styleId="4">
    <w:name w:val="heading 4"/>
    <w:basedOn w:val="a"/>
    <w:next w:val="a"/>
    <w:link w:val="40"/>
    <w:uiPriority w:val="9"/>
    <w:semiHidden/>
    <w:unhideWhenUsed/>
    <w:qFormat/>
    <w:rsid w:val="003D3C0F"/>
    <w:pPr>
      <w:keepNext/>
      <w:keepLines/>
      <w:spacing w:before="80" w:after="40"/>
      <w:outlineLvl w:val="3"/>
    </w:pPr>
    <w:rPr>
      <w:rFonts w:asciiTheme="minorHAnsi" w:eastAsiaTheme="minorEastAsia" w:hAnsiTheme="minorHAnsi" w:cstheme="majorBidi"/>
      <w:color w:val="2F5496" w:themeColor="accent1" w:themeShade="BF"/>
      <w:szCs w:val="28"/>
    </w:rPr>
  </w:style>
  <w:style w:type="paragraph" w:styleId="5">
    <w:name w:val="heading 5"/>
    <w:basedOn w:val="a"/>
    <w:next w:val="a"/>
    <w:link w:val="50"/>
    <w:uiPriority w:val="9"/>
    <w:semiHidden/>
    <w:unhideWhenUsed/>
    <w:qFormat/>
    <w:rsid w:val="003D3C0F"/>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3D3C0F"/>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3D3C0F"/>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3D3C0F"/>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3D3C0F"/>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毕业论文 部分标体"/>
    <w:basedOn w:val="a4"/>
    <w:link w:val="a5"/>
    <w:autoRedefine/>
    <w:qFormat/>
    <w:rsid w:val="0019281A"/>
    <w:pPr>
      <w:spacing w:afterLines="100" w:after="100" w:line="520" w:lineRule="exact"/>
      <w:contextualSpacing w:val="0"/>
      <w:outlineLvl w:val="0"/>
    </w:pPr>
    <w:rPr>
      <w:rFonts w:eastAsia="黑体"/>
      <w:bCs/>
      <w:spacing w:val="0"/>
      <w:kern w:val="2"/>
      <w:sz w:val="36"/>
      <w:szCs w:val="36"/>
    </w:rPr>
  </w:style>
  <w:style w:type="character" w:customStyle="1" w:styleId="a5">
    <w:name w:val="毕业论文 部分标体 字符"/>
    <w:basedOn w:val="a6"/>
    <w:link w:val="a3"/>
    <w:rsid w:val="0019281A"/>
    <w:rPr>
      <w:rFonts w:asciiTheme="majorHAnsi" w:eastAsia="黑体" w:hAnsiTheme="majorHAnsi" w:cstheme="majorBidi"/>
      <w:bCs/>
      <w:spacing w:val="-10"/>
      <w:kern w:val="28"/>
      <w:sz w:val="36"/>
      <w:szCs w:val="36"/>
    </w:rPr>
  </w:style>
  <w:style w:type="paragraph" w:styleId="a4">
    <w:name w:val="Title"/>
    <w:basedOn w:val="a"/>
    <w:next w:val="a"/>
    <w:link w:val="a6"/>
    <w:uiPriority w:val="10"/>
    <w:qFormat/>
    <w:rsid w:val="0019281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0"/>
    <w:link w:val="a4"/>
    <w:uiPriority w:val="10"/>
    <w:rsid w:val="0019281A"/>
    <w:rPr>
      <w:rFonts w:asciiTheme="majorHAnsi" w:eastAsiaTheme="majorEastAsia" w:hAnsiTheme="majorHAnsi" w:cstheme="majorBidi"/>
      <w:spacing w:val="-10"/>
      <w:kern w:val="28"/>
      <w:sz w:val="56"/>
      <w:szCs w:val="56"/>
    </w:rPr>
  </w:style>
  <w:style w:type="paragraph" w:customStyle="1" w:styleId="a7">
    <w:name w:val="二级标题"/>
    <w:basedOn w:val="1"/>
    <w:link w:val="a8"/>
    <w:autoRedefine/>
    <w:qFormat/>
    <w:rsid w:val="0019281A"/>
    <w:pPr>
      <w:spacing w:before="0" w:afterLines="50" w:after="50"/>
    </w:pPr>
    <w:rPr>
      <w:rFonts w:ascii="Calibri" w:eastAsia="黑体" w:hAnsi="Calibri" w:cstheme="minorBidi"/>
      <w:bCs/>
      <w:color w:val="auto"/>
      <w:kern w:val="44"/>
      <w:sz w:val="32"/>
      <w:szCs w:val="32"/>
    </w:rPr>
  </w:style>
  <w:style w:type="character" w:customStyle="1" w:styleId="a8">
    <w:name w:val="二级标题 字符"/>
    <w:basedOn w:val="10"/>
    <w:link w:val="a7"/>
    <w:rsid w:val="0019281A"/>
    <w:rPr>
      <w:rFonts w:ascii="Calibri" w:eastAsia="黑体" w:hAnsi="Calibri" w:cstheme="majorBidi"/>
      <w:bCs/>
      <w:color w:val="2F5496" w:themeColor="accent1" w:themeShade="BF"/>
      <w:kern w:val="44"/>
      <w:sz w:val="32"/>
      <w:szCs w:val="32"/>
    </w:rPr>
  </w:style>
  <w:style w:type="character" w:customStyle="1" w:styleId="10">
    <w:name w:val="标题 1 字符"/>
    <w:basedOn w:val="a0"/>
    <w:link w:val="1"/>
    <w:uiPriority w:val="9"/>
    <w:rsid w:val="0019281A"/>
    <w:rPr>
      <w:rFonts w:asciiTheme="majorHAnsi" w:eastAsiaTheme="majorEastAsia" w:hAnsiTheme="majorHAnsi" w:cstheme="majorBidi"/>
      <w:color w:val="2F5496" w:themeColor="accent1" w:themeShade="BF"/>
      <w:sz w:val="48"/>
      <w:szCs w:val="48"/>
    </w:rPr>
  </w:style>
  <w:style w:type="paragraph" w:customStyle="1" w:styleId="b">
    <w:name w:val="b三级标题"/>
    <w:basedOn w:val="a"/>
    <w:autoRedefine/>
    <w:qFormat/>
    <w:rsid w:val="0019281A"/>
    <w:pPr>
      <w:spacing w:beforeLines="50" w:before="50" w:afterLines="50" w:after="50"/>
      <w:ind w:firstLineChars="0" w:firstLine="0"/>
      <w:jc w:val="left"/>
      <w:outlineLvl w:val="2"/>
    </w:pPr>
    <w:rPr>
      <w:rFonts w:cstheme="majorBidi"/>
      <w:bCs/>
      <w:sz w:val="30"/>
      <w:szCs w:val="28"/>
    </w:rPr>
  </w:style>
  <w:style w:type="paragraph" w:customStyle="1" w:styleId="b0">
    <w:name w:val="b四级标题"/>
    <w:basedOn w:val="b"/>
    <w:autoRedefine/>
    <w:qFormat/>
    <w:rsid w:val="0019281A"/>
    <w:pPr>
      <w:spacing w:afterLines="0" w:after="0"/>
    </w:pPr>
    <w:rPr>
      <w:sz w:val="28"/>
    </w:rPr>
  </w:style>
  <w:style w:type="paragraph" w:customStyle="1" w:styleId="a9">
    <w:name w:val="图题"/>
    <w:basedOn w:val="a"/>
    <w:link w:val="aa"/>
    <w:autoRedefine/>
    <w:qFormat/>
    <w:rsid w:val="0019281A"/>
    <w:pPr>
      <w:ind w:firstLine="560"/>
      <w:jc w:val="center"/>
    </w:pPr>
    <w:rPr>
      <w:rFonts w:asciiTheme="minorHAnsi" w:eastAsia="楷体" w:hAnsiTheme="minorHAnsi" w:cstheme="minorBidi"/>
      <w:sz w:val="21"/>
      <w14:ligatures w14:val="standardContextual"/>
    </w:rPr>
  </w:style>
  <w:style w:type="character" w:customStyle="1" w:styleId="aa">
    <w:name w:val="图题 字符"/>
    <w:basedOn w:val="a0"/>
    <w:link w:val="a9"/>
    <w:rsid w:val="0019281A"/>
    <w:rPr>
      <w:rFonts w:eastAsia="楷体"/>
      <w:sz w:val="21"/>
    </w:rPr>
  </w:style>
  <w:style w:type="paragraph" w:customStyle="1" w:styleId="ab">
    <w:name w:val="图注"/>
    <w:basedOn w:val="a9"/>
    <w:link w:val="ac"/>
    <w:autoRedefine/>
    <w:qFormat/>
    <w:rsid w:val="0019281A"/>
    <w:pPr>
      <w:spacing w:line="360" w:lineRule="exact"/>
      <w:ind w:firstLineChars="0" w:firstLine="0"/>
      <w:jc w:val="left"/>
    </w:pPr>
    <w:rPr>
      <w:sz w:val="18"/>
    </w:rPr>
  </w:style>
  <w:style w:type="character" w:customStyle="1" w:styleId="ac">
    <w:name w:val="图注 字符"/>
    <w:basedOn w:val="aa"/>
    <w:link w:val="ab"/>
    <w:rsid w:val="0019281A"/>
    <w:rPr>
      <w:rFonts w:eastAsia="楷体"/>
      <w:sz w:val="18"/>
    </w:rPr>
  </w:style>
  <w:style w:type="paragraph" w:customStyle="1" w:styleId="ad">
    <w:name w:val="表格内容"/>
    <w:basedOn w:val="a"/>
    <w:link w:val="ae"/>
    <w:autoRedefine/>
    <w:qFormat/>
    <w:rsid w:val="00B164F1"/>
    <w:pPr>
      <w:spacing w:line="240" w:lineRule="atLeast"/>
      <w:ind w:firstLineChars="0" w:firstLine="0"/>
      <w:jc w:val="left"/>
    </w:pPr>
    <w:rPr>
      <w:rFonts w:asciiTheme="minorHAnsi" w:eastAsiaTheme="minorEastAsia" w:hAnsiTheme="minorHAnsi" w:cstheme="minorBidi"/>
      <w:bCs/>
      <w:iCs/>
      <w:sz w:val="21"/>
      <w:szCs w:val="28"/>
      <w14:ligatures w14:val="standardContextual"/>
    </w:rPr>
  </w:style>
  <w:style w:type="character" w:customStyle="1" w:styleId="ae">
    <w:name w:val="表格内容 字符"/>
    <w:basedOn w:val="a0"/>
    <w:link w:val="ad"/>
    <w:rsid w:val="00B164F1"/>
    <w:rPr>
      <w:bCs/>
      <w:iCs/>
      <w:sz w:val="21"/>
      <w:szCs w:val="28"/>
    </w:rPr>
  </w:style>
  <w:style w:type="paragraph" w:styleId="af">
    <w:name w:val="caption"/>
    <w:basedOn w:val="a9"/>
    <w:next w:val="a"/>
    <w:autoRedefine/>
    <w:unhideWhenUsed/>
    <w:qFormat/>
    <w:rsid w:val="00B164F1"/>
    <w:pPr>
      <w:keepNext/>
      <w:spacing w:line="360" w:lineRule="exact"/>
      <w:ind w:firstLineChars="0" w:firstLine="0"/>
    </w:pPr>
    <w:rPr>
      <w:rFonts w:ascii="Times New Roman" w:hAnsi="Times New Roman" w:cstheme="majorBidi"/>
      <w:noProof/>
      <w:szCs w:val="20"/>
      <w14:ligatures w14:val="none"/>
    </w:rPr>
  </w:style>
  <w:style w:type="table" w:customStyle="1" w:styleId="af0">
    <w:name w:val="三线表"/>
    <w:basedOn w:val="a1"/>
    <w:uiPriority w:val="99"/>
    <w:rsid w:val="002276F6"/>
    <w:pPr>
      <w:spacing w:after="0" w:line="360" w:lineRule="exact"/>
    </w:pPr>
    <w:rPr>
      <w:rFonts w:ascii="Times New Roman" w:eastAsia="宋体" w:hAnsi="Times New Roman" w:cs="Times New Roman"/>
      <w:kern w:val="0"/>
      <w:sz w:val="21"/>
      <w:szCs w:val="20"/>
      <w14:ligatures w14:val="none"/>
    </w:rPr>
    <w:tblPr>
      <w:tblBorders>
        <w:top w:val="single" w:sz="12" w:space="0" w:color="auto"/>
        <w:bottom w:val="single" w:sz="12" w:space="0" w:color="auto"/>
      </w:tblBorders>
    </w:tblPr>
    <w:tcPr>
      <w:vAlign w:val="center"/>
    </w:tc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af1">
    <w:name w:val="参考文献"/>
    <w:basedOn w:val="af2"/>
    <w:link w:val="af3"/>
    <w:autoRedefine/>
    <w:qFormat/>
    <w:rsid w:val="0053003B"/>
    <w:pPr>
      <w:tabs>
        <w:tab w:val="left" w:pos="504"/>
      </w:tabs>
      <w:ind w:left="180" w:hangingChars="180" w:hanging="180"/>
    </w:pPr>
    <w:rPr>
      <w:rFonts w:asciiTheme="minorHAnsi" w:eastAsiaTheme="minorEastAsia" w:hAnsiTheme="minorHAnsi" w:cstheme="minorBidi"/>
      <w:color w:val="000000"/>
      <w:szCs w:val="44"/>
      <w14:ligatures w14:val="standardContextual"/>
    </w:rPr>
  </w:style>
  <w:style w:type="character" w:customStyle="1" w:styleId="af3">
    <w:name w:val="参考文献 字符"/>
    <w:basedOn w:val="a0"/>
    <w:link w:val="af1"/>
    <w:rsid w:val="0053003B"/>
    <w:rPr>
      <w:color w:val="000000"/>
      <w:sz w:val="28"/>
      <w:szCs w:val="44"/>
    </w:rPr>
  </w:style>
  <w:style w:type="paragraph" w:styleId="af2">
    <w:name w:val="Bibliography"/>
    <w:basedOn w:val="a"/>
    <w:next w:val="a"/>
    <w:uiPriority w:val="37"/>
    <w:semiHidden/>
    <w:unhideWhenUsed/>
    <w:rsid w:val="0053003B"/>
  </w:style>
  <w:style w:type="character" w:customStyle="1" w:styleId="30">
    <w:name w:val="标题 3 字符"/>
    <w:basedOn w:val="a0"/>
    <w:link w:val="3"/>
    <w:uiPriority w:val="9"/>
    <w:rsid w:val="00C404CC"/>
    <w:rPr>
      <w:rFonts w:ascii="Times New Roman" w:eastAsia="Times New Roman" w:hAnsi="Times New Roman" w:cs="Times New Roman"/>
      <w:b/>
      <w:bCs/>
      <w:sz w:val="28"/>
      <w:szCs w:val="32"/>
    </w:rPr>
  </w:style>
  <w:style w:type="character" w:customStyle="1" w:styleId="20">
    <w:name w:val="标题 2 字符"/>
    <w:basedOn w:val="a0"/>
    <w:link w:val="2"/>
    <w:uiPriority w:val="9"/>
    <w:semiHidden/>
    <w:rsid w:val="003D3C0F"/>
    <w:rPr>
      <w:rFonts w:asciiTheme="majorHAnsi" w:eastAsiaTheme="majorEastAsia" w:hAnsiTheme="majorHAnsi" w:cstheme="majorBidi"/>
      <w:color w:val="2F5496" w:themeColor="accent1" w:themeShade="BF"/>
      <w:sz w:val="40"/>
      <w:szCs w:val="40"/>
      <w14:ligatures w14:val="none"/>
    </w:rPr>
  </w:style>
  <w:style w:type="character" w:customStyle="1" w:styleId="40">
    <w:name w:val="标题 4 字符"/>
    <w:basedOn w:val="a0"/>
    <w:link w:val="4"/>
    <w:uiPriority w:val="9"/>
    <w:semiHidden/>
    <w:rsid w:val="003D3C0F"/>
    <w:rPr>
      <w:rFonts w:cstheme="majorBidi"/>
      <w:color w:val="2F5496" w:themeColor="accent1" w:themeShade="BF"/>
      <w:sz w:val="28"/>
      <w:szCs w:val="28"/>
      <w14:ligatures w14:val="none"/>
    </w:rPr>
  </w:style>
  <w:style w:type="character" w:customStyle="1" w:styleId="50">
    <w:name w:val="标题 5 字符"/>
    <w:basedOn w:val="a0"/>
    <w:link w:val="5"/>
    <w:uiPriority w:val="9"/>
    <w:semiHidden/>
    <w:rsid w:val="003D3C0F"/>
    <w:rPr>
      <w:rFonts w:cstheme="majorBidi"/>
      <w:color w:val="2F5496" w:themeColor="accent1" w:themeShade="BF"/>
      <w:sz w:val="24"/>
      <w14:ligatures w14:val="none"/>
    </w:rPr>
  </w:style>
  <w:style w:type="character" w:customStyle="1" w:styleId="60">
    <w:name w:val="标题 6 字符"/>
    <w:basedOn w:val="a0"/>
    <w:link w:val="6"/>
    <w:uiPriority w:val="9"/>
    <w:semiHidden/>
    <w:rsid w:val="003D3C0F"/>
    <w:rPr>
      <w:rFonts w:cstheme="majorBidi"/>
      <w:b/>
      <w:bCs/>
      <w:color w:val="2F5496" w:themeColor="accent1" w:themeShade="BF"/>
      <w:sz w:val="28"/>
      <w14:ligatures w14:val="none"/>
    </w:rPr>
  </w:style>
  <w:style w:type="character" w:customStyle="1" w:styleId="70">
    <w:name w:val="标题 7 字符"/>
    <w:basedOn w:val="a0"/>
    <w:link w:val="7"/>
    <w:uiPriority w:val="9"/>
    <w:semiHidden/>
    <w:rsid w:val="003D3C0F"/>
    <w:rPr>
      <w:rFonts w:cstheme="majorBidi"/>
      <w:b/>
      <w:bCs/>
      <w:color w:val="595959" w:themeColor="text1" w:themeTint="A6"/>
      <w:sz w:val="28"/>
      <w14:ligatures w14:val="none"/>
    </w:rPr>
  </w:style>
  <w:style w:type="character" w:customStyle="1" w:styleId="80">
    <w:name w:val="标题 8 字符"/>
    <w:basedOn w:val="a0"/>
    <w:link w:val="8"/>
    <w:uiPriority w:val="9"/>
    <w:semiHidden/>
    <w:rsid w:val="003D3C0F"/>
    <w:rPr>
      <w:rFonts w:cstheme="majorBidi"/>
      <w:color w:val="595959" w:themeColor="text1" w:themeTint="A6"/>
      <w:sz w:val="28"/>
      <w14:ligatures w14:val="none"/>
    </w:rPr>
  </w:style>
  <w:style w:type="character" w:customStyle="1" w:styleId="90">
    <w:name w:val="标题 9 字符"/>
    <w:basedOn w:val="a0"/>
    <w:link w:val="9"/>
    <w:uiPriority w:val="9"/>
    <w:semiHidden/>
    <w:rsid w:val="003D3C0F"/>
    <w:rPr>
      <w:rFonts w:eastAsiaTheme="majorEastAsia" w:cstheme="majorBidi"/>
      <w:color w:val="595959" w:themeColor="text1" w:themeTint="A6"/>
      <w:sz w:val="28"/>
      <w14:ligatures w14:val="none"/>
    </w:rPr>
  </w:style>
  <w:style w:type="paragraph" w:styleId="af4">
    <w:name w:val="Subtitle"/>
    <w:basedOn w:val="a"/>
    <w:next w:val="a"/>
    <w:link w:val="af5"/>
    <w:uiPriority w:val="11"/>
    <w:qFormat/>
    <w:rsid w:val="003D3C0F"/>
    <w:pPr>
      <w:numPr>
        <w:ilvl w:val="1"/>
      </w:numPr>
      <w:spacing w:after="160"/>
      <w:ind w:firstLineChars="200" w:firstLine="200"/>
      <w:jc w:val="center"/>
    </w:pPr>
    <w:rPr>
      <w:rFonts w:asciiTheme="majorHAnsi" w:eastAsiaTheme="majorEastAsia" w:hAnsiTheme="majorHAnsi" w:cstheme="majorBidi"/>
      <w:color w:val="595959" w:themeColor="text1" w:themeTint="A6"/>
      <w:spacing w:val="15"/>
      <w:szCs w:val="28"/>
    </w:rPr>
  </w:style>
  <w:style w:type="character" w:customStyle="1" w:styleId="af5">
    <w:name w:val="副标题 字符"/>
    <w:basedOn w:val="a0"/>
    <w:link w:val="af4"/>
    <w:uiPriority w:val="11"/>
    <w:rsid w:val="003D3C0F"/>
    <w:rPr>
      <w:rFonts w:asciiTheme="majorHAnsi" w:eastAsiaTheme="majorEastAsia" w:hAnsiTheme="majorHAnsi" w:cstheme="majorBidi"/>
      <w:color w:val="595959" w:themeColor="text1" w:themeTint="A6"/>
      <w:spacing w:val="15"/>
      <w:sz w:val="28"/>
      <w:szCs w:val="28"/>
      <w14:ligatures w14:val="none"/>
    </w:rPr>
  </w:style>
  <w:style w:type="paragraph" w:styleId="af6">
    <w:name w:val="Quote"/>
    <w:basedOn w:val="a"/>
    <w:next w:val="a"/>
    <w:link w:val="af7"/>
    <w:uiPriority w:val="29"/>
    <w:qFormat/>
    <w:rsid w:val="003D3C0F"/>
    <w:pPr>
      <w:spacing w:before="160" w:after="160"/>
      <w:jc w:val="center"/>
    </w:pPr>
    <w:rPr>
      <w:i/>
      <w:iCs/>
      <w:color w:val="404040" w:themeColor="text1" w:themeTint="BF"/>
    </w:rPr>
  </w:style>
  <w:style w:type="character" w:customStyle="1" w:styleId="af7">
    <w:name w:val="引用 字符"/>
    <w:basedOn w:val="a0"/>
    <w:link w:val="af6"/>
    <w:uiPriority w:val="29"/>
    <w:rsid w:val="003D3C0F"/>
    <w:rPr>
      <w:rFonts w:ascii="Times New Roman" w:eastAsia="宋体" w:hAnsi="Times New Roman" w:cs="Times New Roman"/>
      <w:i/>
      <w:iCs/>
      <w:color w:val="404040" w:themeColor="text1" w:themeTint="BF"/>
      <w:sz w:val="28"/>
      <w14:ligatures w14:val="none"/>
    </w:rPr>
  </w:style>
  <w:style w:type="paragraph" w:styleId="af8">
    <w:name w:val="List Paragraph"/>
    <w:basedOn w:val="a"/>
    <w:uiPriority w:val="34"/>
    <w:qFormat/>
    <w:rsid w:val="003D3C0F"/>
    <w:pPr>
      <w:ind w:left="720"/>
      <w:contextualSpacing/>
    </w:pPr>
  </w:style>
  <w:style w:type="character" w:styleId="af9">
    <w:name w:val="Intense Emphasis"/>
    <w:basedOn w:val="a0"/>
    <w:uiPriority w:val="21"/>
    <w:qFormat/>
    <w:rsid w:val="003D3C0F"/>
    <w:rPr>
      <w:i/>
      <w:iCs/>
      <w:color w:val="2F5496" w:themeColor="accent1" w:themeShade="BF"/>
    </w:rPr>
  </w:style>
  <w:style w:type="paragraph" w:styleId="afa">
    <w:name w:val="Intense Quote"/>
    <w:basedOn w:val="a"/>
    <w:next w:val="a"/>
    <w:link w:val="afb"/>
    <w:uiPriority w:val="30"/>
    <w:qFormat/>
    <w:rsid w:val="003D3C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b">
    <w:name w:val="明显引用 字符"/>
    <w:basedOn w:val="a0"/>
    <w:link w:val="afa"/>
    <w:uiPriority w:val="30"/>
    <w:rsid w:val="003D3C0F"/>
    <w:rPr>
      <w:rFonts w:ascii="Times New Roman" w:eastAsia="宋体" w:hAnsi="Times New Roman" w:cs="Times New Roman"/>
      <w:i/>
      <w:iCs/>
      <w:color w:val="2F5496" w:themeColor="accent1" w:themeShade="BF"/>
      <w:sz w:val="28"/>
      <w14:ligatures w14:val="none"/>
    </w:rPr>
  </w:style>
  <w:style w:type="character" w:styleId="afc">
    <w:name w:val="Intense Reference"/>
    <w:basedOn w:val="a0"/>
    <w:uiPriority w:val="32"/>
    <w:qFormat/>
    <w:rsid w:val="003D3C0F"/>
    <w:rPr>
      <w:b/>
      <w:bCs/>
      <w:smallCaps/>
      <w:color w:val="2F5496" w:themeColor="accent1" w:themeShade="BF"/>
      <w:spacing w:val="5"/>
    </w:rPr>
  </w:style>
  <w:style w:type="character" w:styleId="afd">
    <w:name w:val="annotation reference"/>
    <w:basedOn w:val="a0"/>
    <w:uiPriority w:val="99"/>
    <w:semiHidden/>
    <w:unhideWhenUsed/>
    <w:rsid w:val="00F007AD"/>
    <w:rPr>
      <w:sz w:val="21"/>
      <w:szCs w:val="21"/>
    </w:rPr>
  </w:style>
  <w:style w:type="paragraph" w:styleId="afe">
    <w:name w:val="annotation text"/>
    <w:basedOn w:val="a"/>
    <w:link w:val="aff"/>
    <w:uiPriority w:val="99"/>
    <w:unhideWhenUsed/>
    <w:rsid w:val="00F007AD"/>
    <w:pPr>
      <w:jc w:val="left"/>
    </w:pPr>
  </w:style>
  <w:style w:type="character" w:customStyle="1" w:styleId="aff">
    <w:name w:val="批注文字 字符"/>
    <w:basedOn w:val="a0"/>
    <w:link w:val="afe"/>
    <w:uiPriority w:val="99"/>
    <w:rsid w:val="00F007AD"/>
    <w:rPr>
      <w:rFonts w:ascii="Times New Roman" w:eastAsia="宋体" w:hAnsi="Times New Roman" w:cs="Times New Roman"/>
      <w:sz w:val="28"/>
      <w14:ligatures w14:val="none"/>
    </w:rPr>
  </w:style>
  <w:style w:type="paragraph" w:styleId="aff0">
    <w:name w:val="annotation subject"/>
    <w:basedOn w:val="afe"/>
    <w:next w:val="afe"/>
    <w:link w:val="aff1"/>
    <w:uiPriority w:val="99"/>
    <w:semiHidden/>
    <w:unhideWhenUsed/>
    <w:rsid w:val="00F007AD"/>
    <w:rPr>
      <w:b/>
      <w:bCs/>
    </w:rPr>
  </w:style>
  <w:style w:type="character" w:customStyle="1" w:styleId="aff1">
    <w:name w:val="批注主题 字符"/>
    <w:basedOn w:val="aff"/>
    <w:link w:val="aff0"/>
    <w:uiPriority w:val="99"/>
    <w:semiHidden/>
    <w:rsid w:val="00F007AD"/>
    <w:rPr>
      <w:rFonts w:ascii="Times New Roman" w:eastAsia="宋体" w:hAnsi="Times New Roman" w:cs="Times New Roman"/>
      <w:b/>
      <w:bCs/>
      <w:sz w:val="28"/>
      <w14:ligatures w14:val="none"/>
    </w:rPr>
  </w:style>
  <w:style w:type="character" w:styleId="aff2">
    <w:name w:val="Placeholder Text"/>
    <w:basedOn w:val="a0"/>
    <w:uiPriority w:val="99"/>
    <w:semiHidden/>
    <w:rsid w:val="00F007AD"/>
    <w:rPr>
      <w:color w:val="666666"/>
    </w:rPr>
  </w:style>
  <w:style w:type="paragraph" w:styleId="aff3">
    <w:name w:val="Normal (Web)"/>
    <w:basedOn w:val="a"/>
    <w:uiPriority w:val="99"/>
    <w:semiHidden/>
    <w:unhideWhenUsed/>
    <w:rsid w:val="0011187E"/>
    <w:rPr>
      <w:sz w:val="24"/>
    </w:rPr>
  </w:style>
  <w:style w:type="paragraph" w:styleId="aff4">
    <w:name w:val="header"/>
    <w:basedOn w:val="a"/>
    <w:link w:val="aff5"/>
    <w:uiPriority w:val="99"/>
    <w:unhideWhenUsed/>
    <w:rsid w:val="002214CE"/>
    <w:pPr>
      <w:tabs>
        <w:tab w:val="center" w:pos="4153"/>
        <w:tab w:val="right" w:pos="8306"/>
      </w:tabs>
      <w:snapToGrid w:val="0"/>
      <w:spacing w:line="240" w:lineRule="atLeast"/>
      <w:jc w:val="center"/>
    </w:pPr>
    <w:rPr>
      <w:sz w:val="18"/>
      <w:szCs w:val="18"/>
    </w:rPr>
  </w:style>
  <w:style w:type="character" w:customStyle="1" w:styleId="aff5">
    <w:name w:val="页眉 字符"/>
    <w:basedOn w:val="a0"/>
    <w:link w:val="aff4"/>
    <w:uiPriority w:val="99"/>
    <w:rsid w:val="002214CE"/>
    <w:rPr>
      <w:rFonts w:ascii="Times New Roman" w:eastAsia="宋体" w:hAnsi="Times New Roman" w:cs="Times New Roman"/>
      <w:sz w:val="18"/>
      <w:szCs w:val="18"/>
      <w14:ligatures w14:val="none"/>
    </w:rPr>
  </w:style>
  <w:style w:type="paragraph" w:styleId="aff6">
    <w:name w:val="footer"/>
    <w:basedOn w:val="a"/>
    <w:link w:val="aff7"/>
    <w:uiPriority w:val="99"/>
    <w:unhideWhenUsed/>
    <w:rsid w:val="002214CE"/>
    <w:pPr>
      <w:tabs>
        <w:tab w:val="center" w:pos="4153"/>
        <w:tab w:val="right" w:pos="8306"/>
      </w:tabs>
      <w:snapToGrid w:val="0"/>
      <w:spacing w:line="240" w:lineRule="atLeast"/>
      <w:jc w:val="left"/>
    </w:pPr>
    <w:rPr>
      <w:sz w:val="18"/>
      <w:szCs w:val="18"/>
    </w:rPr>
  </w:style>
  <w:style w:type="character" w:customStyle="1" w:styleId="aff7">
    <w:name w:val="页脚 字符"/>
    <w:basedOn w:val="a0"/>
    <w:link w:val="aff6"/>
    <w:uiPriority w:val="99"/>
    <w:rsid w:val="002214CE"/>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90122">
      <w:bodyDiv w:val="1"/>
      <w:marLeft w:val="0"/>
      <w:marRight w:val="0"/>
      <w:marTop w:val="0"/>
      <w:marBottom w:val="0"/>
      <w:divBdr>
        <w:top w:val="none" w:sz="0" w:space="0" w:color="auto"/>
        <w:left w:val="none" w:sz="0" w:space="0" w:color="auto"/>
        <w:bottom w:val="none" w:sz="0" w:space="0" w:color="auto"/>
        <w:right w:val="none" w:sz="0" w:space="0" w:color="auto"/>
      </w:divBdr>
    </w:div>
    <w:div w:id="189688466">
      <w:bodyDiv w:val="1"/>
      <w:marLeft w:val="0"/>
      <w:marRight w:val="0"/>
      <w:marTop w:val="0"/>
      <w:marBottom w:val="0"/>
      <w:divBdr>
        <w:top w:val="none" w:sz="0" w:space="0" w:color="auto"/>
        <w:left w:val="none" w:sz="0" w:space="0" w:color="auto"/>
        <w:bottom w:val="none" w:sz="0" w:space="0" w:color="auto"/>
        <w:right w:val="none" w:sz="0" w:space="0" w:color="auto"/>
      </w:divBdr>
    </w:div>
    <w:div w:id="418451716">
      <w:bodyDiv w:val="1"/>
      <w:marLeft w:val="0"/>
      <w:marRight w:val="0"/>
      <w:marTop w:val="0"/>
      <w:marBottom w:val="0"/>
      <w:divBdr>
        <w:top w:val="none" w:sz="0" w:space="0" w:color="auto"/>
        <w:left w:val="none" w:sz="0" w:space="0" w:color="auto"/>
        <w:bottom w:val="none" w:sz="0" w:space="0" w:color="auto"/>
        <w:right w:val="none" w:sz="0" w:space="0" w:color="auto"/>
      </w:divBdr>
    </w:div>
    <w:div w:id="491220851">
      <w:bodyDiv w:val="1"/>
      <w:marLeft w:val="0"/>
      <w:marRight w:val="0"/>
      <w:marTop w:val="0"/>
      <w:marBottom w:val="0"/>
      <w:divBdr>
        <w:top w:val="none" w:sz="0" w:space="0" w:color="auto"/>
        <w:left w:val="none" w:sz="0" w:space="0" w:color="auto"/>
        <w:bottom w:val="none" w:sz="0" w:space="0" w:color="auto"/>
        <w:right w:val="none" w:sz="0" w:space="0" w:color="auto"/>
      </w:divBdr>
    </w:div>
    <w:div w:id="591745365">
      <w:bodyDiv w:val="1"/>
      <w:marLeft w:val="0"/>
      <w:marRight w:val="0"/>
      <w:marTop w:val="0"/>
      <w:marBottom w:val="0"/>
      <w:divBdr>
        <w:top w:val="none" w:sz="0" w:space="0" w:color="auto"/>
        <w:left w:val="none" w:sz="0" w:space="0" w:color="auto"/>
        <w:bottom w:val="none" w:sz="0" w:space="0" w:color="auto"/>
        <w:right w:val="none" w:sz="0" w:space="0" w:color="auto"/>
      </w:divBdr>
    </w:div>
    <w:div w:id="697119356">
      <w:bodyDiv w:val="1"/>
      <w:marLeft w:val="0"/>
      <w:marRight w:val="0"/>
      <w:marTop w:val="0"/>
      <w:marBottom w:val="0"/>
      <w:divBdr>
        <w:top w:val="none" w:sz="0" w:space="0" w:color="auto"/>
        <w:left w:val="none" w:sz="0" w:space="0" w:color="auto"/>
        <w:bottom w:val="none" w:sz="0" w:space="0" w:color="auto"/>
        <w:right w:val="none" w:sz="0" w:space="0" w:color="auto"/>
      </w:divBdr>
    </w:div>
    <w:div w:id="703334424">
      <w:bodyDiv w:val="1"/>
      <w:marLeft w:val="0"/>
      <w:marRight w:val="0"/>
      <w:marTop w:val="0"/>
      <w:marBottom w:val="0"/>
      <w:divBdr>
        <w:top w:val="none" w:sz="0" w:space="0" w:color="auto"/>
        <w:left w:val="none" w:sz="0" w:space="0" w:color="auto"/>
        <w:bottom w:val="none" w:sz="0" w:space="0" w:color="auto"/>
        <w:right w:val="none" w:sz="0" w:space="0" w:color="auto"/>
      </w:divBdr>
    </w:div>
    <w:div w:id="778111771">
      <w:bodyDiv w:val="1"/>
      <w:marLeft w:val="0"/>
      <w:marRight w:val="0"/>
      <w:marTop w:val="0"/>
      <w:marBottom w:val="0"/>
      <w:divBdr>
        <w:top w:val="none" w:sz="0" w:space="0" w:color="auto"/>
        <w:left w:val="none" w:sz="0" w:space="0" w:color="auto"/>
        <w:bottom w:val="none" w:sz="0" w:space="0" w:color="auto"/>
        <w:right w:val="none" w:sz="0" w:space="0" w:color="auto"/>
      </w:divBdr>
    </w:div>
    <w:div w:id="872033722">
      <w:bodyDiv w:val="1"/>
      <w:marLeft w:val="0"/>
      <w:marRight w:val="0"/>
      <w:marTop w:val="0"/>
      <w:marBottom w:val="0"/>
      <w:divBdr>
        <w:top w:val="none" w:sz="0" w:space="0" w:color="auto"/>
        <w:left w:val="none" w:sz="0" w:space="0" w:color="auto"/>
        <w:bottom w:val="none" w:sz="0" w:space="0" w:color="auto"/>
        <w:right w:val="none" w:sz="0" w:space="0" w:color="auto"/>
      </w:divBdr>
    </w:div>
    <w:div w:id="1482887076">
      <w:bodyDiv w:val="1"/>
      <w:marLeft w:val="0"/>
      <w:marRight w:val="0"/>
      <w:marTop w:val="0"/>
      <w:marBottom w:val="0"/>
      <w:divBdr>
        <w:top w:val="none" w:sz="0" w:space="0" w:color="auto"/>
        <w:left w:val="none" w:sz="0" w:space="0" w:color="auto"/>
        <w:bottom w:val="none" w:sz="0" w:space="0" w:color="auto"/>
        <w:right w:val="none" w:sz="0" w:space="0" w:color="auto"/>
      </w:divBdr>
    </w:div>
    <w:div w:id="1718092077">
      <w:bodyDiv w:val="1"/>
      <w:marLeft w:val="0"/>
      <w:marRight w:val="0"/>
      <w:marTop w:val="0"/>
      <w:marBottom w:val="0"/>
      <w:divBdr>
        <w:top w:val="none" w:sz="0" w:space="0" w:color="auto"/>
        <w:left w:val="none" w:sz="0" w:space="0" w:color="auto"/>
        <w:bottom w:val="none" w:sz="0" w:space="0" w:color="auto"/>
        <w:right w:val="none" w:sz="0" w:space="0" w:color="auto"/>
      </w:divBdr>
    </w:div>
    <w:div w:id="202265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862</TotalTime>
  <Pages>6</Pages>
  <Words>1606</Words>
  <Characters>9397</Characters>
  <Application>Microsoft Office Word</Application>
  <DocSecurity>0</DocSecurity>
  <Lines>156</Lines>
  <Paragraphs>43</Paragraphs>
  <ScaleCrop>false</ScaleCrop>
  <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新阳 龙</dc:creator>
  <cp:keywords/>
  <dc:description/>
  <cp:lastModifiedBy>新阳 龙</cp:lastModifiedBy>
  <cp:revision>46</cp:revision>
  <dcterms:created xsi:type="dcterms:W3CDTF">2025-05-18T09:56:00Z</dcterms:created>
  <dcterms:modified xsi:type="dcterms:W3CDTF">2025-08-07T07:16:00Z</dcterms:modified>
</cp:coreProperties>
</file>