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02978">
      <w:pPr>
        <w:jc w:val="center"/>
        <w:rPr>
          <w:rFonts w:ascii="Times New Roman" w:hAnsi="Times New Roman" w:eastAsia="等线" w:cs="Times New Roman"/>
          <w:b/>
          <w:bCs/>
          <w:color w:val="000000"/>
          <w:kern w:val="0"/>
          <w:szCs w:val="21"/>
        </w:rPr>
      </w:pPr>
    </w:p>
    <w:p w14:paraId="4D94D0D8">
      <w:pPr>
        <w:jc w:val="center"/>
        <w:rPr>
          <w:rFonts w:ascii="Times New Roman" w:hAnsi="Times New Roman" w:eastAsia="等线" w:cs="Times New Roman"/>
          <w:b/>
          <w:bCs/>
          <w:color w:val="000000"/>
          <w:kern w:val="0"/>
          <w:szCs w:val="21"/>
        </w:rPr>
      </w:pPr>
    </w:p>
    <w:p w14:paraId="22FF2897">
      <w:pPr>
        <w:jc w:val="center"/>
        <w:rPr>
          <w:rFonts w:ascii="Times New Roman" w:hAnsi="Times New Roman" w:eastAsia="等线" w:cs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eastAsia="等线" w:cs="Times New Roman"/>
          <w:b/>
          <w:bCs/>
          <w:color w:val="000000"/>
          <w:kern w:val="0"/>
          <w:szCs w:val="21"/>
        </w:rPr>
        <w:t>Supplementary Table 1. Comparison of survival models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Cs w:val="21"/>
        </w:rPr>
        <w:t xml:space="preserve"> </w:t>
      </w:r>
      <w:r>
        <w:rPr>
          <w:rFonts w:ascii="Times New Roman" w:hAnsi="Times New Roman" w:eastAsia="等线" w:cs="Times New Roman"/>
          <w:b/>
          <w:bCs/>
          <w:color w:val="000000"/>
          <w:kern w:val="0"/>
          <w:szCs w:val="21"/>
        </w:rPr>
        <w:t>distribution</w:t>
      </w:r>
    </w:p>
    <w:tbl>
      <w:tblPr>
        <w:tblStyle w:val="6"/>
        <w:tblW w:w="95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353"/>
        <w:gridCol w:w="1819"/>
        <w:gridCol w:w="2245"/>
        <w:gridCol w:w="1723"/>
      </w:tblGrid>
      <w:tr w14:paraId="32136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418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37422E09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4172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40D76E4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AIC</w:t>
            </w:r>
          </w:p>
        </w:tc>
        <w:tc>
          <w:tcPr>
            <w:tcW w:w="3968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2D29B703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BIC</w:t>
            </w:r>
          </w:p>
        </w:tc>
      </w:tr>
      <w:tr w14:paraId="6BC2D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418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B22FCDC">
            <w:pPr>
              <w:widowControl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　</w:t>
            </w:r>
          </w:p>
        </w:tc>
        <w:tc>
          <w:tcPr>
            <w:tcW w:w="2353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6EC55D02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Toripalimab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plus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Bevacizumab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181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6B37C9A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Sorafenib</w:t>
            </w:r>
          </w:p>
          <w:p w14:paraId="049F5071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group</w:t>
            </w:r>
          </w:p>
        </w:tc>
        <w:tc>
          <w:tcPr>
            <w:tcW w:w="2245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5C5CC519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Toripalimab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plus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Bevacizumab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1723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0016DF12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Sorafenib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group</w:t>
            </w:r>
          </w:p>
        </w:tc>
      </w:tr>
      <w:tr w14:paraId="67415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18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F2E219C">
            <w:pPr>
              <w:widowControl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O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</w:t>
            </w:r>
          </w:p>
        </w:tc>
        <w:tc>
          <w:tcPr>
            <w:tcW w:w="2353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BDEF36C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1819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F868889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245" w:type="dxa"/>
            <w:tcBorders>
              <w:top w:val="single" w:color="auto" w:sz="12" w:space="0"/>
            </w:tcBorders>
            <w:shd w:val="clear" w:color="auto" w:fill="auto"/>
            <w:noWrap/>
            <w:vAlign w:val="bottom"/>
          </w:tcPr>
          <w:p w14:paraId="1D502433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1723" w:type="dxa"/>
            <w:tcBorders>
              <w:top w:val="single" w:color="auto" w:sz="12" w:space="0"/>
            </w:tcBorders>
            <w:shd w:val="clear" w:color="auto" w:fill="auto"/>
            <w:noWrap/>
            <w:vAlign w:val="bottom"/>
          </w:tcPr>
          <w:p w14:paraId="3E9C303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 w14:paraId="267FD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70D88FE">
            <w:pPr>
              <w:widowControl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Weibull</w:t>
            </w:r>
          </w:p>
        </w:tc>
        <w:tc>
          <w:tcPr>
            <w:tcW w:w="2353" w:type="dxa"/>
            <w:shd w:val="clear" w:color="auto" w:fill="FFFFFF" w:themeFill="background1"/>
            <w:vAlign w:val="center"/>
          </w:tcPr>
          <w:p w14:paraId="64393CE3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916.744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14:paraId="7C17561D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1031.017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6A675D09">
            <w:pPr>
              <w:pStyle w:val="5"/>
              <w:shd w:val="clear" w:color="auto" w:fill="FFFFFF"/>
              <w:wordWrap w:val="0"/>
              <w:spacing w:line="225" w:lineRule="atLeast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1"/>
                <w:szCs w:val="21"/>
                <w:lang w:val="en-US" w:eastAsia="zh-CN"/>
              </w:rPr>
              <w:t>922.919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D814EB6">
            <w:pPr>
              <w:pStyle w:val="5"/>
              <w:shd w:val="clear" w:color="auto" w:fill="FFFFFF"/>
              <w:wordWrap w:val="0"/>
              <w:spacing w:line="225" w:lineRule="atLeast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1"/>
                <w:szCs w:val="21"/>
                <w:lang w:val="en-US" w:eastAsia="zh-CN"/>
              </w:rPr>
              <w:t>1037.217</w:t>
            </w:r>
          </w:p>
        </w:tc>
      </w:tr>
      <w:tr w14:paraId="728B8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AF04DEA">
            <w:pPr>
              <w:widowControl/>
              <w:rPr>
                <w:rFonts w:ascii="Times New Roman" w:hAnsi="Times New Roman" w:eastAsia="等线" w:cs="Times New Roman"/>
                <w:b w:val="0"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Log-normal</w:t>
            </w:r>
          </w:p>
        </w:tc>
        <w:tc>
          <w:tcPr>
            <w:tcW w:w="2353" w:type="dxa"/>
            <w:shd w:val="clear" w:color="auto" w:fill="FFFFFF" w:themeFill="background1"/>
            <w:vAlign w:val="center"/>
          </w:tcPr>
          <w:p w14:paraId="386468B1"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  <w:t>910.176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14:paraId="1CA675A9"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  <w:t>1027.145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4663163C"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  <w:t>916.351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373094DF"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  <w:t>1033.344</w:t>
            </w:r>
          </w:p>
        </w:tc>
      </w:tr>
      <w:tr w14:paraId="291C4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CB70273">
            <w:pPr>
              <w:widowControl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 w:val="0"/>
                <w:bCs/>
                <w:kern w:val="0"/>
                <w:szCs w:val="21"/>
              </w:rPr>
              <w:t>Log-logistic</w:t>
            </w:r>
          </w:p>
        </w:tc>
        <w:tc>
          <w:tcPr>
            <w:tcW w:w="2353" w:type="dxa"/>
            <w:shd w:val="clear" w:color="auto" w:fill="FFFFFF" w:themeFill="background1"/>
            <w:vAlign w:val="center"/>
          </w:tcPr>
          <w:p w14:paraId="6D5DD38E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903.412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14:paraId="0283534B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1025.382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1BCF8C7D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909.587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21D9B6F7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1031.582</w:t>
            </w:r>
          </w:p>
        </w:tc>
      </w:tr>
      <w:tr w14:paraId="75FE1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89EF48C">
            <w:pPr>
              <w:widowControl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Gompertz</w:t>
            </w:r>
          </w:p>
        </w:tc>
        <w:tc>
          <w:tcPr>
            <w:tcW w:w="2353" w:type="dxa"/>
            <w:shd w:val="clear" w:color="auto" w:fill="FFFFFF" w:themeFill="background1"/>
            <w:vAlign w:val="center"/>
          </w:tcPr>
          <w:p w14:paraId="1DD50A27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919.500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14:paraId="56F9B448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1035.145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404FE8F0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925.675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63ACF112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1041.345</w:t>
            </w:r>
          </w:p>
        </w:tc>
      </w:tr>
      <w:tr w14:paraId="68723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F55955E">
            <w:pPr>
              <w:widowControl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Exponential</w:t>
            </w:r>
          </w:p>
        </w:tc>
        <w:tc>
          <w:tcPr>
            <w:tcW w:w="2353" w:type="dxa"/>
            <w:shd w:val="clear" w:color="auto" w:fill="FFFFFF" w:themeFill="background1"/>
            <w:vAlign w:val="center"/>
          </w:tcPr>
          <w:p w14:paraId="311500A2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917.576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14:paraId="10F01247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1034.889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69755BCA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920.664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6A928D8C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1037.989</w:t>
            </w:r>
          </w:p>
        </w:tc>
      </w:tr>
      <w:tr w14:paraId="295BE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64369AA">
            <w:pPr>
              <w:widowControl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Gamma</w:t>
            </w:r>
          </w:p>
        </w:tc>
        <w:tc>
          <w:tcPr>
            <w:tcW w:w="2353" w:type="dxa"/>
            <w:shd w:val="clear" w:color="auto" w:fill="FFFFFF" w:themeFill="background1"/>
            <w:vAlign w:val="center"/>
          </w:tcPr>
          <w:p w14:paraId="7008B6A7">
            <w:pPr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915.042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14:paraId="13BFE9FA">
            <w:pPr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1029.281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12685882">
            <w:pPr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921.217</w:t>
            </w:r>
          </w:p>
        </w:tc>
        <w:tc>
          <w:tcPr>
            <w:tcW w:w="1723" w:type="dxa"/>
            <w:shd w:val="clear" w:color="auto" w:fill="auto"/>
            <w:noWrap/>
            <w:vAlign w:val="center"/>
          </w:tcPr>
          <w:p w14:paraId="25BA56A5">
            <w:pPr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1035.481</w:t>
            </w:r>
          </w:p>
        </w:tc>
      </w:tr>
      <w:tr w14:paraId="66A26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11FBF4E">
            <w:pPr>
              <w:widowControl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 w14:paraId="7B6D0EF4">
            <w:pPr>
              <w:widowControl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PFS</w:t>
            </w:r>
          </w:p>
        </w:tc>
        <w:tc>
          <w:tcPr>
            <w:tcW w:w="2353" w:type="dxa"/>
            <w:shd w:val="clear" w:color="auto" w:fill="FFFFFF" w:themeFill="background1"/>
            <w:vAlign w:val="center"/>
          </w:tcPr>
          <w:p w14:paraId="6DD03673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14:paraId="42FF38AF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62B5051F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1723" w:type="dxa"/>
            <w:shd w:val="clear" w:color="auto" w:fill="auto"/>
            <w:noWrap/>
            <w:vAlign w:val="center"/>
          </w:tcPr>
          <w:p w14:paraId="051CF565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</w:tr>
      <w:tr w14:paraId="56C8A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251FA17">
            <w:pPr>
              <w:widowControl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Weibull</w:t>
            </w:r>
          </w:p>
        </w:tc>
        <w:tc>
          <w:tcPr>
            <w:tcW w:w="2353" w:type="dxa"/>
            <w:shd w:val="clear" w:color="auto" w:fill="FFFFFF" w:themeFill="background1"/>
            <w:vAlign w:val="center"/>
          </w:tcPr>
          <w:p w14:paraId="0FF597C5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638.377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14:paraId="16D120D0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609.235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3ECA83DD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644.552</w:t>
            </w:r>
          </w:p>
        </w:tc>
        <w:tc>
          <w:tcPr>
            <w:tcW w:w="1723" w:type="dxa"/>
            <w:shd w:val="clear" w:color="auto" w:fill="auto"/>
            <w:noWrap/>
            <w:vAlign w:val="center"/>
          </w:tcPr>
          <w:p w14:paraId="5611D28C">
            <w:pPr>
              <w:pStyle w:val="5"/>
              <w:shd w:val="clear" w:color="auto" w:fill="FFFFFF"/>
              <w:wordWrap w:val="0"/>
              <w:spacing w:line="225" w:lineRule="atLeast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1"/>
                <w:szCs w:val="21"/>
                <w:lang w:val="en-US" w:eastAsia="zh-CN"/>
              </w:rPr>
              <w:t>615.435</w:t>
            </w:r>
          </w:p>
        </w:tc>
      </w:tr>
      <w:tr w14:paraId="4FFC7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B386635">
            <w:pPr>
              <w:widowControl/>
              <w:rPr>
                <w:rFonts w:ascii="Times New Roman" w:hAnsi="Times New Roman" w:eastAsia="等线" w:cs="Times New Roman"/>
                <w:b w:val="0"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Log-normal</w:t>
            </w:r>
          </w:p>
        </w:tc>
        <w:tc>
          <w:tcPr>
            <w:tcW w:w="2353" w:type="dxa"/>
            <w:shd w:val="clear" w:color="auto" w:fill="FFFFFF" w:themeFill="background1"/>
            <w:vAlign w:val="center"/>
          </w:tcPr>
          <w:p w14:paraId="7BDA88B7"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  <w:t>632.383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14:paraId="3A431778"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  <w:t>585.155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584C9D3F"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  <w:t>638.558</w:t>
            </w:r>
          </w:p>
        </w:tc>
        <w:tc>
          <w:tcPr>
            <w:tcW w:w="1723" w:type="dxa"/>
            <w:shd w:val="clear" w:color="auto" w:fill="auto"/>
            <w:noWrap/>
            <w:vAlign w:val="center"/>
          </w:tcPr>
          <w:p w14:paraId="6196FE37"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kern w:val="0"/>
                <w:szCs w:val="21"/>
                <w:lang w:val="en-US" w:eastAsia="zh-CN"/>
              </w:rPr>
              <w:t>591.354</w:t>
            </w:r>
          </w:p>
        </w:tc>
      </w:tr>
      <w:tr w14:paraId="76CBB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50D8806">
            <w:pPr>
              <w:widowControl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 w:val="0"/>
                <w:bCs/>
                <w:kern w:val="0"/>
                <w:szCs w:val="21"/>
              </w:rPr>
              <w:t>Log-logistic</w:t>
            </w:r>
          </w:p>
        </w:tc>
        <w:tc>
          <w:tcPr>
            <w:tcW w:w="2353" w:type="dxa"/>
            <w:shd w:val="clear" w:color="auto" w:fill="FFFFFF" w:themeFill="background1"/>
            <w:vAlign w:val="center"/>
          </w:tcPr>
          <w:p w14:paraId="1141B184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623.708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14:paraId="7DECEA2A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578.814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347E13E8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629.884</w:t>
            </w:r>
          </w:p>
        </w:tc>
        <w:tc>
          <w:tcPr>
            <w:tcW w:w="1723" w:type="dxa"/>
            <w:shd w:val="clear" w:color="auto" w:fill="auto"/>
            <w:noWrap/>
            <w:vAlign w:val="center"/>
          </w:tcPr>
          <w:p w14:paraId="69886B17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585.014</w:t>
            </w:r>
          </w:p>
        </w:tc>
      </w:tr>
      <w:tr w14:paraId="61AA0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D6A0B63">
            <w:pPr>
              <w:widowControl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Gompertz</w:t>
            </w:r>
          </w:p>
        </w:tc>
        <w:tc>
          <w:tcPr>
            <w:tcW w:w="2353" w:type="dxa"/>
            <w:shd w:val="clear" w:color="auto" w:fill="FFFFFF" w:themeFill="background1"/>
            <w:vAlign w:val="center"/>
          </w:tcPr>
          <w:p w14:paraId="4DB4AA14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641.113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14:paraId="09CA2261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618.142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11044CA3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647.288</w:t>
            </w:r>
          </w:p>
        </w:tc>
        <w:tc>
          <w:tcPr>
            <w:tcW w:w="1723" w:type="dxa"/>
            <w:shd w:val="clear" w:color="auto" w:fill="auto"/>
            <w:noWrap/>
            <w:vAlign w:val="center"/>
          </w:tcPr>
          <w:p w14:paraId="5E91C1E2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624.341</w:t>
            </w:r>
          </w:p>
        </w:tc>
      </w:tr>
      <w:tr w14:paraId="3B28C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84CA4DF">
            <w:pPr>
              <w:widowControl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Exponential</w:t>
            </w:r>
          </w:p>
        </w:tc>
        <w:tc>
          <w:tcPr>
            <w:tcW w:w="2353" w:type="dxa"/>
            <w:shd w:val="clear" w:color="auto" w:fill="FFFFFF" w:themeFill="background1"/>
            <w:vAlign w:val="center"/>
          </w:tcPr>
          <w:p w14:paraId="38571449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639.342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14:paraId="47B8CB07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616.165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545B5362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642.430</w:t>
            </w:r>
          </w:p>
        </w:tc>
        <w:tc>
          <w:tcPr>
            <w:tcW w:w="1723" w:type="dxa"/>
            <w:shd w:val="clear" w:color="auto" w:fill="auto"/>
            <w:noWrap/>
            <w:vAlign w:val="center"/>
          </w:tcPr>
          <w:p w14:paraId="6A561377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619.265</w:t>
            </w:r>
          </w:p>
        </w:tc>
      </w:tr>
      <w:tr w14:paraId="4D9E2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418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3BB3C8D">
            <w:pPr>
              <w:widowControl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Gamma</w:t>
            </w:r>
          </w:p>
        </w:tc>
        <w:tc>
          <w:tcPr>
            <w:tcW w:w="2353" w:type="dxa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 w14:paraId="1521B767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636.575</w:t>
            </w:r>
          </w:p>
        </w:tc>
        <w:tc>
          <w:tcPr>
            <w:tcW w:w="1819" w:type="dxa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 w14:paraId="04F3BD20">
            <w:pPr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602.356</w:t>
            </w:r>
          </w:p>
        </w:tc>
        <w:tc>
          <w:tcPr>
            <w:tcW w:w="2245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6CC4F304"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642.750</w:t>
            </w:r>
          </w:p>
        </w:tc>
        <w:tc>
          <w:tcPr>
            <w:tcW w:w="1723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14992C3">
            <w:pPr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608.556</w:t>
            </w:r>
          </w:p>
        </w:tc>
      </w:tr>
    </w:tbl>
    <w:p w14:paraId="06D3CE9E">
      <w:pPr>
        <w:jc w:val="left"/>
        <w:rPr>
          <w:rFonts w:ascii="Times New Roman" w:hAnsi="Times New Roman" w:eastAsia="等线" w:cs="Times New Roman"/>
          <w:color w:val="000000"/>
          <w:kern w:val="0"/>
          <w:szCs w:val="21"/>
        </w:rPr>
      </w:pPr>
      <w:r>
        <w:rPr>
          <w:rFonts w:ascii="Times New Roman" w:hAnsi="Times New Roman" w:eastAsia="等线" w:cs="Times New Roman"/>
          <w:color w:val="000000"/>
          <w:kern w:val="0"/>
          <w:szCs w:val="21"/>
        </w:rPr>
        <w:t>AIC: Akaike information criterion; BIC: Bayesian Information Criterion; OS: Overall survival; PFS: Progression-free survival;</w:t>
      </w:r>
    </w:p>
    <w:p w14:paraId="249026FE"/>
    <w:p w14:paraId="6D316176"/>
    <w:p w14:paraId="61DDFF0B"/>
    <w:p w14:paraId="441231DB"/>
    <w:p w14:paraId="43A9DE7B"/>
    <w:p w14:paraId="714198CC"/>
    <w:p w14:paraId="271E71AC"/>
    <w:p w14:paraId="3A15993F"/>
    <w:p w14:paraId="6D5E692E"/>
    <w:p w14:paraId="5A9A9080"/>
    <w:p w14:paraId="1AC91D49"/>
    <w:p w14:paraId="2A566555"/>
    <w:p w14:paraId="0758F591"/>
    <w:p w14:paraId="7283D34D"/>
    <w:p w14:paraId="2642F97D"/>
    <w:p w14:paraId="6F849F5E"/>
    <w:p w14:paraId="2A1D0293"/>
    <w:p w14:paraId="79C6EBA4"/>
    <w:p w14:paraId="634A8B20"/>
    <w:p w14:paraId="616BEF61"/>
    <w:p w14:paraId="09320E07">
      <w:pPr>
        <w:spacing w:before="297" w:line="190" w:lineRule="auto"/>
        <w:ind w:left="4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HEERS Checklist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2022.</w:t>
      </w:r>
    </w:p>
    <w:p w14:paraId="233F13EA">
      <w:pPr>
        <w:spacing w:before="28"/>
      </w:pPr>
    </w:p>
    <w:tbl>
      <w:tblPr>
        <w:tblStyle w:val="13"/>
        <w:tblW w:w="1068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49"/>
        <w:gridCol w:w="5724"/>
        <w:gridCol w:w="1085"/>
      </w:tblGrid>
      <w:tr w14:paraId="790D38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3230" w:type="dxa"/>
            <w:vAlign w:val="top"/>
          </w:tcPr>
          <w:p w14:paraId="6E3666E1">
            <w:pPr>
              <w:pStyle w:val="12"/>
              <w:spacing w:before="251" w:line="186" w:lineRule="auto"/>
              <w:ind w:left="1363"/>
            </w:pPr>
            <w:r>
              <w:rPr>
                <w:b/>
                <w:bCs/>
                <w:spacing w:val="-2"/>
              </w:rPr>
              <w:t>Topic</w:t>
            </w:r>
          </w:p>
        </w:tc>
        <w:tc>
          <w:tcPr>
            <w:tcW w:w="649" w:type="dxa"/>
            <w:vAlign w:val="top"/>
          </w:tcPr>
          <w:p w14:paraId="26E34483">
            <w:pPr>
              <w:pStyle w:val="12"/>
              <w:spacing w:before="254" w:line="183" w:lineRule="auto"/>
              <w:ind w:left="194"/>
            </w:pPr>
            <w:r>
              <w:rPr>
                <w:b/>
                <w:bCs/>
                <w:spacing w:val="-2"/>
              </w:rPr>
              <w:t>No</w:t>
            </w:r>
          </w:p>
        </w:tc>
        <w:tc>
          <w:tcPr>
            <w:tcW w:w="5724" w:type="dxa"/>
            <w:vAlign w:val="top"/>
          </w:tcPr>
          <w:p w14:paraId="3A0AE93B">
            <w:pPr>
              <w:pStyle w:val="12"/>
              <w:spacing w:before="254" w:line="183" w:lineRule="auto"/>
              <w:ind w:left="2653"/>
            </w:pPr>
            <w:r>
              <w:rPr>
                <w:b/>
                <w:bCs/>
                <w:spacing w:val="-2"/>
              </w:rPr>
              <w:t>Item</w:t>
            </w:r>
          </w:p>
        </w:tc>
        <w:tc>
          <w:tcPr>
            <w:tcW w:w="1085" w:type="dxa"/>
            <w:vAlign w:val="top"/>
          </w:tcPr>
          <w:p w14:paraId="6AEA86E0">
            <w:pPr>
              <w:pStyle w:val="12"/>
              <w:spacing w:before="254" w:line="183" w:lineRule="auto"/>
              <w:ind w:left="123"/>
            </w:pPr>
            <w:r>
              <w:rPr>
                <w:b/>
                <w:bCs/>
                <w:spacing w:val="-1"/>
              </w:rPr>
              <w:t>Reported</w:t>
            </w:r>
          </w:p>
        </w:tc>
      </w:tr>
      <w:tr w14:paraId="0AF7A3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688" w:type="dxa"/>
            <w:gridSpan w:val="4"/>
            <w:vAlign w:val="top"/>
          </w:tcPr>
          <w:p w14:paraId="50F3C4C7">
            <w:pPr>
              <w:pStyle w:val="12"/>
              <w:spacing w:before="53" w:line="187" w:lineRule="auto"/>
              <w:ind w:left="118"/>
            </w:pPr>
            <w:r>
              <w:rPr>
                <w:b/>
                <w:bCs/>
                <w:spacing w:val="-2"/>
              </w:rPr>
              <w:t>Title</w:t>
            </w:r>
          </w:p>
        </w:tc>
      </w:tr>
      <w:tr w14:paraId="453D70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30" w:type="dxa"/>
            <w:vAlign w:val="top"/>
          </w:tcPr>
          <w:p w14:paraId="4E717DC5">
            <w:pPr>
              <w:pStyle w:val="12"/>
              <w:spacing w:before="207" w:line="190" w:lineRule="auto"/>
              <w:ind w:left="117"/>
            </w:pPr>
            <w:r>
              <w:rPr>
                <w:spacing w:val="-2"/>
              </w:rPr>
              <w:t>Title</w:t>
            </w:r>
          </w:p>
        </w:tc>
        <w:tc>
          <w:tcPr>
            <w:tcW w:w="649" w:type="dxa"/>
            <w:vAlign w:val="top"/>
          </w:tcPr>
          <w:p w14:paraId="5EA01B13">
            <w:pPr>
              <w:pStyle w:val="12"/>
              <w:spacing w:before="246" w:line="186" w:lineRule="auto"/>
              <w:ind w:left="292"/>
            </w:pPr>
            <w:r>
              <w:t>1</w:t>
            </w:r>
          </w:p>
        </w:tc>
        <w:tc>
          <w:tcPr>
            <w:tcW w:w="5724" w:type="dxa"/>
            <w:vAlign w:val="top"/>
          </w:tcPr>
          <w:p w14:paraId="1E4C3D6D">
            <w:pPr>
              <w:pStyle w:val="12"/>
              <w:spacing w:before="51" w:line="282" w:lineRule="auto"/>
              <w:ind w:left="113" w:right="530"/>
            </w:pPr>
            <w:r>
              <w:t xml:space="preserve">Identify the study as an </w:t>
            </w:r>
            <w:r>
              <w:rPr>
                <w:spacing w:val="-1"/>
              </w:rPr>
              <w:t>economic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evaluation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specify the</w:t>
            </w:r>
            <w:r>
              <w:t xml:space="preserve"> interventions being c</w:t>
            </w:r>
            <w:r>
              <w:rPr>
                <w:spacing w:val="-1"/>
              </w:rPr>
              <w:t>ompared</w:t>
            </w:r>
          </w:p>
        </w:tc>
        <w:tc>
          <w:tcPr>
            <w:tcW w:w="1085" w:type="dxa"/>
            <w:vAlign w:val="top"/>
          </w:tcPr>
          <w:p w14:paraId="49646F97">
            <w:pPr>
              <w:pStyle w:val="12"/>
              <w:spacing w:before="249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0F967F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0688" w:type="dxa"/>
            <w:gridSpan w:val="4"/>
            <w:vAlign w:val="top"/>
          </w:tcPr>
          <w:p w14:paraId="1B51380C">
            <w:pPr>
              <w:pStyle w:val="12"/>
              <w:spacing w:before="58" w:line="186" w:lineRule="auto"/>
              <w:ind w:left="113"/>
            </w:pPr>
            <w:r>
              <w:rPr>
                <w:b/>
                <w:bCs/>
                <w:spacing w:val="-1"/>
              </w:rPr>
              <w:t>Abstract</w:t>
            </w:r>
          </w:p>
        </w:tc>
      </w:tr>
      <w:tr w14:paraId="7EB3C7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30" w:type="dxa"/>
            <w:vAlign w:val="top"/>
          </w:tcPr>
          <w:p w14:paraId="2775A3B5">
            <w:pPr>
              <w:pStyle w:val="12"/>
              <w:spacing w:before="210" w:line="190" w:lineRule="auto"/>
              <w:ind w:left="113"/>
            </w:pPr>
            <w:r>
              <w:rPr>
                <w:spacing w:val="-1"/>
              </w:rPr>
              <w:t>Abstract</w:t>
            </w:r>
          </w:p>
        </w:tc>
        <w:tc>
          <w:tcPr>
            <w:tcW w:w="649" w:type="dxa"/>
            <w:vAlign w:val="top"/>
          </w:tcPr>
          <w:p w14:paraId="61EE67E6">
            <w:pPr>
              <w:pStyle w:val="12"/>
              <w:spacing w:before="248" w:line="186" w:lineRule="auto"/>
              <w:ind w:left="272"/>
            </w:pPr>
            <w:r>
              <w:t>2</w:t>
            </w:r>
          </w:p>
        </w:tc>
        <w:tc>
          <w:tcPr>
            <w:tcW w:w="5724" w:type="dxa"/>
            <w:vAlign w:val="top"/>
          </w:tcPr>
          <w:p w14:paraId="0749670B">
            <w:pPr>
              <w:pStyle w:val="12"/>
              <w:spacing w:before="54" w:line="282" w:lineRule="auto"/>
              <w:ind w:left="110" w:right="746" w:firstLine="1"/>
            </w:pPr>
            <w:r>
              <w:t>Provide a structured summary that highlights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context, key</w:t>
            </w:r>
            <w:r>
              <w:t xml:space="preserve"> methods, results, and alternative analyses</w:t>
            </w:r>
          </w:p>
        </w:tc>
        <w:tc>
          <w:tcPr>
            <w:tcW w:w="1085" w:type="dxa"/>
            <w:vAlign w:val="top"/>
          </w:tcPr>
          <w:p w14:paraId="4BC0706B">
            <w:pPr>
              <w:pStyle w:val="12"/>
              <w:spacing w:before="251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2BA97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0688" w:type="dxa"/>
            <w:gridSpan w:val="4"/>
            <w:vAlign w:val="top"/>
          </w:tcPr>
          <w:p w14:paraId="14A86360">
            <w:pPr>
              <w:pStyle w:val="12"/>
              <w:spacing w:before="55" w:line="187" w:lineRule="auto"/>
              <w:ind w:left="115"/>
            </w:pPr>
            <w:r>
              <w:rPr>
                <w:b/>
                <w:bCs/>
                <w:spacing w:val="-1"/>
              </w:rPr>
              <w:t>Introduction</w:t>
            </w:r>
          </w:p>
        </w:tc>
      </w:tr>
      <w:tr w14:paraId="0BF494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30" w:type="dxa"/>
            <w:vAlign w:val="top"/>
          </w:tcPr>
          <w:p w14:paraId="141D263C">
            <w:pPr>
              <w:pStyle w:val="12"/>
              <w:spacing w:before="210" w:line="190" w:lineRule="auto"/>
              <w:ind w:left="114"/>
            </w:pPr>
            <w:r>
              <w:t>Background and objecti</w:t>
            </w:r>
            <w:r>
              <w:rPr>
                <w:spacing w:val="-1"/>
              </w:rPr>
              <w:t>ves</w:t>
            </w:r>
          </w:p>
        </w:tc>
        <w:tc>
          <w:tcPr>
            <w:tcW w:w="649" w:type="dxa"/>
            <w:vAlign w:val="top"/>
          </w:tcPr>
          <w:p w14:paraId="0249A6A7">
            <w:pPr>
              <w:pStyle w:val="12"/>
              <w:spacing w:before="248" w:line="186" w:lineRule="auto"/>
              <w:ind w:left="276"/>
            </w:pPr>
            <w:r>
              <w:t>3</w:t>
            </w:r>
          </w:p>
        </w:tc>
        <w:tc>
          <w:tcPr>
            <w:tcW w:w="5724" w:type="dxa"/>
            <w:vAlign w:val="top"/>
          </w:tcPr>
          <w:p w14:paraId="374BEF20">
            <w:pPr>
              <w:pStyle w:val="12"/>
              <w:spacing w:before="50" w:line="190" w:lineRule="auto"/>
              <w:ind w:left="115"/>
            </w:pPr>
            <w:r>
              <w:rPr>
                <w:spacing w:val="-1"/>
              </w:rPr>
              <w:t>Give the context for the study, the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-1"/>
              </w:rPr>
              <w:t>study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question,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its</w:t>
            </w:r>
          </w:p>
          <w:p w14:paraId="52BE4CA2">
            <w:pPr>
              <w:pStyle w:val="12"/>
              <w:spacing w:before="123" w:line="190" w:lineRule="auto"/>
              <w:ind w:left="107"/>
            </w:pPr>
            <w:r>
              <w:t>practical relevance for decision making in policy or practice</w:t>
            </w:r>
          </w:p>
        </w:tc>
        <w:tc>
          <w:tcPr>
            <w:tcW w:w="1085" w:type="dxa"/>
            <w:vAlign w:val="top"/>
          </w:tcPr>
          <w:p w14:paraId="3400935F">
            <w:pPr>
              <w:pStyle w:val="12"/>
              <w:spacing w:before="251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119A38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688" w:type="dxa"/>
            <w:gridSpan w:val="4"/>
            <w:vAlign w:val="top"/>
          </w:tcPr>
          <w:p w14:paraId="39F06F29">
            <w:pPr>
              <w:pStyle w:val="12"/>
              <w:spacing w:before="58" w:line="183" w:lineRule="auto"/>
              <w:ind w:left="115"/>
            </w:pPr>
            <w:r>
              <w:rPr>
                <w:b/>
                <w:bCs/>
                <w:spacing w:val="-1"/>
              </w:rPr>
              <w:t>Methods</w:t>
            </w:r>
          </w:p>
        </w:tc>
      </w:tr>
      <w:tr w14:paraId="0FFA37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30" w:type="dxa"/>
            <w:vAlign w:val="top"/>
          </w:tcPr>
          <w:p w14:paraId="3A035AB0">
            <w:pPr>
              <w:pStyle w:val="12"/>
              <w:spacing w:before="211" w:line="190" w:lineRule="auto"/>
              <w:ind w:left="114"/>
            </w:pPr>
            <w:r>
              <w:t xml:space="preserve">Health economic analysis </w:t>
            </w:r>
            <w:r>
              <w:rPr>
                <w:spacing w:val="-1"/>
              </w:rPr>
              <w:t>plan</w:t>
            </w:r>
          </w:p>
        </w:tc>
        <w:tc>
          <w:tcPr>
            <w:tcW w:w="649" w:type="dxa"/>
            <w:vAlign w:val="top"/>
          </w:tcPr>
          <w:p w14:paraId="254DEFE8">
            <w:pPr>
              <w:pStyle w:val="12"/>
              <w:spacing w:before="249" w:line="186" w:lineRule="auto"/>
              <w:ind w:left="271"/>
            </w:pPr>
            <w:r>
              <w:t>4</w:t>
            </w:r>
          </w:p>
        </w:tc>
        <w:tc>
          <w:tcPr>
            <w:tcW w:w="5724" w:type="dxa"/>
            <w:vAlign w:val="top"/>
          </w:tcPr>
          <w:p w14:paraId="0E06BA7C">
            <w:pPr>
              <w:pStyle w:val="12"/>
              <w:spacing w:before="52" w:line="283" w:lineRule="auto"/>
              <w:ind w:left="115" w:right="186" w:hanging="2"/>
            </w:pPr>
            <w:r>
              <w:t>Indicate whether a health economic analysis plan was dev</w:t>
            </w:r>
            <w:r>
              <w:rPr>
                <w:spacing w:val="-1"/>
              </w:rPr>
              <w:t>eloped</w:t>
            </w:r>
            <w:r>
              <w:t xml:space="preserve"> </w:t>
            </w:r>
            <w:r>
              <w:rPr>
                <w:spacing w:val="-1"/>
              </w:rPr>
              <w:t>and where available</w:t>
            </w:r>
          </w:p>
        </w:tc>
        <w:tc>
          <w:tcPr>
            <w:tcW w:w="1085" w:type="dxa"/>
            <w:vAlign w:val="top"/>
          </w:tcPr>
          <w:p w14:paraId="2F97604E">
            <w:pPr>
              <w:pStyle w:val="12"/>
              <w:spacing w:before="130" w:line="183" w:lineRule="auto"/>
              <w:ind w:left="379"/>
            </w:pPr>
            <w:r>
              <w:t>Not</w:t>
            </w:r>
          </w:p>
          <w:p w14:paraId="0C7590A0">
            <w:pPr>
              <w:pStyle w:val="12"/>
              <w:spacing w:before="51" w:line="190" w:lineRule="auto"/>
              <w:ind w:left="115"/>
            </w:pPr>
            <w:r>
              <w:rPr>
                <w:spacing w:val="-1"/>
              </w:rPr>
              <w:t>applicable</w:t>
            </w:r>
          </w:p>
        </w:tc>
      </w:tr>
      <w:tr w14:paraId="686AE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230" w:type="dxa"/>
            <w:vAlign w:val="top"/>
          </w:tcPr>
          <w:p w14:paraId="05283C29">
            <w:pPr>
              <w:pStyle w:val="12"/>
              <w:spacing w:before="207" w:line="190" w:lineRule="auto"/>
              <w:ind w:left="124"/>
            </w:pPr>
            <w:r>
              <w:rPr>
                <w:spacing w:val="-1"/>
              </w:rPr>
              <w:t>Study population</w:t>
            </w:r>
          </w:p>
        </w:tc>
        <w:tc>
          <w:tcPr>
            <w:tcW w:w="649" w:type="dxa"/>
            <w:vAlign w:val="top"/>
          </w:tcPr>
          <w:p w14:paraId="4F752B8A">
            <w:pPr>
              <w:pStyle w:val="12"/>
              <w:spacing w:before="250" w:line="183" w:lineRule="auto"/>
              <w:ind w:left="277"/>
            </w:pPr>
            <w:r>
              <w:t>5</w:t>
            </w:r>
          </w:p>
        </w:tc>
        <w:tc>
          <w:tcPr>
            <w:tcW w:w="5724" w:type="dxa"/>
            <w:vAlign w:val="top"/>
          </w:tcPr>
          <w:p w14:paraId="593FA251">
            <w:pPr>
              <w:pStyle w:val="12"/>
              <w:spacing w:before="52" w:line="281" w:lineRule="auto"/>
              <w:ind w:left="109" w:right="242" w:firstLine="2"/>
            </w:pPr>
            <w:r>
              <w:t>Describe</w:t>
            </w:r>
            <w:r>
              <w:rPr>
                <w:spacing w:val="42"/>
                <w:w w:val="101"/>
              </w:rPr>
              <w:t xml:space="preserve"> </w:t>
            </w:r>
            <w:r>
              <w:t>characteristics</w:t>
            </w:r>
            <w:r>
              <w:rPr>
                <w:spacing w:val="43"/>
              </w:rPr>
              <w:t xml:space="preserve"> </w:t>
            </w:r>
            <w:r>
              <w:t>o</w:t>
            </w:r>
            <w:r>
              <w:rPr>
                <w:spacing w:val="-1"/>
              </w:rPr>
              <w:t>f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study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-1"/>
              </w:rPr>
              <w:t>population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(such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as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age</w:t>
            </w:r>
            <w:r>
              <w:t xml:space="preserve"> range, demographics, socioeconomic, or clinical</w:t>
            </w:r>
            <w:r>
              <w:rPr>
                <w:spacing w:val="-16"/>
              </w:rPr>
              <w:t xml:space="preserve"> </w:t>
            </w:r>
            <w:r>
              <w:t>character</w:t>
            </w:r>
            <w:r>
              <w:rPr>
                <w:spacing w:val="-1"/>
              </w:rPr>
              <w:t>istics)</w:t>
            </w:r>
          </w:p>
        </w:tc>
        <w:tc>
          <w:tcPr>
            <w:tcW w:w="1085" w:type="dxa"/>
            <w:vAlign w:val="top"/>
          </w:tcPr>
          <w:p w14:paraId="09625C70">
            <w:pPr>
              <w:pStyle w:val="12"/>
              <w:spacing w:before="250" w:line="183" w:lineRule="auto"/>
              <w:ind w:left="378"/>
            </w:pPr>
            <w:r>
              <w:rPr>
                <w:spacing w:val="-1"/>
              </w:rPr>
              <w:t>Yes</w:t>
            </w:r>
          </w:p>
        </w:tc>
      </w:tr>
      <w:tr w14:paraId="483B9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30" w:type="dxa"/>
            <w:vAlign w:val="top"/>
          </w:tcPr>
          <w:p w14:paraId="4884269F">
            <w:pPr>
              <w:pStyle w:val="12"/>
              <w:spacing w:before="212" w:line="190" w:lineRule="auto"/>
              <w:ind w:left="124"/>
            </w:pPr>
            <w:r>
              <w:rPr>
                <w:spacing w:val="-1"/>
              </w:rPr>
              <w:t>Setting and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location</w:t>
            </w:r>
          </w:p>
        </w:tc>
        <w:tc>
          <w:tcPr>
            <w:tcW w:w="649" w:type="dxa"/>
            <w:vAlign w:val="top"/>
          </w:tcPr>
          <w:p w14:paraId="24ADBD97">
            <w:pPr>
              <w:pStyle w:val="12"/>
              <w:spacing w:before="249" w:line="186" w:lineRule="auto"/>
              <w:ind w:left="276"/>
            </w:pPr>
            <w:r>
              <w:t>6</w:t>
            </w:r>
          </w:p>
        </w:tc>
        <w:tc>
          <w:tcPr>
            <w:tcW w:w="5724" w:type="dxa"/>
            <w:vAlign w:val="top"/>
          </w:tcPr>
          <w:p w14:paraId="414607E1">
            <w:pPr>
              <w:pStyle w:val="12"/>
              <w:spacing w:before="56" w:line="281" w:lineRule="auto"/>
              <w:ind w:left="115" w:right="641" w:hanging="4"/>
            </w:pPr>
            <w:r>
              <w:t>Provide relevant contextual information that may infl</w:t>
            </w:r>
            <w:r>
              <w:rPr>
                <w:spacing w:val="-1"/>
              </w:rPr>
              <w:t>uence</w:t>
            </w:r>
            <w:r>
              <w:t xml:space="preserve"> </w:t>
            </w:r>
            <w:r>
              <w:rPr>
                <w:spacing w:val="-1"/>
              </w:rPr>
              <w:t>findings</w:t>
            </w:r>
          </w:p>
        </w:tc>
        <w:tc>
          <w:tcPr>
            <w:tcW w:w="1085" w:type="dxa"/>
            <w:vAlign w:val="top"/>
          </w:tcPr>
          <w:p w14:paraId="1E33DE13">
            <w:pPr>
              <w:pStyle w:val="12"/>
              <w:spacing w:before="252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4F7539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30" w:type="dxa"/>
            <w:vAlign w:val="top"/>
          </w:tcPr>
          <w:p w14:paraId="353FF825">
            <w:pPr>
              <w:pStyle w:val="12"/>
              <w:spacing w:before="216" w:line="186" w:lineRule="auto"/>
              <w:ind w:left="118"/>
            </w:pPr>
            <w:r>
              <w:rPr>
                <w:spacing w:val="-1"/>
              </w:rPr>
              <w:t>Comparators</w:t>
            </w:r>
          </w:p>
        </w:tc>
        <w:tc>
          <w:tcPr>
            <w:tcW w:w="649" w:type="dxa"/>
            <w:vAlign w:val="top"/>
          </w:tcPr>
          <w:p w14:paraId="4234C473">
            <w:pPr>
              <w:pStyle w:val="12"/>
              <w:spacing w:before="252" w:line="183" w:lineRule="auto"/>
              <w:ind w:left="275"/>
            </w:pPr>
            <w:r>
              <w:t>7</w:t>
            </w:r>
          </w:p>
        </w:tc>
        <w:tc>
          <w:tcPr>
            <w:tcW w:w="5724" w:type="dxa"/>
            <w:vAlign w:val="top"/>
          </w:tcPr>
          <w:p w14:paraId="14B96DED">
            <w:pPr>
              <w:pStyle w:val="12"/>
              <w:spacing w:before="54" w:line="282" w:lineRule="auto"/>
              <w:ind w:left="114" w:right="163" w:hanging="3"/>
            </w:pPr>
            <w:r>
              <w:t>Describe the interventions or strategies being compared and</w:t>
            </w:r>
            <w:r>
              <w:rPr>
                <w:spacing w:val="-1"/>
              </w:rPr>
              <w:t xml:space="preserve"> why</w:t>
            </w:r>
            <w:r>
              <w:t xml:space="preserve"> </w:t>
            </w:r>
            <w:r>
              <w:rPr>
                <w:spacing w:val="-1"/>
              </w:rPr>
              <w:t>chosen</w:t>
            </w:r>
          </w:p>
        </w:tc>
        <w:tc>
          <w:tcPr>
            <w:tcW w:w="1085" w:type="dxa"/>
            <w:vAlign w:val="top"/>
          </w:tcPr>
          <w:p w14:paraId="48B951B3">
            <w:pPr>
              <w:pStyle w:val="12"/>
              <w:spacing w:before="252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622D08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230" w:type="dxa"/>
            <w:vAlign w:val="top"/>
          </w:tcPr>
          <w:p w14:paraId="1D37D724">
            <w:pPr>
              <w:pStyle w:val="12"/>
              <w:spacing w:before="52" w:line="190" w:lineRule="auto"/>
              <w:ind w:left="114"/>
            </w:pPr>
            <w:r>
              <w:rPr>
                <w:spacing w:val="-1"/>
              </w:rPr>
              <w:t>Perspective</w:t>
            </w:r>
          </w:p>
        </w:tc>
        <w:tc>
          <w:tcPr>
            <w:tcW w:w="649" w:type="dxa"/>
            <w:vAlign w:val="top"/>
          </w:tcPr>
          <w:p w14:paraId="1EA0958E">
            <w:pPr>
              <w:pStyle w:val="12"/>
              <w:spacing w:before="92" w:line="186" w:lineRule="auto"/>
              <w:ind w:left="280"/>
            </w:pPr>
            <w:r>
              <w:t>8</w:t>
            </w:r>
          </w:p>
        </w:tc>
        <w:tc>
          <w:tcPr>
            <w:tcW w:w="5724" w:type="dxa"/>
            <w:vAlign w:val="top"/>
          </w:tcPr>
          <w:p w14:paraId="05B9B142">
            <w:pPr>
              <w:pStyle w:val="12"/>
              <w:spacing w:before="52" w:line="190" w:lineRule="auto"/>
              <w:ind w:left="121"/>
            </w:pPr>
            <w:r>
              <w:t xml:space="preserve">State the perspective(s) adopted by the study </w:t>
            </w:r>
            <w:r>
              <w:rPr>
                <w:spacing w:val="-1"/>
              </w:rPr>
              <w:t>and why chosen</w:t>
            </w:r>
          </w:p>
        </w:tc>
        <w:tc>
          <w:tcPr>
            <w:tcW w:w="1085" w:type="dxa"/>
            <w:vAlign w:val="top"/>
          </w:tcPr>
          <w:p w14:paraId="57368FE0">
            <w:pPr>
              <w:pStyle w:val="12"/>
              <w:spacing w:before="59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38FED2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230" w:type="dxa"/>
            <w:vAlign w:val="top"/>
          </w:tcPr>
          <w:p w14:paraId="2BC44D93">
            <w:pPr>
              <w:pStyle w:val="12"/>
              <w:spacing w:before="54" w:line="190" w:lineRule="auto"/>
              <w:ind w:left="117"/>
            </w:pPr>
            <w:r>
              <w:rPr>
                <w:spacing w:val="-1"/>
              </w:rPr>
              <w:t>Time horizon</w:t>
            </w:r>
          </w:p>
        </w:tc>
        <w:tc>
          <w:tcPr>
            <w:tcW w:w="649" w:type="dxa"/>
            <w:vAlign w:val="top"/>
          </w:tcPr>
          <w:p w14:paraId="4EC73032">
            <w:pPr>
              <w:pStyle w:val="12"/>
              <w:spacing w:before="93" w:line="186" w:lineRule="auto"/>
              <w:ind w:left="276"/>
            </w:pPr>
            <w:r>
              <w:t>9</w:t>
            </w:r>
          </w:p>
        </w:tc>
        <w:tc>
          <w:tcPr>
            <w:tcW w:w="5724" w:type="dxa"/>
            <w:vAlign w:val="top"/>
          </w:tcPr>
          <w:p w14:paraId="22CF2B0E">
            <w:pPr>
              <w:pStyle w:val="12"/>
              <w:spacing w:before="54" w:line="190" w:lineRule="auto"/>
              <w:ind w:left="121"/>
            </w:pPr>
            <w:r>
              <w:t>State the time horizon for the stu</w:t>
            </w:r>
            <w:r>
              <w:rPr>
                <w:spacing w:val="-1"/>
              </w:rPr>
              <w:t>dy and why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appropriate</w:t>
            </w:r>
          </w:p>
        </w:tc>
        <w:tc>
          <w:tcPr>
            <w:tcW w:w="1085" w:type="dxa"/>
            <w:vAlign w:val="top"/>
          </w:tcPr>
          <w:p w14:paraId="34AA4DF5">
            <w:pPr>
              <w:pStyle w:val="12"/>
              <w:spacing w:before="61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398C57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230" w:type="dxa"/>
            <w:vAlign w:val="top"/>
          </w:tcPr>
          <w:p w14:paraId="2E8B9AAD">
            <w:pPr>
              <w:pStyle w:val="12"/>
              <w:spacing w:before="54" w:line="190" w:lineRule="auto"/>
              <w:ind w:left="114"/>
            </w:pPr>
            <w:r>
              <w:rPr>
                <w:spacing w:val="-1"/>
              </w:rPr>
              <w:t>Discount rate</w:t>
            </w:r>
          </w:p>
        </w:tc>
        <w:tc>
          <w:tcPr>
            <w:tcW w:w="649" w:type="dxa"/>
            <w:vAlign w:val="top"/>
          </w:tcPr>
          <w:p w14:paraId="6B3A162F">
            <w:pPr>
              <w:pStyle w:val="12"/>
              <w:spacing w:before="93" w:line="186" w:lineRule="auto"/>
              <w:ind w:left="239"/>
            </w:pPr>
            <w:r>
              <w:rPr>
                <w:spacing w:val="-6"/>
              </w:rPr>
              <w:t>10</w:t>
            </w:r>
          </w:p>
        </w:tc>
        <w:tc>
          <w:tcPr>
            <w:tcW w:w="5724" w:type="dxa"/>
            <w:vAlign w:val="top"/>
          </w:tcPr>
          <w:p w14:paraId="4E30D575">
            <w:pPr>
              <w:pStyle w:val="12"/>
              <w:spacing w:before="54" w:line="190" w:lineRule="auto"/>
              <w:ind w:left="111"/>
            </w:pPr>
            <w:r>
              <w:t>Report the discount rate(s) and reason ch</w:t>
            </w:r>
            <w:r>
              <w:rPr>
                <w:spacing w:val="-1"/>
              </w:rPr>
              <w:t>osen</w:t>
            </w:r>
          </w:p>
        </w:tc>
        <w:tc>
          <w:tcPr>
            <w:tcW w:w="1085" w:type="dxa"/>
            <w:vAlign w:val="top"/>
          </w:tcPr>
          <w:p w14:paraId="09E2CBA7">
            <w:pPr>
              <w:pStyle w:val="12"/>
              <w:spacing w:before="61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5ABE88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30" w:type="dxa"/>
            <w:vAlign w:val="top"/>
          </w:tcPr>
          <w:p w14:paraId="12A9663B">
            <w:pPr>
              <w:pStyle w:val="12"/>
              <w:spacing w:before="212" w:line="190" w:lineRule="auto"/>
              <w:ind w:left="124"/>
            </w:pPr>
            <w:r>
              <w:t>Selection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outcomes</w:t>
            </w:r>
          </w:p>
        </w:tc>
        <w:tc>
          <w:tcPr>
            <w:tcW w:w="649" w:type="dxa"/>
            <w:vAlign w:val="top"/>
          </w:tcPr>
          <w:p w14:paraId="6922AE5C">
            <w:pPr>
              <w:pStyle w:val="12"/>
              <w:spacing w:before="250" w:line="186" w:lineRule="auto"/>
              <w:ind w:left="239"/>
            </w:pPr>
            <w:r>
              <w:rPr>
                <w:spacing w:val="-6"/>
              </w:rPr>
              <w:t>11</w:t>
            </w:r>
          </w:p>
        </w:tc>
        <w:tc>
          <w:tcPr>
            <w:tcW w:w="5724" w:type="dxa"/>
            <w:vAlign w:val="top"/>
          </w:tcPr>
          <w:p w14:paraId="6AC68744">
            <w:pPr>
              <w:pStyle w:val="12"/>
              <w:spacing w:before="52" w:line="283" w:lineRule="auto"/>
              <w:ind w:left="108" w:right="888" w:firstLine="3"/>
            </w:pPr>
            <w:r>
              <w:t>Describe</w:t>
            </w:r>
            <w:r>
              <w:rPr>
                <w:spacing w:val="1"/>
              </w:rPr>
              <w:t xml:space="preserve"> </w:t>
            </w:r>
            <w:r>
              <w:t>what</w:t>
            </w:r>
            <w:r>
              <w:rPr>
                <w:spacing w:val="1"/>
              </w:rPr>
              <w:t xml:space="preserve"> </w:t>
            </w:r>
            <w:r>
              <w:t>outcomes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1"/>
              </w:rPr>
              <w:t xml:space="preserve"> </w:t>
            </w:r>
            <w:r>
              <w:t>used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measure</w:t>
            </w:r>
            <w:r>
              <w:rPr>
                <w:spacing w:val="1"/>
              </w:rPr>
              <w:t xml:space="preserve">(s)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benefit(s) and harm(s)</w:t>
            </w:r>
          </w:p>
        </w:tc>
        <w:tc>
          <w:tcPr>
            <w:tcW w:w="1085" w:type="dxa"/>
            <w:vAlign w:val="top"/>
          </w:tcPr>
          <w:p w14:paraId="618DB2E9">
            <w:pPr>
              <w:pStyle w:val="12"/>
              <w:spacing w:before="253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5950C3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30" w:type="dxa"/>
            <w:vAlign w:val="top"/>
          </w:tcPr>
          <w:p w14:paraId="182353D7">
            <w:pPr>
              <w:pStyle w:val="12"/>
              <w:spacing w:before="209" w:line="190" w:lineRule="auto"/>
              <w:ind w:left="114"/>
            </w:pPr>
            <w:r>
              <w:t>Measurement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outcomes</w:t>
            </w:r>
          </w:p>
        </w:tc>
        <w:tc>
          <w:tcPr>
            <w:tcW w:w="649" w:type="dxa"/>
            <w:vAlign w:val="top"/>
          </w:tcPr>
          <w:p w14:paraId="410C4102">
            <w:pPr>
              <w:pStyle w:val="12"/>
              <w:spacing w:before="249" w:line="186" w:lineRule="auto"/>
              <w:ind w:left="239"/>
            </w:pPr>
            <w:r>
              <w:rPr>
                <w:spacing w:val="-6"/>
              </w:rPr>
              <w:t>12</w:t>
            </w:r>
          </w:p>
        </w:tc>
        <w:tc>
          <w:tcPr>
            <w:tcW w:w="5724" w:type="dxa"/>
            <w:vAlign w:val="top"/>
          </w:tcPr>
          <w:p w14:paraId="197047D7">
            <w:pPr>
              <w:pStyle w:val="12"/>
              <w:spacing w:before="53" w:line="281" w:lineRule="auto"/>
              <w:ind w:left="109" w:right="350" w:firstLine="2"/>
            </w:pPr>
            <w:r>
              <w:t>Describe how outcomes used to capture benefit(s) and ha</w:t>
            </w:r>
            <w:r>
              <w:rPr>
                <w:spacing w:val="-1"/>
              </w:rPr>
              <w:t>rm(s)</w:t>
            </w:r>
            <w:r>
              <w:t xml:space="preserve"> </w:t>
            </w:r>
            <w:r>
              <w:rPr>
                <w:spacing w:val="-1"/>
              </w:rPr>
              <w:t>were measured</w:t>
            </w:r>
          </w:p>
        </w:tc>
        <w:tc>
          <w:tcPr>
            <w:tcW w:w="1085" w:type="dxa"/>
            <w:vAlign w:val="top"/>
          </w:tcPr>
          <w:p w14:paraId="1C56A668">
            <w:pPr>
              <w:pStyle w:val="12"/>
              <w:spacing w:before="252" w:line="183" w:lineRule="auto"/>
              <w:ind w:left="378"/>
            </w:pPr>
            <w:r>
              <w:rPr>
                <w:spacing w:val="-1"/>
              </w:rPr>
              <w:t>Yes</w:t>
            </w:r>
          </w:p>
        </w:tc>
      </w:tr>
      <w:tr w14:paraId="38EE45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30" w:type="dxa"/>
            <w:vAlign w:val="top"/>
          </w:tcPr>
          <w:p w14:paraId="4DF5C590">
            <w:pPr>
              <w:pStyle w:val="12"/>
              <w:spacing w:before="213" w:line="190" w:lineRule="auto"/>
              <w:ind w:left="113"/>
            </w:pPr>
            <w:r>
              <w:t>Valuation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outcomes</w:t>
            </w:r>
          </w:p>
        </w:tc>
        <w:tc>
          <w:tcPr>
            <w:tcW w:w="649" w:type="dxa"/>
            <w:vAlign w:val="top"/>
          </w:tcPr>
          <w:p w14:paraId="72D522D8">
            <w:pPr>
              <w:pStyle w:val="12"/>
              <w:spacing w:before="251" w:line="186" w:lineRule="auto"/>
              <w:ind w:left="239"/>
            </w:pPr>
            <w:r>
              <w:rPr>
                <w:spacing w:val="-6"/>
              </w:rPr>
              <w:t>13</w:t>
            </w:r>
          </w:p>
        </w:tc>
        <w:tc>
          <w:tcPr>
            <w:tcW w:w="5724" w:type="dxa"/>
            <w:vAlign w:val="top"/>
          </w:tcPr>
          <w:p w14:paraId="05EC67FB">
            <w:pPr>
              <w:pStyle w:val="12"/>
              <w:spacing w:before="58" w:line="280" w:lineRule="auto"/>
              <w:ind w:left="114" w:right="215" w:hanging="3"/>
            </w:pPr>
            <w:r>
              <w:t>Describe the population and methods used to measure and v</w:t>
            </w:r>
            <w:r>
              <w:rPr>
                <w:spacing w:val="-1"/>
              </w:rPr>
              <w:t>alue</w:t>
            </w:r>
            <w:r>
              <w:t xml:space="preserve"> </w:t>
            </w:r>
            <w:r>
              <w:rPr>
                <w:spacing w:val="-1"/>
              </w:rPr>
              <w:t>outcomes</w:t>
            </w:r>
          </w:p>
        </w:tc>
        <w:tc>
          <w:tcPr>
            <w:tcW w:w="1085" w:type="dxa"/>
            <w:vAlign w:val="top"/>
          </w:tcPr>
          <w:p w14:paraId="4A9F585D">
            <w:pPr>
              <w:pStyle w:val="12"/>
              <w:spacing w:before="254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534AE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3230" w:type="dxa"/>
            <w:vAlign w:val="top"/>
          </w:tcPr>
          <w:p w14:paraId="6879E8AA">
            <w:pPr>
              <w:pStyle w:val="12"/>
              <w:spacing w:before="55" w:line="281" w:lineRule="auto"/>
              <w:ind w:left="112" w:right="531" w:firstLine="2"/>
            </w:pPr>
            <w:r>
              <w:t>Measurement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valuation</w:t>
            </w:r>
            <w:r>
              <w:rPr>
                <w:spacing w:val="6"/>
              </w:rPr>
              <w:t xml:space="preserve"> </w:t>
            </w:r>
            <w:r>
              <w:t>of resources and costs</w:t>
            </w:r>
          </w:p>
        </w:tc>
        <w:tc>
          <w:tcPr>
            <w:tcW w:w="649" w:type="dxa"/>
            <w:vAlign w:val="top"/>
          </w:tcPr>
          <w:p w14:paraId="49EF8967">
            <w:pPr>
              <w:pStyle w:val="12"/>
              <w:spacing w:before="251" w:line="186" w:lineRule="auto"/>
              <w:ind w:left="239"/>
            </w:pPr>
            <w:r>
              <w:rPr>
                <w:spacing w:val="-6"/>
              </w:rPr>
              <w:t>14</w:t>
            </w:r>
          </w:p>
        </w:tc>
        <w:tc>
          <w:tcPr>
            <w:tcW w:w="5724" w:type="dxa"/>
            <w:vAlign w:val="top"/>
          </w:tcPr>
          <w:p w14:paraId="4102AE25">
            <w:pPr>
              <w:pStyle w:val="12"/>
              <w:spacing w:before="213" w:line="190" w:lineRule="auto"/>
              <w:ind w:left="111"/>
            </w:pPr>
            <w:r>
              <w:t>Describe how costs were val</w:t>
            </w:r>
            <w:r>
              <w:rPr>
                <w:spacing w:val="-1"/>
              </w:rPr>
              <w:t>ued</w:t>
            </w:r>
          </w:p>
        </w:tc>
        <w:tc>
          <w:tcPr>
            <w:tcW w:w="1085" w:type="dxa"/>
            <w:vAlign w:val="top"/>
          </w:tcPr>
          <w:p w14:paraId="5F6733FE">
            <w:pPr>
              <w:pStyle w:val="12"/>
              <w:spacing w:before="254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4A3997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30" w:type="dxa"/>
            <w:vAlign w:val="top"/>
          </w:tcPr>
          <w:p w14:paraId="787625A4">
            <w:pPr>
              <w:pStyle w:val="12"/>
              <w:spacing w:before="56" w:line="281" w:lineRule="auto"/>
              <w:ind w:left="118" w:right="171"/>
            </w:pPr>
            <w:r>
              <w:rPr>
                <w:spacing w:val="-1"/>
              </w:rPr>
              <w:t>Currency,      price</w:t>
            </w:r>
            <w:r>
              <w:rPr>
                <w:spacing w:val="6"/>
              </w:rPr>
              <w:t xml:space="preserve">      </w:t>
            </w:r>
            <w:r>
              <w:rPr>
                <w:spacing w:val="-1"/>
              </w:rPr>
              <w:t>date,</w:t>
            </w:r>
            <w:r>
              <w:rPr>
                <w:spacing w:val="3"/>
              </w:rPr>
              <w:t xml:space="preserve">      </w:t>
            </w:r>
            <w:r>
              <w:rPr>
                <w:spacing w:val="-1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conversion</w:t>
            </w:r>
          </w:p>
        </w:tc>
        <w:tc>
          <w:tcPr>
            <w:tcW w:w="649" w:type="dxa"/>
            <w:vAlign w:val="top"/>
          </w:tcPr>
          <w:p w14:paraId="7F47C4D7">
            <w:pPr>
              <w:pStyle w:val="12"/>
              <w:spacing w:before="251" w:line="186" w:lineRule="auto"/>
              <w:ind w:left="239"/>
            </w:pPr>
            <w:r>
              <w:rPr>
                <w:spacing w:val="-6"/>
              </w:rPr>
              <w:t>15</w:t>
            </w:r>
          </w:p>
        </w:tc>
        <w:tc>
          <w:tcPr>
            <w:tcW w:w="5724" w:type="dxa"/>
            <w:vAlign w:val="top"/>
          </w:tcPr>
          <w:p w14:paraId="3BEE4615">
            <w:pPr>
              <w:pStyle w:val="12"/>
              <w:spacing w:before="56" w:line="281" w:lineRule="auto"/>
              <w:ind w:left="114" w:right="482" w:hanging="3"/>
            </w:pPr>
            <w:r>
              <w:t>Report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dates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-19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estimated</w:t>
            </w:r>
            <w:r>
              <w:rPr>
                <w:spacing w:val="2"/>
              </w:rPr>
              <w:t xml:space="preserve"> </w:t>
            </w:r>
            <w:r>
              <w:t>resource</w:t>
            </w:r>
            <w:r>
              <w:rPr>
                <w:spacing w:val="2"/>
              </w:rPr>
              <w:t xml:space="preserve"> </w:t>
            </w:r>
            <w:r>
              <w:t>quantities</w:t>
            </w:r>
            <w:r>
              <w:rPr>
                <w:spacing w:val="2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unit costs</w:t>
            </w:r>
            <w:r>
              <w:rPr>
                <w:spacing w:val="1"/>
              </w:rPr>
              <w:t xml:space="preserve">, </w:t>
            </w:r>
            <w:r>
              <w:t>plus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currency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year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conversion</w:t>
            </w:r>
          </w:p>
        </w:tc>
        <w:tc>
          <w:tcPr>
            <w:tcW w:w="1085" w:type="dxa"/>
            <w:vAlign w:val="top"/>
          </w:tcPr>
          <w:p w14:paraId="7037777D">
            <w:pPr>
              <w:pStyle w:val="12"/>
              <w:spacing w:before="254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333766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30" w:type="dxa"/>
            <w:vAlign w:val="top"/>
          </w:tcPr>
          <w:p w14:paraId="2A610A4D">
            <w:pPr>
              <w:pStyle w:val="12"/>
              <w:spacing w:before="211" w:line="190" w:lineRule="auto"/>
              <w:ind w:left="114"/>
            </w:pPr>
            <w:r>
              <w:t>Rationale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description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-21"/>
              </w:rPr>
              <w:t xml:space="preserve"> </w:t>
            </w:r>
            <w:r>
              <w:t>model</w:t>
            </w:r>
          </w:p>
        </w:tc>
        <w:tc>
          <w:tcPr>
            <w:tcW w:w="649" w:type="dxa"/>
            <w:vAlign w:val="top"/>
          </w:tcPr>
          <w:p w14:paraId="02BFC715">
            <w:pPr>
              <w:pStyle w:val="12"/>
              <w:spacing w:before="251" w:line="186" w:lineRule="auto"/>
              <w:ind w:left="239"/>
            </w:pPr>
            <w:r>
              <w:rPr>
                <w:spacing w:val="-6"/>
              </w:rPr>
              <w:t>16</w:t>
            </w:r>
          </w:p>
        </w:tc>
        <w:tc>
          <w:tcPr>
            <w:tcW w:w="5724" w:type="dxa"/>
            <w:vAlign w:val="top"/>
          </w:tcPr>
          <w:p w14:paraId="4C5FCB97">
            <w:pPr>
              <w:pStyle w:val="12"/>
              <w:spacing w:before="56" w:line="281" w:lineRule="auto"/>
              <w:ind w:left="110" w:right="311" w:firstLine="3"/>
            </w:pPr>
            <w:r>
              <w:t>If</w:t>
            </w:r>
            <w:r>
              <w:rPr>
                <w:spacing w:val="-10"/>
              </w:rPr>
              <w:t xml:space="preserve"> </w:t>
            </w:r>
            <w:r>
              <w:t>modelling</w:t>
            </w:r>
            <w:r>
              <w:rPr>
                <w:spacing w:val="2"/>
              </w:rPr>
              <w:t xml:space="preserve"> </w:t>
            </w:r>
            <w:r>
              <w:t>is</w:t>
            </w:r>
            <w:r>
              <w:rPr>
                <w:spacing w:val="2"/>
              </w:rPr>
              <w:t xml:space="preserve"> </w:t>
            </w:r>
            <w:r>
              <w:t>used</w:t>
            </w:r>
            <w:r>
              <w:rPr>
                <w:spacing w:val="2"/>
              </w:rPr>
              <w:t xml:space="preserve">, </w:t>
            </w:r>
            <w:r>
              <w:t>describe</w:t>
            </w:r>
            <w:r>
              <w:rPr>
                <w:spacing w:val="2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detail</w:t>
            </w:r>
            <w:r>
              <w:rPr>
                <w:spacing w:val="2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why</w:t>
            </w:r>
            <w:r>
              <w:rPr>
                <w:spacing w:val="2"/>
              </w:rPr>
              <w:t xml:space="preserve"> </w:t>
            </w:r>
            <w:r>
              <w:t>used</w:t>
            </w:r>
            <w:r>
              <w:rPr>
                <w:spacing w:val="2"/>
              </w:rPr>
              <w:t xml:space="preserve">. </w:t>
            </w:r>
            <w:r>
              <w:t>Report</w:t>
            </w:r>
            <w:r>
              <w:rPr>
                <w:spacing w:val="2"/>
              </w:rPr>
              <w:t xml:space="preserve"> </w:t>
            </w:r>
            <w:r>
              <w:t>if the model is publicly available and where it can</w:t>
            </w:r>
            <w:r>
              <w:rPr>
                <w:spacing w:val="-1"/>
              </w:rPr>
              <w:t xml:space="preserve"> be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accessed</w:t>
            </w:r>
          </w:p>
        </w:tc>
        <w:tc>
          <w:tcPr>
            <w:tcW w:w="1085" w:type="dxa"/>
            <w:vAlign w:val="top"/>
          </w:tcPr>
          <w:p w14:paraId="2E90414C">
            <w:pPr>
              <w:pStyle w:val="12"/>
              <w:spacing w:before="254" w:line="183" w:lineRule="auto"/>
              <w:ind w:left="378"/>
            </w:pPr>
            <w:r>
              <w:rPr>
                <w:spacing w:val="-1"/>
              </w:rPr>
              <w:t>Yes</w:t>
            </w:r>
          </w:p>
        </w:tc>
      </w:tr>
      <w:tr w14:paraId="4B0C78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3230" w:type="dxa"/>
            <w:vAlign w:val="top"/>
          </w:tcPr>
          <w:p w14:paraId="2B0DCC41">
            <w:pPr>
              <w:spacing w:line="340" w:lineRule="auto"/>
              <w:rPr>
                <w:rFonts w:ascii="Arial"/>
                <w:sz w:val="21"/>
              </w:rPr>
            </w:pPr>
          </w:p>
          <w:p w14:paraId="51C02405">
            <w:pPr>
              <w:pStyle w:val="12"/>
              <w:spacing w:before="60" w:line="190" w:lineRule="auto"/>
              <w:ind w:left="114"/>
            </w:pPr>
            <w:r>
              <w:t>Analytics and assumptio</w:t>
            </w:r>
            <w:r>
              <w:rPr>
                <w:spacing w:val="-1"/>
              </w:rPr>
              <w:t>ns</w:t>
            </w:r>
          </w:p>
        </w:tc>
        <w:tc>
          <w:tcPr>
            <w:tcW w:w="649" w:type="dxa"/>
            <w:vAlign w:val="top"/>
          </w:tcPr>
          <w:p w14:paraId="7756D0E8">
            <w:pPr>
              <w:spacing w:line="344" w:lineRule="auto"/>
              <w:rPr>
                <w:rFonts w:ascii="Arial"/>
                <w:sz w:val="21"/>
              </w:rPr>
            </w:pPr>
          </w:p>
          <w:p w14:paraId="66ED0369">
            <w:pPr>
              <w:pStyle w:val="12"/>
              <w:spacing w:before="60" w:line="186" w:lineRule="auto"/>
              <w:ind w:left="239"/>
            </w:pPr>
            <w:r>
              <w:rPr>
                <w:spacing w:val="-6"/>
              </w:rPr>
              <w:t>17</w:t>
            </w:r>
          </w:p>
        </w:tc>
        <w:tc>
          <w:tcPr>
            <w:tcW w:w="5724" w:type="dxa"/>
            <w:vAlign w:val="top"/>
          </w:tcPr>
          <w:p w14:paraId="594BB542">
            <w:pPr>
              <w:pStyle w:val="12"/>
              <w:spacing w:before="124" w:line="190" w:lineRule="auto"/>
              <w:ind w:left="112"/>
            </w:pPr>
            <w:r>
              <w:t>Describe any methods for analysing or statistically</w:t>
            </w:r>
            <w:r>
              <w:rPr>
                <w:spacing w:val="-26"/>
              </w:rPr>
              <w:t xml:space="preserve"> </w:t>
            </w:r>
            <w:r>
              <w:t>transf</w:t>
            </w:r>
            <w:r>
              <w:rPr>
                <w:spacing w:val="-1"/>
              </w:rPr>
              <w:t>orming</w:t>
            </w:r>
          </w:p>
          <w:p w14:paraId="5A63C5F5">
            <w:pPr>
              <w:pStyle w:val="12"/>
              <w:spacing w:before="123" w:line="228" w:lineRule="auto"/>
              <w:ind w:left="110" w:firstLine="5"/>
            </w:pPr>
            <w:r>
              <w:t>data, any extrapolation methods, an</w:t>
            </w:r>
            <w:r>
              <w:rPr>
                <w:spacing w:val="-1"/>
              </w:rPr>
              <w:t>d approaches for validating any</w:t>
            </w:r>
            <w:r>
              <w:t xml:space="preserve"> </w:t>
            </w:r>
            <w:r>
              <w:rPr>
                <w:spacing w:val="-1"/>
              </w:rPr>
              <w:t>model used</w:t>
            </w:r>
          </w:p>
        </w:tc>
        <w:tc>
          <w:tcPr>
            <w:tcW w:w="1085" w:type="dxa"/>
            <w:vAlign w:val="top"/>
          </w:tcPr>
          <w:p w14:paraId="38B4A368">
            <w:pPr>
              <w:spacing w:line="347" w:lineRule="auto"/>
              <w:rPr>
                <w:rFonts w:ascii="Arial"/>
                <w:sz w:val="21"/>
              </w:rPr>
            </w:pPr>
          </w:p>
          <w:p w14:paraId="18861D39">
            <w:pPr>
              <w:pStyle w:val="12"/>
              <w:spacing w:before="60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</w:tbl>
    <w:p w14:paraId="2FC74952">
      <w:pPr>
        <w:rPr>
          <w:rFonts w:ascii="Arial"/>
          <w:sz w:val="21"/>
        </w:rPr>
      </w:pPr>
    </w:p>
    <w:p w14:paraId="4E3B8516">
      <w:pPr>
        <w:rPr>
          <w:rFonts w:ascii="Arial" w:hAnsi="Arial" w:eastAsia="Arial" w:cs="Arial"/>
          <w:sz w:val="21"/>
          <w:szCs w:val="21"/>
        </w:rPr>
        <w:sectPr>
          <w:pgSz w:w="12243" w:h="15843"/>
          <w:pgMar w:top="1159" w:right="655" w:bottom="0" w:left="894" w:header="0" w:footer="0" w:gutter="0"/>
          <w:cols w:space="720" w:num="1"/>
        </w:sectPr>
      </w:pPr>
    </w:p>
    <w:p w14:paraId="34FE2A50">
      <w:pPr>
        <w:spacing w:line="98" w:lineRule="auto"/>
        <w:rPr>
          <w:rFonts w:ascii="Arial"/>
          <w:sz w:val="2"/>
        </w:rPr>
      </w:pPr>
    </w:p>
    <w:tbl>
      <w:tblPr>
        <w:tblStyle w:val="13"/>
        <w:tblW w:w="1076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4"/>
        <w:gridCol w:w="720"/>
        <w:gridCol w:w="5540"/>
        <w:gridCol w:w="1396"/>
      </w:tblGrid>
      <w:tr w14:paraId="4F075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04" w:type="dxa"/>
            <w:vAlign w:val="top"/>
          </w:tcPr>
          <w:p w14:paraId="4793C296">
            <w:pPr>
              <w:pStyle w:val="12"/>
              <w:snapToGrid w:val="0"/>
              <w:spacing w:before="213" w:line="190" w:lineRule="auto"/>
              <w:ind w:left="118"/>
            </w:pPr>
            <w:r>
              <w:t>Characterising heter</w:t>
            </w:r>
            <w:r>
              <w:rPr>
                <w:spacing w:val="-1"/>
              </w:rPr>
              <w:t>ogeneity</w:t>
            </w:r>
          </w:p>
        </w:tc>
        <w:tc>
          <w:tcPr>
            <w:tcW w:w="720" w:type="dxa"/>
            <w:vAlign w:val="top"/>
          </w:tcPr>
          <w:p w14:paraId="11803911">
            <w:pPr>
              <w:pStyle w:val="12"/>
              <w:snapToGrid w:val="0"/>
              <w:spacing w:before="251" w:line="186" w:lineRule="auto"/>
              <w:ind w:left="239"/>
            </w:pPr>
            <w:r>
              <w:rPr>
                <w:spacing w:val="-6"/>
              </w:rPr>
              <w:t>18</w:t>
            </w:r>
          </w:p>
        </w:tc>
        <w:tc>
          <w:tcPr>
            <w:tcW w:w="5540" w:type="dxa"/>
            <w:vAlign w:val="top"/>
          </w:tcPr>
          <w:p w14:paraId="781B736C">
            <w:pPr>
              <w:pStyle w:val="12"/>
              <w:snapToGrid w:val="0"/>
              <w:spacing w:before="53" w:line="285" w:lineRule="auto"/>
              <w:ind w:left="117" w:right="220" w:hanging="6"/>
            </w:pPr>
            <w:r>
              <w:t>Describe</w:t>
            </w:r>
            <w:r>
              <w:rPr>
                <w:spacing w:val="1"/>
              </w:rPr>
              <w:t xml:space="preserve"> </w:t>
            </w:r>
            <w:r>
              <w:t>any</w:t>
            </w:r>
            <w:r>
              <w:rPr>
                <w:spacing w:val="1"/>
              </w:rPr>
              <w:t xml:space="preserve"> </w:t>
            </w:r>
            <w:r>
              <w:t>methods</w:t>
            </w:r>
            <w:r>
              <w:rPr>
                <w:spacing w:val="1"/>
              </w:rPr>
              <w:t xml:space="preserve"> </w:t>
            </w:r>
            <w:r>
              <w:t>used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estimating</w:t>
            </w:r>
            <w:r>
              <w:rPr>
                <w:spacing w:val="1"/>
              </w:rPr>
              <w:t xml:space="preserve"> </w:t>
            </w:r>
            <w:r>
              <w:t>how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results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 xml:space="preserve">the </w:t>
            </w:r>
            <w:r>
              <w:rPr>
                <w:spacing w:val="-1"/>
              </w:rPr>
              <w:t>study vary for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subgroups</w:t>
            </w:r>
          </w:p>
        </w:tc>
        <w:tc>
          <w:tcPr>
            <w:tcW w:w="1396" w:type="dxa"/>
            <w:vAlign w:val="top"/>
          </w:tcPr>
          <w:p w14:paraId="3C28D1A4">
            <w:pPr>
              <w:pStyle w:val="12"/>
              <w:snapToGrid w:val="0"/>
              <w:spacing w:before="133" w:line="183" w:lineRule="auto"/>
              <w:ind w:left="379"/>
            </w:pPr>
            <w:r>
              <w:t>Not</w:t>
            </w:r>
          </w:p>
          <w:p w14:paraId="6827CC30">
            <w:pPr>
              <w:pStyle w:val="12"/>
              <w:snapToGrid w:val="0"/>
              <w:spacing w:before="51" w:line="190" w:lineRule="auto"/>
              <w:ind w:left="116"/>
            </w:pPr>
            <w:r>
              <w:rPr>
                <w:spacing w:val="-1"/>
              </w:rPr>
              <w:t>applicable</w:t>
            </w:r>
          </w:p>
        </w:tc>
      </w:tr>
      <w:tr w14:paraId="1F32C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04" w:type="dxa"/>
            <w:vAlign w:val="top"/>
          </w:tcPr>
          <w:p w14:paraId="5A140C86">
            <w:pPr>
              <w:pStyle w:val="12"/>
              <w:snapToGrid w:val="0"/>
              <w:spacing w:before="49" w:line="190" w:lineRule="auto"/>
              <w:ind w:left="118"/>
            </w:pPr>
            <w:r>
              <w:rPr>
                <w:spacing w:val="-1"/>
              </w:rPr>
              <w:t>Characterising</w:t>
            </w:r>
            <w:r>
              <w:rPr>
                <w:spacing w:val="3"/>
              </w:rPr>
              <w:t xml:space="preserve">           </w:t>
            </w:r>
            <w:r>
              <w:rPr>
                <w:spacing w:val="-1"/>
              </w:rPr>
              <w:t>distributional</w:t>
            </w:r>
          </w:p>
          <w:p w14:paraId="5570990E">
            <w:pPr>
              <w:pStyle w:val="12"/>
              <w:snapToGrid w:val="0"/>
              <w:spacing w:before="123" w:line="190" w:lineRule="auto"/>
              <w:ind w:left="119"/>
            </w:pPr>
            <w:r>
              <w:rPr>
                <w:spacing w:val="-1"/>
              </w:rPr>
              <w:t>effects</w:t>
            </w:r>
          </w:p>
        </w:tc>
        <w:tc>
          <w:tcPr>
            <w:tcW w:w="720" w:type="dxa"/>
            <w:vAlign w:val="top"/>
          </w:tcPr>
          <w:p w14:paraId="6B66E791">
            <w:pPr>
              <w:pStyle w:val="12"/>
              <w:snapToGrid w:val="0"/>
              <w:spacing w:before="246" w:line="186" w:lineRule="auto"/>
              <w:ind w:left="239"/>
            </w:pPr>
            <w:r>
              <w:rPr>
                <w:spacing w:val="-6"/>
              </w:rPr>
              <w:t>19</w:t>
            </w:r>
          </w:p>
        </w:tc>
        <w:tc>
          <w:tcPr>
            <w:tcW w:w="5540" w:type="dxa"/>
            <w:vAlign w:val="top"/>
          </w:tcPr>
          <w:p w14:paraId="596398FC">
            <w:pPr>
              <w:pStyle w:val="12"/>
              <w:snapToGrid w:val="0"/>
              <w:spacing w:before="50" w:line="284" w:lineRule="auto"/>
              <w:ind w:left="114" w:right="144" w:hanging="3"/>
            </w:pPr>
            <w:r>
              <w:t>Describe how impacts are distributed across different individu</w:t>
            </w:r>
            <w:r>
              <w:rPr>
                <w:spacing w:val="-1"/>
              </w:rPr>
              <w:t>als</w:t>
            </w:r>
            <w:r>
              <w:t xml:space="preserve"> or adjustments made to reflect priority pop</w:t>
            </w:r>
            <w:r>
              <w:rPr>
                <w:spacing w:val="-1"/>
              </w:rPr>
              <w:t>ulations</w:t>
            </w:r>
          </w:p>
        </w:tc>
        <w:tc>
          <w:tcPr>
            <w:tcW w:w="1396" w:type="dxa"/>
            <w:vAlign w:val="top"/>
          </w:tcPr>
          <w:p w14:paraId="2DEFC7F8">
            <w:pPr>
              <w:pStyle w:val="12"/>
              <w:snapToGrid w:val="0"/>
              <w:spacing w:before="128" w:line="183" w:lineRule="auto"/>
              <w:ind w:left="379"/>
            </w:pPr>
            <w:r>
              <w:t>Not</w:t>
            </w:r>
          </w:p>
          <w:p w14:paraId="33C14394">
            <w:pPr>
              <w:pStyle w:val="12"/>
              <w:snapToGrid w:val="0"/>
              <w:spacing w:before="50" w:line="190" w:lineRule="auto"/>
              <w:ind w:left="115"/>
            </w:pPr>
            <w:r>
              <w:rPr>
                <w:spacing w:val="-1"/>
              </w:rPr>
              <w:t>applicable</w:t>
            </w:r>
          </w:p>
        </w:tc>
      </w:tr>
      <w:tr w14:paraId="5456D2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04" w:type="dxa"/>
            <w:vAlign w:val="top"/>
          </w:tcPr>
          <w:p w14:paraId="786AEE33">
            <w:pPr>
              <w:pStyle w:val="12"/>
              <w:snapToGrid w:val="0"/>
              <w:spacing w:before="205" w:line="190" w:lineRule="auto"/>
              <w:ind w:left="118"/>
            </w:pPr>
            <w:r>
              <w:rPr>
                <w:spacing w:val="-1"/>
              </w:rPr>
              <w:t>Characterising uncertainty</w:t>
            </w:r>
          </w:p>
        </w:tc>
        <w:tc>
          <w:tcPr>
            <w:tcW w:w="720" w:type="dxa"/>
            <w:vAlign w:val="top"/>
          </w:tcPr>
          <w:p w14:paraId="02C0CAFE">
            <w:pPr>
              <w:pStyle w:val="12"/>
              <w:snapToGrid w:val="0"/>
              <w:spacing w:before="246" w:line="186" w:lineRule="auto"/>
              <w:ind w:left="219"/>
            </w:pPr>
            <w:r>
              <w:rPr>
                <w:spacing w:val="-1"/>
              </w:rPr>
              <w:t>20</w:t>
            </w:r>
          </w:p>
        </w:tc>
        <w:tc>
          <w:tcPr>
            <w:tcW w:w="5540" w:type="dxa"/>
            <w:vAlign w:val="top"/>
          </w:tcPr>
          <w:p w14:paraId="4E67E5BA">
            <w:pPr>
              <w:pStyle w:val="12"/>
              <w:snapToGrid w:val="0"/>
              <w:spacing w:before="49" w:line="284" w:lineRule="auto"/>
              <w:ind w:left="110" w:right="350" w:firstLine="1"/>
            </w:pPr>
            <w:r>
              <w:t>Describe</w:t>
            </w:r>
            <w:r>
              <w:rPr>
                <w:spacing w:val="2"/>
              </w:rPr>
              <w:t xml:space="preserve"> </w:t>
            </w:r>
            <w:r>
              <w:t>methods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characterise</w:t>
            </w:r>
            <w:r>
              <w:rPr>
                <w:spacing w:val="2"/>
              </w:rPr>
              <w:t xml:space="preserve"> </w:t>
            </w:r>
            <w:r>
              <w:t>any</w:t>
            </w:r>
            <w:r>
              <w:rPr>
                <w:spacing w:val="2"/>
              </w:rPr>
              <w:t xml:space="preserve"> </w:t>
            </w:r>
            <w:r>
              <w:t>sources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-18"/>
              </w:rPr>
              <w:t xml:space="preserve"> </w:t>
            </w:r>
            <w:r>
              <w:t>uncertainty</w:t>
            </w:r>
            <w:r>
              <w:rPr>
                <w:spacing w:val="2"/>
              </w:rPr>
              <w:t xml:space="preserve"> </w:t>
            </w:r>
            <w:r>
              <w:t xml:space="preserve">in </w:t>
            </w:r>
            <w:r>
              <w:rPr>
                <w:spacing w:val="-1"/>
              </w:rPr>
              <w:t>the analysis</w:t>
            </w:r>
          </w:p>
        </w:tc>
        <w:tc>
          <w:tcPr>
            <w:tcW w:w="1396" w:type="dxa"/>
            <w:vAlign w:val="top"/>
          </w:tcPr>
          <w:p w14:paraId="474D4719">
            <w:pPr>
              <w:pStyle w:val="12"/>
              <w:snapToGrid w:val="0"/>
              <w:spacing w:before="249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0F9F36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04" w:type="dxa"/>
            <w:vAlign w:val="top"/>
          </w:tcPr>
          <w:p w14:paraId="5BE569DD">
            <w:pPr>
              <w:pStyle w:val="12"/>
              <w:snapToGrid w:val="0"/>
              <w:spacing w:before="50" w:line="190" w:lineRule="auto"/>
              <w:ind w:left="113"/>
            </w:pPr>
            <w:r>
              <w:t>Approach to engagement w</w:t>
            </w:r>
            <w:r>
              <w:rPr>
                <w:spacing w:val="-1"/>
              </w:rPr>
              <w:t>ith</w:t>
            </w:r>
          </w:p>
          <w:p w14:paraId="64285582">
            <w:pPr>
              <w:pStyle w:val="12"/>
              <w:snapToGrid w:val="0"/>
              <w:spacing w:before="124" w:line="246" w:lineRule="auto"/>
              <w:ind w:left="120" w:right="237" w:hanging="10"/>
            </w:pPr>
            <w:r>
              <w:t xml:space="preserve">patients and others affected by the </w:t>
            </w:r>
            <w:r>
              <w:rPr>
                <w:spacing w:val="-2"/>
              </w:rPr>
              <w:t>study</w:t>
            </w:r>
          </w:p>
        </w:tc>
        <w:tc>
          <w:tcPr>
            <w:tcW w:w="720" w:type="dxa"/>
            <w:vAlign w:val="top"/>
          </w:tcPr>
          <w:p w14:paraId="73182809">
            <w:pPr>
              <w:snapToGrid w:val="0"/>
              <w:spacing w:line="304" w:lineRule="auto"/>
              <w:rPr>
                <w:rFonts w:ascii="Arial"/>
                <w:sz w:val="21"/>
              </w:rPr>
            </w:pPr>
          </w:p>
          <w:p w14:paraId="509B2D98">
            <w:pPr>
              <w:pStyle w:val="12"/>
              <w:snapToGrid w:val="0"/>
              <w:spacing w:before="61" w:line="186" w:lineRule="auto"/>
              <w:ind w:left="219"/>
            </w:pPr>
            <w:r>
              <w:rPr>
                <w:spacing w:val="-1"/>
              </w:rPr>
              <w:t>21</w:t>
            </w:r>
          </w:p>
        </w:tc>
        <w:tc>
          <w:tcPr>
            <w:tcW w:w="5540" w:type="dxa"/>
            <w:vAlign w:val="top"/>
          </w:tcPr>
          <w:p w14:paraId="2AE53B76">
            <w:pPr>
              <w:pStyle w:val="12"/>
              <w:snapToGrid w:val="0"/>
              <w:spacing w:before="50" w:line="298" w:lineRule="auto"/>
              <w:ind w:left="110" w:right="144" w:firstLine="1"/>
            </w:pPr>
            <w:r>
              <w:t>Describe any approaches to engage patients or service recipien</w:t>
            </w:r>
            <w:r>
              <w:rPr>
                <w:spacing w:val="-1"/>
              </w:rPr>
              <w:t>ts,</w:t>
            </w:r>
            <w:r>
              <w:t xml:space="preserve"> the general public, communities, or stakehol</w:t>
            </w:r>
            <w:r>
              <w:rPr>
                <w:spacing w:val="-1"/>
              </w:rPr>
              <w:t>ders (such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as</w:t>
            </w:r>
          </w:p>
          <w:p w14:paraId="590E0A5F">
            <w:pPr>
              <w:pStyle w:val="12"/>
              <w:snapToGrid w:val="0"/>
              <w:spacing w:before="25" w:line="185" w:lineRule="auto"/>
              <w:ind w:left="115"/>
            </w:pPr>
            <w:r>
              <w:t>clinicians or payers) in the design of</w:t>
            </w:r>
            <w:r>
              <w:rPr>
                <w:spacing w:val="-19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study</w:t>
            </w:r>
          </w:p>
        </w:tc>
        <w:tc>
          <w:tcPr>
            <w:tcW w:w="1396" w:type="dxa"/>
            <w:vAlign w:val="top"/>
          </w:tcPr>
          <w:p w14:paraId="378EF663">
            <w:pPr>
              <w:pStyle w:val="12"/>
              <w:snapToGrid w:val="0"/>
              <w:spacing w:before="249" w:line="183" w:lineRule="auto"/>
              <w:ind w:left="379"/>
            </w:pPr>
            <w:r>
              <w:t>Not</w:t>
            </w:r>
          </w:p>
          <w:p w14:paraId="084B45DE">
            <w:pPr>
              <w:pStyle w:val="12"/>
              <w:snapToGrid w:val="0"/>
              <w:spacing w:before="50" w:line="190" w:lineRule="auto"/>
              <w:ind w:left="115"/>
            </w:pPr>
            <w:r>
              <w:rPr>
                <w:spacing w:val="-1"/>
              </w:rPr>
              <w:t>applicable</w:t>
            </w:r>
          </w:p>
        </w:tc>
      </w:tr>
      <w:tr w14:paraId="34333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04" w:type="dxa"/>
            <w:vAlign w:val="top"/>
          </w:tcPr>
          <w:p w14:paraId="18EA558C">
            <w:pPr>
              <w:pStyle w:val="12"/>
              <w:snapToGrid w:val="0"/>
              <w:spacing w:before="164" w:line="183" w:lineRule="auto"/>
              <w:ind w:left="115"/>
            </w:pPr>
            <w:r>
              <w:rPr>
                <w:b/>
                <w:bCs/>
                <w:spacing w:val="-1"/>
              </w:rPr>
              <w:t>Results</w:t>
            </w:r>
          </w:p>
        </w:tc>
        <w:tc>
          <w:tcPr>
            <w:tcW w:w="720" w:type="dxa"/>
            <w:vAlign w:val="top"/>
          </w:tcPr>
          <w:p w14:paraId="5D16CC57">
            <w:pPr>
              <w:snapToGrid w:val="0"/>
              <w:rPr>
                <w:rFonts w:ascii="Arial"/>
                <w:sz w:val="21"/>
              </w:rPr>
            </w:pPr>
          </w:p>
        </w:tc>
        <w:tc>
          <w:tcPr>
            <w:tcW w:w="5540" w:type="dxa"/>
            <w:vAlign w:val="top"/>
          </w:tcPr>
          <w:p w14:paraId="31078D43">
            <w:pPr>
              <w:snapToGrid w:val="0"/>
              <w:rPr>
                <w:rFonts w:ascii="Arial"/>
                <w:sz w:val="21"/>
              </w:rPr>
            </w:pPr>
          </w:p>
        </w:tc>
        <w:tc>
          <w:tcPr>
            <w:tcW w:w="1396" w:type="dxa"/>
            <w:vAlign w:val="top"/>
          </w:tcPr>
          <w:p w14:paraId="3B841F1C">
            <w:pPr>
              <w:snapToGrid w:val="0"/>
              <w:rPr>
                <w:rFonts w:ascii="Arial"/>
                <w:sz w:val="21"/>
              </w:rPr>
            </w:pPr>
          </w:p>
        </w:tc>
      </w:tr>
      <w:tr w14:paraId="10248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04" w:type="dxa"/>
            <w:vAlign w:val="top"/>
          </w:tcPr>
          <w:p w14:paraId="1EE0DEBD">
            <w:pPr>
              <w:pStyle w:val="12"/>
              <w:snapToGrid w:val="0"/>
              <w:spacing w:before="207" w:line="190" w:lineRule="auto"/>
              <w:ind w:left="124"/>
            </w:pPr>
            <w:r>
              <w:rPr>
                <w:spacing w:val="-1"/>
              </w:rPr>
              <w:t>Study parameters</w:t>
            </w:r>
          </w:p>
        </w:tc>
        <w:tc>
          <w:tcPr>
            <w:tcW w:w="720" w:type="dxa"/>
            <w:vAlign w:val="top"/>
          </w:tcPr>
          <w:p w14:paraId="3335D416">
            <w:pPr>
              <w:pStyle w:val="12"/>
              <w:snapToGrid w:val="0"/>
              <w:spacing w:before="247" w:line="186" w:lineRule="auto"/>
              <w:ind w:left="219"/>
            </w:pPr>
            <w:r>
              <w:rPr>
                <w:spacing w:val="-1"/>
              </w:rPr>
              <w:t>22</w:t>
            </w:r>
          </w:p>
        </w:tc>
        <w:tc>
          <w:tcPr>
            <w:tcW w:w="5540" w:type="dxa"/>
            <w:vAlign w:val="top"/>
          </w:tcPr>
          <w:p w14:paraId="53AC1234">
            <w:pPr>
              <w:pStyle w:val="12"/>
              <w:snapToGrid w:val="0"/>
              <w:spacing w:before="52" w:line="283" w:lineRule="auto"/>
              <w:ind w:left="113" w:right="476" w:hanging="2"/>
            </w:pPr>
            <w:r>
              <w:t>Report all analytic inputs (such as values, ranges, referenc</w:t>
            </w:r>
            <w:r>
              <w:rPr>
                <w:spacing w:val="-1"/>
              </w:rPr>
              <w:t>es)</w:t>
            </w:r>
            <w:r>
              <w:t xml:space="preserve"> including uncertainty or distributional assu</w:t>
            </w:r>
            <w:r>
              <w:rPr>
                <w:spacing w:val="-1"/>
              </w:rPr>
              <w:t>mptions</w:t>
            </w:r>
          </w:p>
        </w:tc>
        <w:tc>
          <w:tcPr>
            <w:tcW w:w="1396" w:type="dxa"/>
            <w:vAlign w:val="top"/>
          </w:tcPr>
          <w:p w14:paraId="0C1786FC">
            <w:pPr>
              <w:pStyle w:val="12"/>
              <w:snapToGrid w:val="0"/>
              <w:spacing w:before="250" w:line="183" w:lineRule="auto"/>
              <w:ind w:left="378"/>
            </w:pPr>
            <w:r>
              <w:rPr>
                <w:spacing w:val="-1"/>
              </w:rPr>
              <w:t>Yes</w:t>
            </w:r>
          </w:p>
        </w:tc>
      </w:tr>
      <w:tr w14:paraId="4F05E2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04" w:type="dxa"/>
            <w:vAlign w:val="top"/>
          </w:tcPr>
          <w:p w14:paraId="54D0F3A0">
            <w:pPr>
              <w:snapToGrid w:val="0"/>
              <w:spacing w:line="302" w:lineRule="auto"/>
              <w:rPr>
                <w:rFonts w:ascii="Arial"/>
                <w:sz w:val="21"/>
              </w:rPr>
            </w:pPr>
          </w:p>
          <w:p w14:paraId="5B8B9E1B">
            <w:pPr>
              <w:pStyle w:val="12"/>
              <w:snapToGrid w:val="0"/>
              <w:spacing w:before="61" w:line="190" w:lineRule="auto"/>
              <w:ind w:left="124"/>
            </w:pPr>
            <w:r>
              <w:t>Summary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-21"/>
              </w:rPr>
              <w:t xml:space="preserve"> </w:t>
            </w:r>
            <w:r>
              <w:t>main</w:t>
            </w:r>
            <w:r>
              <w:rPr>
                <w:spacing w:val="4"/>
              </w:rPr>
              <w:t xml:space="preserve"> </w:t>
            </w:r>
            <w:r>
              <w:t>results</w:t>
            </w:r>
          </w:p>
        </w:tc>
        <w:tc>
          <w:tcPr>
            <w:tcW w:w="720" w:type="dxa"/>
            <w:vAlign w:val="top"/>
          </w:tcPr>
          <w:p w14:paraId="461D7313">
            <w:pPr>
              <w:snapToGrid w:val="0"/>
              <w:spacing w:line="305" w:lineRule="auto"/>
              <w:rPr>
                <w:rFonts w:ascii="Arial"/>
                <w:sz w:val="21"/>
              </w:rPr>
            </w:pPr>
          </w:p>
          <w:p w14:paraId="3D3601BC">
            <w:pPr>
              <w:pStyle w:val="12"/>
              <w:snapToGrid w:val="0"/>
              <w:spacing w:before="60" w:line="186" w:lineRule="auto"/>
              <w:ind w:left="219"/>
            </w:pPr>
            <w:r>
              <w:rPr>
                <w:spacing w:val="-1"/>
              </w:rPr>
              <w:t>23</w:t>
            </w:r>
          </w:p>
        </w:tc>
        <w:tc>
          <w:tcPr>
            <w:tcW w:w="5540" w:type="dxa"/>
            <w:vAlign w:val="top"/>
          </w:tcPr>
          <w:p w14:paraId="4CB6D133">
            <w:pPr>
              <w:pStyle w:val="12"/>
              <w:snapToGrid w:val="0"/>
              <w:spacing w:before="50" w:line="190" w:lineRule="auto"/>
              <w:ind w:left="111"/>
            </w:pPr>
            <w:r>
              <w:t>Report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mean</w:t>
            </w:r>
            <w:r>
              <w:rPr>
                <w:spacing w:val="1"/>
              </w:rPr>
              <w:t xml:space="preserve"> </w:t>
            </w:r>
            <w:r>
              <w:t>values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main</w:t>
            </w:r>
            <w:r>
              <w:rPr>
                <w:spacing w:val="1"/>
              </w:rPr>
              <w:t xml:space="preserve"> </w:t>
            </w:r>
            <w:r>
              <w:t>categories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costs</w:t>
            </w:r>
            <w:r>
              <w:rPr>
                <w:spacing w:val="1"/>
              </w:rPr>
              <w:t xml:space="preserve"> </w:t>
            </w:r>
            <w:r>
              <w:t>and</w:t>
            </w:r>
          </w:p>
          <w:p w14:paraId="1732DBDA">
            <w:pPr>
              <w:pStyle w:val="12"/>
              <w:snapToGrid w:val="0"/>
              <w:spacing w:before="125" w:line="245" w:lineRule="auto"/>
              <w:ind w:left="115" w:right="240"/>
            </w:pPr>
            <w:r>
              <w:rPr>
                <w:spacing w:val="-1"/>
              </w:rPr>
              <w:t>outcomes of</w:t>
            </w:r>
            <w:r>
              <w:rPr>
                <w:spacing w:val="-28"/>
              </w:rPr>
              <w:t xml:space="preserve"> </w:t>
            </w:r>
            <w:r>
              <w:rPr>
                <w:spacing w:val="-1"/>
              </w:rPr>
              <w:t>interest and summarise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them in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most app</w:t>
            </w:r>
            <w:r>
              <w:rPr>
                <w:spacing w:val="-2"/>
              </w:rPr>
              <w:t>ropriate</w:t>
            </w:r>
            <w:r>
              <w:t xml:space="preserve"> </w:t>
            </w:r>
            <w:r>
              <w:rPr>
                <w:spacing w:val="-1"/>
              </w:rPr>
              <w:t>overall measure</w:t>
            </w:r>
          </w:p>
        </w:tc>
        <w:tc>
          <w:tcPr>
            <w:tcW w:w="1396" w:type="dxa"/>
            <w:vAlign w:val="top"/>
          </w:tcPr>
          <w:p w14:paraId="16F58836">
            <w:pPr>
              <w:snapToGrid w:val="0"/>
              <w:spacing w:line="308" w:lineRule="auto"/>
              <w:rPr>
                <w:rFonts w:ascii="Arial"/>
                <w:sz w:val="21"/>
              </w:rPr>
            </w:pPr>
          </w:p>
          <w:p w14:paraId="424F7CA0">
            <w:pPr>
              <w:pStyle w:val="12"/>
              <w:snapToGrid w:val="0"/>
              <w:spacing w:before="61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369263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04" w:type="dxa"/>
            <w:vAlign w:val="top"/>
          </w:tcPr>
          <w:p w14:paraId="00757000">
            <w:pPr>
              <w:snapToGrid w:val="0"/>
              <w:spacing w:line="305" w:lineRule="auto"/>
              <w:rPr>
                <w:rFonts w:ascii="Arial"/>
                <w:sz w:val="21"/>
              </w:rPr>
            </w:pPr>
          </w:p>
          <w:p w14:paraId="4381E182">
            <w:pPr>
              <w:pStyle w:val="12"/>
              <w:snapToGrid w:val="0"/>
              <w:spacing w:before="60" w:line="190" w:lineRule="auto"/>
              <w:ind w:left="115"/>
            </w:pPr>
            <w:r>
              <w:t>Effect of</w:t>
            </w:r>
            <w:r>
              <w:rPr>
                <w:spacing w:val="-5"/>
              </w:rPr>
              <w:t xml:space="preserve"> </w:t>
            </w:r>
            <w:r>
              <w:t>uncertainty</w:t>
            </w:r>
          </w:p>
        </w:tc>
        <w:tc>
          <w:tcPr>
            <w:tcW w:w="720" w:type="dxa"/>
            <w:vAlign w:val="top"/>
          </w:tcPr>
          <w:p w14:paraId="2C58A369">
            <w:pPr>
              <w:snapToGrid w:val="0"/>
              <w:spacing w:line="309" w:lineRule="auto"/>
              <w:rPr>
                <w:rFonts w:ascii="Arial"/>
                <w:sz w:val="21"/>
              </w:rPr>
            </w:pPr>
          </w:p>
          <w:p w14:paraId="15D8FB14">
            <w:pPr>
              <w:pStyle w:val="12"/>
              <w:snapToGrid w:val="0"/>
              <w:spacing w:before="60" w:line="186" w:lineRule="auto"/>
              <w:ind w:left="219"/>
            </w:pPr>
            <w:r>
              <w:rPr>
                <w:spacing w:val="-1"/>
              </w:rPr>
              <w:t>24</w:t>
            </w:r>
          </w:p>
        </w:tc>
        <w:tc>
          <w:tcPr>
            <w:tcW w:w="5540" w:type="dxa"/>
            <w:vAlign w:val="top"/>
          </w:tcPr>
          <w:p w14:paraId="12A386D7">
            <w:pPr>
              <w:pStyle w:val="12"/>
              <w:snapToGrid w:val="0"/>
              <w:spacing w:before="53" w:line="296" w:lineRule="auto"/>
              <w:ind w:left="107" w:right="387" w:firstLine="3"/>
            </w:pPr>
            <w:r>
              <w:t>Describe</w:t>
            </w:r>
            <w:r>
              <w:rPr>
                <w:spacing w:val="1"/>
              </w:rPr>
              <w:t xml:space="preserve"> </w:t>
            </w:r>
            <w:r>
              <w:t>how</w:t>
            </w:r>
            <w:r>
              <w:rPr>
                <w:spacing w:val="1"/>
              </w:rPr>
              <w:t xml:space="preserve"> </w:t>
            </w:r>
            <w:r>
              <w:t>uncertainty</w:t>
            </w:r>
            <w:r>
              <w:rPr>
                <w:spacing w:val="1"/>
              </w:rPr>
              <w:t xml:space="preserve"> </w:t>
            </w:r>
            <w:r>
              <w:t>about</w:t>
            </w:r>
            <w:r>
              <w:rPr>
                <w:spacing w:val="1"/>
              </w:rPr>
              <w:t xml:space="preserve"> </w:t>
            </w:r>
            <w:r>
              <w:t>analytic</w:t>
            </w:r>
            <w:r>
              <w:rPr>
                <w:spacing w:val="-10"/>
              </w:rPr>
              <w:t xml:space="preserve"> </w:t>
            </w:r>
            <w:r>
              <w:t>judgments</w:t>
            </w:r>
            <w:r>
              <w:rPr>
                <w:spacing w:val="1"/>
              </w:rPr>
              <w:t xml:space="preserve">, </w:t>
            </w:r>
            <w:r>
              <w:t>inputs</w:t>
            </w:r>
            <w:r>
              <w:rPr>
                <w:spacing w:val="1"/>
              </w:rPr>
              <w:t xml:space="preserve">, </w:t>
            </w:r>
            <w:r>
              <w:t>or projections</w:t>
            </w:r>
            <w:r>
              <w:rPr>
                <w:spacing w:val="4"/>
              </w:rPr>
              <w:t xml:space="preserve"> </w:t>
            </w:r>
            <w:r>
              <w:t>affect</w:t>
            </w:r>
            <w:r>
              <w:rPr>
                <w:spacing w:val="4"/>
              </w:rPr>
              <w:t xml:space="preserve"> </w:t>
            </w:r>
            <w:r>
              <w:t>findings</w:t>
            </w:r>
            <w:r>
              <w:rPr>
                <w:spacing w:val="4"/>
              </w:rPr>
              <w:t xml:space="preserve">. </w:t>
            </w:r>
            <w:r>
              <w:t>Report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effect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choice</w:t>
            </w:r>
            <w:r>
              <w:rPr>
                <w:spacing w:val="6"/>
              </w:rPr>
              <w:t xml:space="preserve"> </w:t>
            </w:r>
            <w:r>
              <w:t>of</w:t>
            </w:r>
          </w:p>
          <w:p w14:paraId="4C239BF6">
            <w:pPr>
              <w:pStyle w:val="12"/>
              <w:snapToGrid w:val="0"/>
              <w:spacing w:before="33" w:line="182" w:lineRule="auto"/>
              <w:ind w:left="115"/>
            </w:pPr>
            <w:r>
              <w:t>discount</w:t>
            </w:r>
            <w:r>
              <w:rPr>
                <w:spacing w:val="1"/>
              </w:rPr>
              <w:t xml:space="preserve"> </w:t>
            </w:r>
            <w:r>
              <w:t>rate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time</w:t>
            </w:r>
            <w:r>
              <w:rPr>
                <w:spacing w:val="1"/>
              </w:rPr>
              <w:t xml:space="preserve"> </w:t>
            </w:r>
            <w:r>
              <w:t>horizon</w:t>
            </w:r>
            <w:r>
              <w:rPr>
                <w:spacing w:val="1"/>
              </w:rPr>
              <w:t xml:space="preserve">, </w:t>
            </w:r>
            <w:r>
              <w:t>if</w:t>
            </w:r>
            <w:r>
              <w:rPr>
                <w:spacing w:val="-13"/>
              </w:rPr>
              <w:t xml:space="preserve"> </w:t>
            </w:r>
            <w:r>
              <w:t>applicable</w:t>
            </w:r>
          </w:p>
        </w:tc>
        <w:tc>
          <w:tcPr>
            <w:tcW w:w="1396" w:type="dxa"/>
            <w:vAlign w:val="top"/>
          </w:tcPr>
          <w:p w14:paraId="3CB282CF">
            <w:pPr>
              <w:snapToGrid w:val="0"/>
              <w:spacing w:line="312" w:lineRule="auto"/>
              <w:rPr>
                <w:rFonts w:ascii="Arial"/>
                <w:sz w:val="21"/>
              </w:rPr>
            </w:pPr>
          </w:p>
          <w:p w14:paraId="2823488D">
            <w:pPr>
              <w:pStyle w:val="12"/>
              <w:snapToGrid w:val="0"/>
              <w:spacing w:before="60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4103A9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04" w:type="dxa"/>
            <w:vAlign w:val="top"/>
          </w:tcPr>
          <w:p w14:paraId="3434C40E">
            <w:pPr>
              <w:pStyle w:val="12"/>
              <w:snapToGrid w:val="0"/>
              <w:spacing w:before="209" w:line="297" w:lineRule="auto"/>
              <w:ind w:left="118" w:right="173" w:hanging="3"/>
            </w:pPr>
            <w:r>
              <w:t>Effect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engagement</w:t>
            </w:r>
            <w:r>
              <w:rPr>
                <w:spacing w:val="4"/>
              </w:rPr>
              <w:t xml:space="preserve"> </w:t>
            </w:r>
            <w:r>
              <w:t>with</w:t>
            </w:r>
            <w:r>
              <w:rPr>
                <w:spacing w:val="4"/>
              </w:rPr>
              <w:t xml:space="preserve"> </w:t>
            </w:r>
            <w:r>
              <w:t xml:space="preserve">patients </w:t>
            </w:r>
            <w:r>
              <w:rPr>
                <w:spacing w:val="-1"/>
              </w:rPr>
              <w:t>and others affected by the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study</w:t>
            </w:r>
          </w:p>
        </w:tc>
        <w:tc>
          <w:tcPr>
            <w:tcW w:w="720" w:type="dxa"/>
            <w:vAlign w:val="top"/>
          </w:tcPr>
          <w:p w14:paraId="0C86C394">
            <w:pPr>
              <w:snapToGrid w:val="0"/>
              <w:spacing w:line="309" w:lineRule="auto"/>
              <w:rPr>
                <w:rFonts w:ascii="Arial"/>
                <w:sz w:val="21"/>
              </w:rPr>
            </w:pPr>
          </w:p>
          <w:p w14:paraId="2A432BBA">
            <w:pPr>
              <w:pStyle w:val="12"/>
              <w:snapToGrid w:val="0"/>
              <w:spacing w:before="61" w:line="186" w:lineRule="auto"/>
              <w:ind w:left="219"/>
            </w:pPr>
            <w:r>
              <w:rPr>
                <w:spacing w:val="-1"/>
              </w:rPr>
              <w:t>25</w:t>
            </w:r>
          </w:p>
        </w:tc>
        <w:tc>
          <w:tcPr>
            <w:tcW w:w="5540" w:type="dxa"/>
            <w:vAlign w:val="top"/>
          </w:tcPr>
          <w:p w14:paraId="7944B293">
            <w:pPr>
              <w:pStyle w:val="12"/>
              <w:snapToGrid w:val="0"/>
              <w:spacing w:before="53" w:line="297" w:lineRule="auto"/>
              <w:ind w:left="114" w:right="101" w:hanging="3"/>
            </w:pPr>
            <w:r>
              <w:t>Report on any difference patient/service recipient, general p</w:t>
            </w:r>
            <w:r>
              <w:rPr>
                <w:spacing w:val="-1"/>
              </w:rPr>
              <w:t>ublic,</w:t>
            </w:r>
            <w:r>
              <w:t xml:space="preserve"> community, or stakeholder involvement mad</w:t>
            </w:r>
            <w:r>
              <w:rPr>
                <w:spacing w:val="-1"/>
              </w:rPr>
              <w:t>e to the</w:t>
            </w:r>
          </w:p>
          <w:p w14:paraId="06880965">
            <w:pPr>
              <w:pStyle w:val="12"/>
              <w:snapToGrid w:val="0"/>
              <w:spacing w:before="32" w:line="181" w:lineRule="auto"/>
              <w:ind w:left="115"/>
            </w:pPr>
            <w:r>
              <w:t>approach</w:t>
            </w:r>
            <w:r>
              <w:rPr>
                <w:spacing w:val="12"/>
              </w:rPr>
              <w:t xml:space="preserve"> </w:t>
            </w:r>
            <w:r>
              <w:t>or</w:t>
            </w:r>
            <w:r>
              <w:rPr>
                <w:spacing w:val="12"/>
              </w:rPr>
              <w:t xml:space="preserve"> </w:t>
            </w:r>
            <w:r>
              <w:t>findings</w:t>
            </w:r>
            <w:r>
              <w:rPr>
                <w:spacing w:val="12"/>
              </w:rPr>
              <w:t xml:space="preserve"> </w:t>
            </w:r>
            <w:r>
              <w:t>ofthe</w:t>
            </w:r>
            <w:r>
              <w:rPr>
                <w:spacing w:val="9"/>
              </w:rPr>
              <w:t xml:space="preserve"> </w:t>
            </w:r>
            <w:r>
              <w:t>study</w:t>
            </w:r>
          </w:p>
        </w:tc>
        <w:tc>
          <w:tcPr>
            <w:tcW w:w="1396" w:type="dxa"/>
            <w:vAlign w:val="top"/>
          </w:tcPr>
          <w:p w14:paraId="6FD67FD4">
            <w:pPr>
              <w:pStyle w:val="12"/>
              <w:snapToGrid w:val="0"/>
              <w:spacing w:before="253" w:line="183" w:lineRule="auto"/>
              <w:ind w:left="379"/>
            </w:pPr>
            <w:r>
              <w:t>Not</w:t>
            </w:r>
          </w:p>
          <w:p w14:paraId="0B076653">
            <w:pPr>
              <w:pStyle w:val="12"/>
              <w:snapToGrid w:val="0"/>
              <w:spacing w:before="50" w:line="190" w:lineRule="auto"/>
              <w:ind w:left="115"/>
            </w:pPr>
            <w:r>
              <w:rPr>
                <w:spacing w:val="-1"/>
              </w:rPr>
              <w:t>applicable</w:t>
            </w:r>
          </w:p>
        </w:tc>
      </w:tr>
      <w:tr w14:paraId="302A50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04" w:type="dxa"/>
            <w:vAlign w:val="top"/>
          </w:tcPr>
          <w:p w14:paraId="64F8B76F">
            <w:pPr>
              <w:pStyle w:val="12"/>
              <w:snapToGrid w:val="0"/>
              <w:spacing w:before="204" w:line="187" w:lineRule="auto"/>
              <w:ind w:left="114"/>
            </w:pPr>
            <w:r>
              <w:rPr>
                <w:b/>
                <w:bCs/>
                <w:spacing w:val="-1"/>
              </w:rPr>
              <w:t>Discussion</w:t>
            </w:r>
          </w:p>
        </w:tc>
        <w:tc>
          <w:tcPr>
            <w:tcW w:w="720" w:type="dxa"/>
            <w:vAlign w:val="top"/>
          </w:tcPr>
          <w:p w14:paraId="104DAE06">
            <w:pPr>
              <w:snapToGrid w:val="0"/>
              <w:rPr>
                <w:rFonts w:ascii="Arial"/>
                <w:sz w:val="21"/>
              </w:rPr>
            </w:pPr>
          </w:p>
        </w:tc>
        <w:tc>
          <w:tcPr>
            <w:tcW w:w="5540" w:type="dxa"/>
            <w:vAlign w:val="top"/>
          </w:tcPr>
          <w:p w14:paraId="76DC938F">
            <w:pPr>
              <w:snapToGrid w:val="0"/>
              <w:rPr>
                <w:rFonts w:ascii="Arial"/>
                <w:sz w:val="21"/>
              </w:rPr>
            </w:pPr>
          </w:p>
        </w:tc>
        <w:tc>
          <w:tcPr>
            <w:tcW w:w="1396" w:type="dxa"/>
            <w:vAlign w:val="top"/>
          </w:tcPr>
          <w:p w14:paraId="12305737">
            <w:pPr>
              <w:snapToGrid w:val="0"/>
              <w:rPr>
                <w:rFonts w:ascii="Arial"/>
                <w:sz w:val="21"/>
              </w:rPr>
            </w:pPr>
          </w:p>
        </w:tc>
      </w:tr>
      <w:tr w14:paraId="02C24B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04" w:type="dxa"/>
            <w:vAlign w:val="top"/>
          </w:tcPr>
          <w:p w14:paraId="1EFE6038">
            <w:pPr>
              <w:pStyle w:val="12"/>
              <w:snapToGrid w:val="0"/>
              <w:spacing w:before="56" w:line="268" w:lineRule="auto"/>
              <w:ind w:left="113" w:right="181" w:firstLine="11"/>
              <w:jc w:val="both"/>
            </w:pPr>
            <w:r>
              <w:rPr>
                <w:spacing w:val="-2"/>
              </w:rPr>
              <w:t>Study</w:t>
            </w:r>
            <w:r>
              <w:rPr>
                <w:spacing w:val="5"/>
              </w:rPr>
              <w:t xml:space="preserve">       </w:t>
            </w:r>
            <w:r>
              <w:rPr>
                <w:spacing w:val="-2"/>
              </w:rPr>
              <w:t>findings,</w:t>
            </w:r>
            <w:r>
              <w:rPr>
                <w:spacing w:val="2"/>
              </w:rPr>
              <w:t xml:space="preserve">       </w:t>
            </w:r>
            <w:r>
              <w:rPr>
                <w:spacing w:val="-2"/>
              </w:rPr>
              <w:t>limitations,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generalisability,</w:t>
            </w:r>
            <w:r>
              <w:rPr>
                <w:spacing w:val="8"/>
              </w:rPr>
              <w:t xml:space="preserve">      </w:t>
            </w:r>
            <w:r>
              <w:rPr>
                <w:spacing w:val="-2"/>
              </w:rPr>
              <w:t>and</w:t>
            </w:r>
            <w:r>
              <w:rPr>
                <w:spacing w:val="7"/>
              </w:rPr>
              <w:t xml:space="preserve">      </w:t>
            </w:r>
            <w:r>
              <w:rPr>
                <w:spacing w:val="-2"/>
              </w:rPr>
              <w:t>current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knowledge</w:t>
            </w:r>
          </w:p>
        </w:tc>
        <w:tc>
          <w:tcPr>
            <w:tcW w:w="720" w:type="dxa"/>
            <w:vAlign w:val="top"/>
          </w:tcPr>
          <w:p w14:paraId="19A06A69">
            <w:pPr>
              <w:snapToGrid w:val="0"/>
              <w:spacing w:line="310" w:lineRule="auto"/>
              <w:rPr>
                <w:rFonts w:ascii="Arial"/>
                <w:sz w:val="21"/>
              </w:rPr>
            </w:pPr>
          </w:p>
          <w:p w14:paraId="2D2999C7">
            <w:pPr>
              <w:pStyle w:val="12"/>
              <w:snapToGrid w:val="0"/>
              <w:spacing w:before="61" w:line="186" w:lineRule="auto"/>
              <w:ind w:left="219"/>
            </w:pPr>
            <w:r>
              <w:rPr>
                <w:spacing w:val="-1"/>
              </w:rPr>
              <w:t>26</w:t>
            </w:r>
          </w:p>
        </w:tc>
        <w:tc>
          <w:tcPr>
            <w:tcW w:w="5540" w:type="dxa"/>
            <w:vAlign w:val="top"/>
          </w:tcPr>
          <w:p w14:paraId="28DCAA60">
            <w:pPr>
              <w:pStyle w:val="12"/>
              <w:snapToGrid w:val="0"/>
              <w:spacing w:before="55" w:line="296" w:lineRule="auto"/>
              <w:ind w:left="109" w:right="203" w:firstLine="2"/>
            </w:pPr>
            <w:r>
              <w:t>Report key findings, limitations, ethical or equity considerat</w:t>
            </w:r>
            <w:r>
              <w:rPr>
                <w:spacing w:val="-1"/>
              </w:rPr>
              <w:t>ions</w:t>
            </w:r>
            <w:r>
              <w:t xml:space="preserve"> not captured, and how these could affect patients, policy, or</w:t>
            </w:r>
          </w:p>
          <w:p w14:paraId="307BEB75">
            <w:pPr>
              <w:pStyle w:val="12"/>
              <w:snapToGrid w:val="0"/>
              <w:spacing w:before="33" w:line="180" w:lineRule="auto"/>
              <w:ind w:left="107"/>
            </w:pPr>
            <w:r>
              <w:t>practice</w:t>
            </w:r>
          </w:p>
        </w:tc>
        <w:tc>
          <w:tcPr>
            <w:tcW w:w="1396" w:type="dxa"/>
            <w:vAlign w:val="top"/>
          </w:tcPr>
          <w:p w14:paraId="76593166">
            <w:pPr>
              <w:snapToGrid w:val="0"/>
              <w:spacing w:line="313" w:lineRule="auto"/>
              <w:rPr>
                <w:rFonts w:ascii="Arial"/>
                <w:sz w:val="21"/>
              </w:rPr>
            </w:pPr>
          </w:p>
          <w:p w14:paraId="45F95DBE">
            <w:pPr>
              <w:pStyle w:val="12"/>
              <w:snapToGrid w:val="0"/>
              <w:spacing w:before="61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  <w:tr w14:paraId="5EF398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04" w:type="dxa"/>
            <w:vAlign w:val="top"/>
          </w:tcPr>
          <w:p w14:paraId="2D5F0F2C">
            <w:pPr>
              <w:pStyle w:val="12"/>
              <w:snapToGrid w:val="0"/>
              <w:spacing w:before="54" w:line="282" w:lineRule="auto"/>
              <w:ind w:left="118" w:right="225"/>
            </w:pPr>
            <w:r>
              <w:rPr>
                <w:spacing w:val="-1"/>
              </w:rPr>
              <w:t>Other relevant information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Source</w:t>
            </w:r>
            <w:r>
              <w:t xml:space="preserve"> of</w:t>
            </w:r>
            <w:r>
              <w:rPr>
                <w:spacing w:val="-8"/>
              </w:rPr>
              <w:t xml:space="preserve"> </w:t>
            </w:r>
            <w:r>
              <w:t>funding</w:t>
            </w:r>
          </w:p>
        </w:tc>
        <w:tc>
          <w:tcPr>
            <w:tcW w:w="720" w:type="dxa"/>
            <w:vAlign w:val="top"/>
          </w:tcPr>
          <w:p w14:paraId="23F6BFE9">
            <w:pPr>
              <w:pStyle w:val="12"/>
              <w:snapToGrid w:val="0"/>
              <w:spacing w:before="251" w:line="186" w:lineRule="auto"/>
              <w:ind w:left="219"/>
            </w:pPr>
            <w:r>
              <w:rPr>
                <w:spacing w:val="-1"/>
              </w:rPr>
              <w:t>27</w:t>
            </w:r>
          </w:p>
        </w:tc>
        <w:tc>
          <w:tcPr>
            <w:tcW w:w="5540" w:type="dxa"/>
            <w:vAlign w:val="top"/>
          </w:tcPr>
          <w:p w14:paraId="66711C28">
            <w:pPr>
              <w:pStyle w:val="12"/>
              <w:snapToGrid w:val="0"/>
              <w:spacing w:before="54" w:line="282" w:lineRule="auto"/>
              <w:ind w:left="110" w:right="241" w:firstLine="1"/>
            </w:pPr>
            <w:r>
              <w:rPr>
                <w:spacing w:val="-1"/>
              </w:rPr>
              <w:t>Describe how the study was funded and any role of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the funder in</w:t>
            </w:r>
            <w:r>
              <w:t xml:space="preserve"> the</w:t>
            </w:r>
            <w:r>
              <w:rPr>
                <w:spacing w:val="1"/>
              </w:rPr>
              <w:t xml:space="preserve"> </w:t>
            </w:r>
            <w:r>
              <w:t>identification</w:t>
            </w:r>
            <w:r>
              <w:rPr>
                <w:spacing w:val="1"/>
              </w:rPr>
              <w:t xml:space="preserve">, </w:t>
            </w:r>
            <w:r>
              <w:t>design</w:t>
            </w:r>
            <w:r>
              <w:rPr>
                <w:spacing w:val="1"/>
              </w:rPr>
              <w:t xml:space="preserve">, </w:t>
            </w:r>
            <w:r>
              <w:t>conduct</w:t>
            </w:r>
            <w:r>
              <w:rPr>
                <w:spacing w:val="1"/>
              </w:rPr>
              <w:t xml:space="preserve">,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reporting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1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analysis</w:t>
            </w:r>
          </w:p>
        </w:tc>
        <w:tc>
          <w:tcPr>
            <w:tcW w:w="1396" w:type="dxa"/>
            <w:vAlign w:val="top"/>
          </w:tcPr>
          <w:p w14:paraId="5E13C37F">
            <w:pPr>
              <w:pStyle w:val="12"/>
              <w:snapToGrid w:val="0"/>
              <w:spacing w:before="254" w:line="183" w:lineRule="auto"/>
              <w:ind w:left="378"/>
            </w:pPr>
            <w:r>
              <w:rPr>
                <w:spacing w:val="-1"/>
              </w:rPr>
              <w:t>Yes</w:t>
            </w:r>
          </w:p>
        </w:tc>
      </w:tr>
      <w:tr w14:paraId="450F15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04" w:type="dxa"/>
            <w:vAlign w:val="top"/>
          </w:tcPr>
          <w:p w14:paraId="22E9C34D">
            <w:pPr>
              <w:snapToGrid w:val="0"/>
              <w:spacing w:line="306" w:lineRule="auto"/>
              <w:rPr>
                <w:rFonts w:ascii="Arial"/>
                <w:sz w:val="21"/>
              </w:rPr>
            </w:pPr>
          </w:p>
          <w:p w14:paraId="0ACD7366">
            <w:pPr>
              <w:pStyle w:val="12"/>
              <w:snapToGrid w:val="0"/>
              <w:spacing w:before="60" w:line="190" w:lineRule="auto"/>
              <w:ind w:left="118"/>
            </w:pPr>
            <w:r>
              <w:t>Conflicts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-17"/>
              </w:rPr>
              <w:t xml:space="preserve"> </w:t>
            </w:r>
            <w:r>
              <w:t>interest</w:t>
            </w:r>
          </w:p>
        </w:tc>
        <w:tc>
          <w:tcPr>
            <w:tcW w:w="720" w:type="dxa"/>
            <w:vAlign w:val="top"/>
          </w:tcPr>
          <w:p w14:paraId="71DEA142">
            <w:pPr>
              <w:snapToGrid w:val="0"/>
              <w:spacing w:line="309" w:lineRule="auto"/>
              <w:rPr>
                <w:rFonts w:ascii="Arial"/>
                <w:sz w:val="21"/>
              </w:rPr>
            </w:pPr>
          </w:p>
          <w:p w14:paraId="48B2C10B">
            <w:pPr>
              <w:pStyle w:val="12"/>
              <w:snapToGrid w:val="0"/>
              <w:spacing w:before="60" w:line="186" w:lineRule="auto"/>
              <w:ind w:left="219"/>
            </w:pPr>
            <w:r>
              <w:rPr>
                <w:spacing w:val="-1"/>
              </w:rPr>
              <w:t>28</w:t>
            </w:r>
          </w:p>
        </w:tc>
        <w:tc>
          <w:tcPr>
            <w:tcW w:w="5540" w:type="dxa"/>
            <w:vAlign w:val="top"/>
          </w:tcPr>
          <w:p w14:paraId="17DF8807">
            <w:pPr>
              <w:pStyle w:val="12"/>
              <w:snapToGrid w:val="0"/>
              <w:spacing w:before="54" w:line="190" w:lineRule="auto"/>
              <w:ind w:left="111"/>
            </w:pPr>
            <w:r>
              <w:t>Report</w:t>
            </w:r>
            <w:r>
              <w:rPr>
                <w:spacing w:val="4"/>
              </w:rPr>
              <w:t xml:space="preserve"> </w:t>
            </w:r>
            <w:r>
              <w:t>authors</w:t>
            </w:r>
            <w:r>
              <w:rPr>
                <w:spacing w:val="4"/>
              </w:rPr>
              <w:t xml:space="preserve"> </w:t>
            </w:r>
            <w:r>
              <w:t>conflicts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interest</w:t>
            </w:r>
            <w:r>
              <w:rPr>
                <w:spacing w:val="4"/>
              </w:rPr>
              <w:t xml:space="preserve"> </w:t>
            </w:r>
            <w:r>
              <w:t>according</w:t>
            </w:r>
            <w:r>
              <w:rPr>
                <w:spacing w:val="4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journal</w:t>
            </w:r>
            <w:r>
              <w:rPr>
                <w:spacing w:val="4"/>
              </w:rPr>
              <w:t xml:space="preserve"> </w:t>
            </w:r>
            <w:r>
              <w:t>or</w:t>
            </w:r>
          </w:p>
          <w:p w14:paraId="174D6A57">
            <w:pPr>
              <w:pStyle w:val="12"/>
              <w:snapToGrid w:val="0"/>
              <w:spacing w:before="125" w:line="246" w:lineRule="auto"/>
              <w:ind w:left="109" w:right="246" w:firstLine="3"/>
            </w:pPr>
            <w:r>
              <w:t>International     Committee     of    Medical     Journal     Editors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requirements</w:t>
            </w:r>
          </w:p>
        </w:tc>
        <w:tc>
          <w:tcPr>
            <w:tcW w:w="1396" w:type="dxa"/>
            <w:vAlign w:val="top"/>
          </w:tcPr>
          <w:p w14:paraId="735D2CA8">
            <w:pPr>
              <w:snapToGrid w:val="0"/>
              <w:spacing w:line="312" w:lineRule="auto"/>
              <w:rPr>
                <w:rFonts w:ascii="Arial"/>
                <w:sz w:val="21"/>
              </w:rPr>
            </w:pPr>
          </w:p>
          <w:p w14:paraId="2EF3E006">
            <w:pPr>
              <w:pStyle w:val="12"/>
              <w:snapToGrid w:val="0"/>
              <w:spacing w:before="60" w:line="183" w:lineRule="auto"/>
              <w:ind w:left="377"/>
            </w:pPr>
            <w:r>
              <w:rPr>
                <w:spacing w:val="-1"/>
              </w:rPr>
              <w:t>Yes</w:t>
            </w:r>
          </w:p>
        </w:tc>
      </w:tr>
    </w:tbl>
    <w:p w14:paraId="08A27CD6"/>
    <w:p w14:paraId="0FB07CEB"/>
    <w:p w14:paraId="70F90383">
      <w:pPr>
        <w:rPr>
          <w:rFonts w:ascii="Times New Roman" w:hAnsi="Times New Roman" w:cs="Times New Roman"/>
          <w:b/>
          <w:szCs w:val="21"/>
        </w:rPr>
      </w:pPr>
    </w:p>
    <w:p w14:paraId="4CF45454">
      <w:pPr>
        <w:rPr>
          <w:rFonts w:hint="eastAsia" w:ascii="Times New Roman" w:hAnsi="Times New Roman" w:cs="Times New Roman" w:eastAsiaTheme="minorEastAsia"/>
          <w:b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szCs w:val="21"/>
          <w:lang w:eastAsia="zh-CN"/>
        </w:rPr>
        <w:drawing>
          <wp:inline distT="0" distB="0" distL="114300" distR="114300">
            <wp:extent cx="5252720" cy="3017520"/>
            <wp:effectExtent l="0" t="0" r="5080" b="11430"/>
            <wp:docPr id="1" name="图片 1" descr="Supplementary Figures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s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D2A58">
      <w:pPr>
        <w:rPr>
          <w:rFonts w:ascii="Times New Roman" w:hAnsi="Times New Roman" w:cs="Times New Roman"/>
          <w:b/>
          <w:szCs w:val="21"/>
        </w:rPr>
      </w:pPr>
    </w:p>
    <w:p w14:paraId="587E7B9D">
      <w:pPr>
        <w:rPr>
          <w:rFonts w:ascii="Times New Roman" w:hAnsi="Times New Roman" w:cs="Times New Roman"/>
          <w:b w:val="0"/>
          <w:bCs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Supplementary Figure 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 xml:space="preserve">1 The survival curve simulation results </w:t>
      </w:r>
      <w:r>
        <w:rPr>
          <w:rFonts w:ascii="Times New Roman" w:hAnsi="Times New Roman" w:cs="Times New Roman"/>
          <w:b/>
          <w:sz w:val="21"/>
          <w:szCs w:val="21"/>
        </w:rPr>
        <w:t>.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>(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A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>) Simulate overall survival curve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;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>(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B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>)Kaplan–Meier curve of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 xml:space="preserve"> the overall survival from the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Phase 3 HEPATORCH clinical trial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;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>(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C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>)Simulate progression-free survival curve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;(D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 xml:space="preserve">)Kaplan-Meier curve of progression-free survival from the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Phase 3 HEPATORCH clinical trial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 xml:space="preserve"> </w:t>
      </w:r>
    </w:p>
    <w:p w14:paraId="0F5B9BDA">
      <w:pPr>
        <w:rPr>
          <w:rFonts w:ascii="Times New Roman" w:hAnsi="Times New Roman" w:cs="Times New Roman"/>
          <w:b w:val="0"/>
          <w:bCs/>
          <w:sz w:val="21"/>
          <w:szCs w:val="21"/>
        </w:rPr>
      </w:pPr>
    </w:p>
    <w:p w14:paraId="315D60D0">
      <w:pPr>
        <w:rPr>
          <w:rFonts w:ascii="Times New Roman" w:hAnsi="Times New Roman" w:cs="Times New Roman"/>
          <w:b w:val="0"/>
          <w:bCs/>
          <w:sz w:val="21"/>
          <w:szCs w:val="21"/>
        </w:rPr>
      </w:pPr>
    </w:p>
    <w:p w14:paraId="09480ECB">
      <w:pPr>
        <w:rPr>
          <w:rFonts w:ascii="Times New Roman" w:hAnsi="Times New Roman" w:cs="Times New Roman"/>
          <w:b w:val="0"/>
          <w:bCs/>
          <w:sz w:val="21"/>
          <w:szCs w:val="21"/>
        </w:rPr>
      </w:pPr>
    </w:p>
    <w:p w14:paraId="2CA416F7">
      <w:pP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eastAsia="zh-CN"/>
        </w:rPr>
        <w:drawing>
          <wp:inline distT="0" distB="0" distL="114300" distR="114300">
            <wp:extent cx="5273040" cy="3295650"/>
            <wp:effectExtent l="0" t="0" r="3810" b="0"/>
            <wp:docPr id="2" name="图片 2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0C781">
      <w:pPr>
        <w:rPr>
          <w:rFonts w:hint="eastAsia"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Supplementary Figure 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>2</w:t>
      </w:r>
      <w:r>
        <w:rPr>
          <w:rFonts w:ascii="Times New Roman" w:hAnsi="Times New Roman" w:cs="Times New Roman"/>
          <w:b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A</w:t>
      </w:r>
      <w:r>
        <w:rPr>
          <w:rFonts w:ascii="Times New Roman" w:hAnsi="Times New Roman"/>
          <w:sz w:val="21"/>
          <w:szCs w:val="21"/>
        </w:rPr>
        <w:t>:Modes simulation visual progression-free survival curve of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  toripalimab plus bevacizumab group</w:t>
      </w:r>
      <w:r>
        <w:rPr>
          <w:rFonts w:ascii="Times New Roman" w:hAnsi="Times New Roman"/>
          <w:sz w:val="21"/>
          <w:szCs w:val="21"/>
        </w:rPr>
        <w:t>;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B</w:t>
      </w:r>
      <w:r>
        <w:rPr>
          <w:rFonts w:ascii="Times New Roman" w:hAnsi="Times New Roman"/>
          <w:sz w:val="21"/>
          <w:szCs w:val="21"/>
        </w:rPr>
        <w:t xml:space="preserve">:Modes simulation visual progression-free survival curve of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/>
          <w:sz w:val="21"/>
          <w:szCs w:val="21"/>
        </w:rPr>
        <w:t>orafenib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/>
          <w:sz w:val="21"/>
          <w:szCs w:val="21"/>
        </w:rPr>
        <w:t>group</w:t>
      </w:r>
      <w:r>
        <w:rPr>
          <w:rFonts w:ascii="Times New Roman" w:hAnsi="Times New Roman"/>
          <w:sz w:val="21"/>
          <w:szCs w:val="21"/>
        </w:rPr>
        <w:t>;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C</w:t>
      </w:r>
      <w:r>
        <w:rPr>
          <w:rFonts w:ascii="Times New Roman" w:hAnsi="Times New Roman"/>
          <w:sz w:val="21"/>
          <w:szCs w:val="21"/>
        </w:rPr>
        <w:t xml:space="preserve">:Modes simulation visual overall survival curve of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toripalimab plus bevacizumab group</w:t>
      </w:r>
      <w:r>
        <w:rPr>
          <w:rFonts w:ascii="Times New Roman" w:hAnsi="Times New Roman"/>
          <w:sz w:val="21"/>
          <w:szCs w:val="21"/>
        </w:rPr>
        <w:t>;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D</w:t>
      </w:r>
      <w:r>
        <w:rPr>
          <w:rFonts w:ascii="Times New Roman" w:hAnsi="Times New Roman"/>
          <w:sz w:val="21"/>
          <w:szCs w:val="21"/>
        </w:rPr>
        <w:t xml:space="preserve">: Modes simulation visual overall survival curve of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/>
          <w:sz w:val="21"/>
          <w:szCs w:val="21"/>
        </w:rPr>
        <w:t>orafenib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/>
          <w:sz w:val="21"/>
          <w:szCs w:val="21"/>
        </w:rPr>
        <w:t>group</w:t>
      </w:r>
    </w:p>
    <w:p w14:paraId="1B956784">
      <w:pPr>
        <w:rPr>
          <w:rFonts w:hint="eastAsia" w:ascii="Times New Roman" w:hAnsi="Times New Roman"/>
          <w:sz w:val="21"/>
          <w:szCs w:val="21"/>
        </w:rPr>
      </w:pPr>
    </w:p>
    <w:p w14:paraId="22115978">
      <w:pPr>
        <w:rPr>
          <w:rFonts w:hint="eastAsia" w:ascii="Times New Roman" w:hAnsi="Times New Roman"/>
          <w:sz w:val="21"/>
          <w:szCs w:val="21"/>
        </w:rPr>
      </w:pPr>
    </w:p>
    <w:p w14:paraId="366D624B">
      <w:pPr>
        <w:rPr>
          <w:rFonts w:hint="eastAsia" w:ascii="Times New Roman" w:hAnsi="Times New Roman"/>
          <w:sz w:val="21"/>
          <w:szCs w:val="21"/>
        </w:rPr>
      </w:pPr>
    </w:p>
    <w:p w14:paraId="607DD5F4">
      <w:pPr>
        <w:rPr>
          <w:rFonts w:hint="eastAsia" w:ascii="Times New Roman" w:hAnsi="Times New Roman"/>
          <w:sz w:val="21"/>
          <w:szCs w:val="21"/>
        </w:rPr>
      </w:pPr>
    </w:p>
    <w:p w14:paraId="3D2F007B">
      <w:pPr>
        <w:rPr>
          <w:rFonts w:hint="eastAsia" w:ascii="Times New Roman" w:hAnsi="Times New Roman" w:eastAsiaTheme="minorEastAsia"/>
          <w:sz w:val="21"/>
          <w:szCs w:val="21"/>
          <w:lang w:eastAsia="zh-CN"/>
        </w:rPr>
      </w:pPr>
      <w:r>
        <w:rPr>
          <w:rFonts w:hint="eastAsia" w:ascii="Times New Roman" w:hAnsi="Times New Roman" w:eastAsiaTheme="minorEastAsia"/>
          <w:sz w:val="21"/>
          <w:szCs w:val="21"/>
          <w:lang w:eastAsia="zh-CN"/>
        </w:rPr>
        <w:drawing>
          <wp:inline distT="0" distB="0" distL="114300" distR="114300">
            <wp:extent cx="5273040" cy="3334385"/>
            <wp:effectExtent l="0" t="0" r="3810" b="18415"/>
            <wp:docPr id="3" name="图片 3" descr="OS-log-cumulative hazard plo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OS-log-cumulative hazard plot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1E84C">
      <w:pPr>
        <w:rPr>
          <w:rFonts w:hint="eastAsia" w:ascii="Times New Roman" w:hAnsi="Times New Roman" w:eastAsiaTheme="minorEastAsia"/>
          <w:sz w:val="21"/>
          <w:szCs w:val="21"/>
          <w:lang w:eastAsia="zh-CN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Supplementary Figure 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 w:eastAsiaTheme="minorEastAsia"/>
          <w:sz w:val="21"/>
          <w:szCs w:val="21"/>
          <w:lang w:eastAsia="zh-CN"/>
        </w:rPr>
        <w:t>. Log-cumulative hazard plot for overall survival (OS) endpoint</w:t>
      </w:r>
    </w:p>
    <w:p w14:paraId="7C72169E">
      <w:pPr>
        <w:rPr>
          <w:rFonts w:hint="eastAsia" w:ascii="Times New Roman" w:hAnsi="Times New Roman" w:eastAsiaTheme="minorEastAsia"/>
          <w:sz w:val="21"/>
          <w:szCs w:val="21"/>
          <w:lang w:eastAsia="zh-CN"/>
        </w:rPr>
      </w:pPr>
      <w:r>
        <w:rPr>
          <w:rFonts w:hint="eastAsia" w:ascii="Times New Roman" w:hAnsi="Times New Roman" w:eastAsiaTheme="minorEastAsia"/>
          <w:sz w:val="21"/>
          <w:szCs w:val="21"/>
          <w:lang w:eastAsia="zh-CN"/>
        </w:rPr>
        <w:t>The x-axis represents the natural logarithm of survival time (months), and the y-axis represents the log-cumulative hazard transformed as ln(-ln(Survival Probability)). The red curve represents the toripalimab plus bevacizumab group, and the black curve represents the sorafenib group. The dashed vertical line indicates the 8-month time point, where the two curves crossed.</w:t>
      </w:r>
    </w:p>
    <w:p w14:paraId="55182400">
      <w:pPr>
        <w:rPr>
          <w:rFonts w:hint="eastAsia" w:ascii="Times New Roman" w:hAnsi="Times New Roman" w:eastAsiaTheme="minorEastAsia"/>
          <w:sz w:val="21"/>
          <w:szCs w:val="21"/>
          <w:lang w:eastAsia="zh-CN"/>
        </w:rPr>
      </w:pPr>
      <w:bookmarkStart w:id="0" w:name="_GoBack"/>
      <w:bookmarkEnd w:id="0"/>
    </w:p>
    <w:sectPr>
      <w:pgSz w:w="11906" w:h="16838"/>
      <w:pgMar w:top="873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KY_MEDREF_DOCUID" w:val="{C4A3CB85-934D-4288-890E-6A9E15380DEC}"/>
    <w:docVar w:name="KY_MEDREF_VERSION" w:val="3"/>
  </w:docVars>
  <w:rsids>
    <w:rsidRoot w:val="0016788A"/>
    <w:rsid w:val="00040888"/>
    <w:rsid w:val="00102AC3"/>
    <w:rsid w:val="001401CD"/>
    <w:rsid w:val="0016788A"/>
    <w:rsid w:val="0019244D"/>
    <w:rsid w:val="001A6D23"/>
    <w:rsid w:val="001A72CC"/>
    <w:rsid w:val="001C5068"/>
    <w:rsid w:val="00215BB7"/>
    <w:rsid w:val="0023316F"/>
    <w:rsid w:val="0024616F"/>
    <w:rsid w:val="0034129E"/>
    <w:rsid w:val="0034195A"/>
    <w:rsid w:val="0034336A"/>
    <w:rsid w:val="003C4FDE"/>
    <w:rsid w:val="00420A4C"/>
    <w:rsid w:val="00465195"/>
    <w:rsid w:val="004832BF"/>
    <w:rsid w:val="00535F7E"/>
    <w:rsid w:val="005374BD"/>
    <w:rsid w:val="005C4C60"/>
    <w:rsid w:val="005E5B3A"/>
    <w:rsid w:val="005E65FB"/>
    <w:rsid w:val="00624AEA"/>
    <w:rsid w:val="0065236E"/>
    <w:rsid w:val="00656632"/>
    <w:rsid w:val="006715BF"/>
    <w:rsid w:val="00694C78"/>
    <w:rsid w:val="006C2CF3"/>
    <w:rsid w:val="006E4D23"/>
    <w:rsid w:val="00705536"/>
    <w:rsid w:val="00720E6E"/>
    <w:rsid w:val="0076201C"/>
    <w:rsid w:val="00764743"/>
    <w:rsid w:val="00776DB4"/>
    <w:rsid w:val="007C4684"/>
    <w:rsid w:val="007C6D46"/>
    <w:rsid w:val="007D6755"/>
    <w:rsid w:val="00846A98"/>
    <w:rsid w:val="00893EB2"/>
    <w:rsid w:val="009073C3"/>
    <w:rsid w:val="009245DA"/>
    <w:rsid w:val="009319F2"/>
    <w:rsid w:val="00972BD7"/>
    <w:rsid w:val="009B3968"/>
    <w:rsid w:val="009B5CEB"/>
    <w:rsid w:val="009C0C77"/>
    <w:rsid w:val="00A75408"/>
    <w:rsid w:val="00A969EB"/>
    <w:rsid w:val="00A971A5"/>
    <w:rsid w:val="00AD05B0"/>
    <w:rsid w:val="00B0423D"/>
    <w:rsid w:val="00B07EE5"/>
    <w:rsid w:val="00B26207"/>
    <w:rsid w:val="00B32095"/>
    <w:rsid w:val="00B517A5"/>
    <w:rsid w:val="00B54A41"/>
    <w:rsid w:val="00B77CC6"/>
    <w:rsid w:val="00C710DC"/>
    <w:rsid w:val="00C80F49"/>
    <w:rsid w:val="00CD20D1"/>
    <w:rsid w:val="00D21E12"/>
    <w:rsid w:val="00D74CB0"/>
    <w:rsid w:val="00DB298C"/>
    <w:rsid w:val="00DE7054"/>
    <w:rsid w:val="00E016BD"/>
    <w:rsid w:val="00E33D4D"/>
    <w:rsid w:val="00E94D2F"/>
    <w:rsid w:val="00EB6F42"/>
    <w:rsid w:val="00ED24EA"/>
    <w:rsid w:val="00F06B4D"/>
    <w:rsid w:val="00F24461"/>
    <w:rsid w:val="00F27CFC"/>
    <w:rsid w:val="00F35476"/>
    <w:rsid w:val="00F61ADF"/>
    <w:rsid w:val="00F7020C"/>
    <w:rsid w:val="00F822CD"/>
    <w:rsid w:val="00FA1C9C"/>
    <w:rsid w:val="00FC6C40"/>
    <w:rsid w:val="039E1084"/>
    <w:rsid w:val="0CA352C8"/>
    <w:rsid w:val="0F8D250A"/>
    <w:rsid w:val="19201E00"/>
    <w:rsid w:val="1E93621A"/>
    <w:rsid w:val="2CEA3B3F"/>
    <w:rsid w:val="2DC13803"/>
    <w:rsid w:val="311E13E8"/>
    <w:rsid w:val="38C41645"/>
    <w:rsid w:val="39F71049"/>
    <w:rsid w:val="49424E5C"/>
    <w:rsid w:val="4B1367B9"/>
    <w:rsid w:val="52CF67FD"/>
    <w:rsid w:val="55EF10F8"/>
    <w:rsid w:val="62122418"/>
    <w:rsid w:val="63076D84"/>
    <w:rsid w:val="645F61CA"/>
    <w:rsid w:val="721A7AF3"/>
    <w:rsid w:val="737575E5"/>
    <w:rsid w:val="75234C96"/>
    <w:rsid w:val="774B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0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HTML 预设格式 Char"/>
    <w:basedOn w:val="7"/>
    <w:link w:val="5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2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5</Pages>
  <Words>780</Words>
  <Characters>4776</Characters>
  <Lines>6</Lines>
  <Paragraphs>1</Paragraphs>
  <TotalTime>2</TotalTime>
  <ScaleCrop>false</ScaleCrop>
  <LinksUpToDate>false</LinksUpToDate>
  <CharactersWithSpaces>5416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2023-05-11T07:20:00Z</dcterms:created>
  <dc:creator>Lenovo</dc:creator>
  <cp:lastModifiedBy>郑志伟</cp:lastModifiedBy>
  <dcterms:modified xsi:type="dcterms:W3CDTF">2026-04-16T03:06:50Z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87D9561C17D1491BB37ABEFB83C38D51_12</vt:lpwstr>
  </property>
  <property fmtid="{D5CDD505-2E9C-101B-9397-08002B2CF9AE}" pid="4" name="KSOTemplateDocerSaveRecord">
    <vt:lpwstr>eyJoZGlkIjoiN2RkODE4YTk5MjQ1ZGVmYTU4ZTVmYmM4MTVlMDU1NzgiLCJ1c2VySWQiOiIxNzY1NDAxMTkyIn0=</vt:lpwstr>
  </property>
</Properties>
</file>