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E747D" w14:textId="77777777" w:rsidR="00A77D9C" w:rsidRDefault="00B24795">
      <w:pPr>
        <w:jc w:val="center"/>
        <w:rPr>
          <w:rFonts w:ascii="Times New Roman" w:hAnsi="Times New Roman" w:cs="Times New Roman"/>
          <w:b/>
          <w:bCs/>
          <w:color w:val="0000FF"/>
          <w:sz w:val="24"/>
        </w:rPr>
      </w:pPr>
      <w:bookmarkStart w:id="0" w:name="_GoBack"/>
      <w:r>
        <w:rPr>
          <w:rFonts w:ascii="Times New Roman" w:hAnsi="Times New Roman" w:cs="Times New Roman" w:hint="eastAsia"/>
          <w:b/>
          <w:bCs/>
          <w:color w:val="0000FF"/>
          <w:sz w:val="24"/>
        </w:rPr>
        <w:t>Supplemental Table 1 Association of nighttime light pollution with outcomes of HCC and HE assessed by multivariable Cox regression</w:t>
      </w:r>
    </w:p>
    <w:tbl>
      <w:tblPr>
        <w:tblStyle w:val="TableGrid"/>
        <w:tblW w:w="13914" w:type="dxa"/>
        <w:jc w:val="center"/>
        <w:tblLook w:val="04A0" w:firstRow="1" w:lastRow="0" w:firstColumn="1" w:lastColumn="0" w:noHBand="0" w:noVBand="1"/>
      </w:tblPr>
      <w:tblGrid>
        <w:gridCol w:w="6891"/>
        <w:gridCol w:w="1833"/>
        <w:gridCol w:w="3357"/>
        <w:gridCol w:w="1833"/>
      </w:tblGrid>
      <w:tr w:rsidR="00A77D9C" w14:paraId="35F65AAF" w14:textId="77777777">
        <w:trPr>
          <w:jc w:val="center"/>
        </w:trPr>
        <w:tc>
          <w:tcPr>
            <w:tcW w:w="6891" w:type="dxa"/>
          </w:tcPr>
          <w:p w14:paraId="09A08386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Variable</w:t>
            </w:r>
          </w:p>
        </w:tc>
        <w:tc>
          <w:tcPr>
            <w:tcW w:w="1833" w:type="dxa"/>
          </w:tcPr>
          <w:p w14:paraId="62244EE8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HR</w:t>
            </w:r>
          </w:p>
        </w:tc>
        <w:tc>
          <w:tcPr>
            <w:tcW w:w="3357" w:type="dxa"/>
          </w:tcPr>
          <w:p w14:paraId="0E97A5F4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95%CI</w:t>
            </w:r>
          </w:p>
        </w:tc>
        <w:tc>
          <w:tcPr>
            <w:tcW w:w="1833" w:type="dxa"/>
          </w:tcPr>
          <w:p w14:paraId="372FD4A1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P value</w:t>
            </w:r>
          </w:p>
        </w:tc>
      </w:tr>
      <w:tr w:rsidR="00A77D9C" w14:paraId="094E2DC1" w14:textId="77777777">
        <w:trPr>
          <w:jc w:val="center"/>
        </w:trPr>
        <w:tc>
          <w:tcPr>
            <w:tcW w:w="6891" w:type="dxa"/>
          </w:tcPr>
          <w:p w14:paraId="019B745A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 xml:space="preserve">HE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outcomes</w:t>
            </w:r>
          </w:p>
        </w:tc>
        <w:tc>
          <w:tcPr>
            <w:tcW w:w="1833" w:type="dxa"/>
          </w:tcPr>
          <w:p w14:paraId="203CCEC6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6F3B0437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372DD42D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1DB9BDFE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07F210F7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</w:rPr>
              <w:t>OHE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during follow-up (n)</w:t>
            </w:r>
          </w:p>
        </w:tc>
        <w:tc>
          <w:tcPr>
            <w:tcW w:w="1833" w:type="dxa"/>
            <w:shd w:val="clear" w:color="auto" w:fill="auto"/>
          </w:tcPr>
          <w:p w14:paraId="74820B0F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3.692</w:t>
            </w:r>
          </w:p>
        </w:tc>
        <w:tc>
          <w:tcPr>
            <w:tcW w:w="3357" w:type="dxa"/>
            <w:shd w:val="clear" w:color="auto" w:fill="auto"/>
          </w:tcPr>
          <w:p w14:paraId="62F4E25A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1.838 - 7.418</w:t>
            </w:r>
          </w:p>
        </w:tc>
        <w:tc>
          <w:tcPr>
            <w:tcW w:w="1833" w:type="dxa"/>
            <w:shd w:val="clear" w:color="auto" w:fill="auto"/>
          </w:tcPr>
          <w:p w14:paraId="4C4ABDAB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＜</w:t>
            </w: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0.001</w:t>
            </w:r>
          </w:p>
        </w:tc>
      </w:tr>
      <w:tr w:rsidR="00A77D9C" w14:paraId="461328FD" w14:textId="77777777">
        <w:trPr>
          <w:jc w:val="center"/>
        </w:trPr>
        <w:tc>
          <w:tcPr>
            <w:tcW w:w="6891" w:type="dxa"/>
          </w:tcPr>
          <w:p w14:paraId="0EFE3497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Other adverse outcomes</w:t>
            </w:r>
          </w:p>
        </w:tc>
        <w:tc>
          <w:tcPr>
            <w:tcW w:w="1833" w:type="dxa"/>
          </w:tcPr>
          <w:p w14:paraId="4AF207B2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730E0269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4A5A4F57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48AC8C5E" w14:textId="77777777">
        <w:trPr>
          <w:jc w:val="center"/>
        </w:trPr>
        <w:tc>
          <w:tcPr>
            <w:tcW w:w="6891" w:type="dxa"/>
          </w:tcPr>
          <w:p w14:paraId="74DDD841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Esophagogastric</w:t>
            </w:r>
            <w:proofErr w:type="spellEnd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variceal</w:t>
            </w:r>
            <w:proofErr w:type="spellEnd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rupture during follow-up (n)</w:t>
            </w:r>
          </w:p>
        </w:tc>
        <w:tc>
          <w:tcPr>
            <w:tcW w:w="1833" w:type="dxa"/>
          </w:tcPr>
          <w:p w14:paraId="0EA8B6B6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1.974</w:t>
            </w:r>
          </w:p>
        </w:tc>
        <w:tc>
          <w:tcPr>
            <w:tcW w:w="3357" w:type="dxa"/>
          </w:tcPr>
          <w:p w14:paraId="6ED2C743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1.177 - 3.308</w:t>
            </w:r>
          </w:p>
        </w:tc>
        <w:tc>
          <w:tcPr>
            <w:tcW w:w="1833" w:type="dxa"/>
            <w:shd w:val="clear" w:color="auto" w:fill="auto"/>
          </w:tcPr>
          <w:p w14:paraId="76F4B6B8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0.010</w:t>
            </w:r>
          </w:p>
        </w:tc>
      </w:tr>
      <w:tr w:rsidR="00A77D9C" w14:paraId="6201EC0A" w14:textId="77777777">
        <w:trPr>
          <w:jc w:val="center"/>
        </w:trPr>
        <w:tc>
          <w:tcPr>
            <w:tcW w:w="6891" w:type="dxa"/>
          </w:tcPr>
          <w:p w14:paraId="452145F8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HCC-related death during follow-up (n)</w:t>
            </w:r>
          </w:p>
        </w:tc>
        <w:tc>
          <w:tcPr>
            <w:tcW w:w="1833" w:type="dxa"/>
          </w:tcPr>
          <w:p w14:paraId="1EF2D569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2.733</w:t>
            </w:r>
          </w:p>
        </w:tc>
        <w:tc>
          <w:tcPr>
            <w:tcW w:w="3357" w:type="dxa"/>
          </w:tcPr>
          <w:p w14:paraId="1E18EE13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1.522 - 4.907</w:t>
            </w:r>
          </w:p>
        </w:tc>
        <w:tc>
          <w:tcPr>
            <w:tcW w:w="1833" w:type="dxa"/>
          </w:tcPr>
          <w:p w14:paraId="6597AA57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0.001</w:t>
            </w:r>
          </w:p>
        </w:tc>
      </w:tr>
    </w:tbl>
    <w:p w14:paraId="7C149C5B" w14:textId="77777777" w:rsidR="00A77D9C" w:rsidRDefault="00B24795">
      <w:pPr>
        <w:rPr>
          <w:rFonts w:ascii="Times New Roman" w:hAnsi="Times New Roman" w:cs="Times New Roman"/>
          <w:color w:val="0000FF"/>
          <w:sz w:val="24"/>
        </w:rPr>
      </w:pPr>
      <w:r>
        <w:rPr>
          <w:rFonts w:ascii="Times New Roman" w:hAnsi="Times New Roman" w:cs="Times New Roman"/>
          <w:color w:val="0000FF"/>
          <w:sz w:val="24"/>
        </w:rPr>
        <w:t xml:space="preserve">Note: </w:t>
      </w:r>
      <w:r>
        <w:rPr>
          <w:rFonts w:ascii="Times New Roman" w:hAnsi="Times New Roman" w:cs="Times New Roman" w:hint="eastAsia"/>
          <w:color w:val="0000FF"/>
          <w:sz w:val="24"/>
        </w:rPr>
        <w:t>HCC = H</w:t>
      </w:r>
      <w:r>
        <w:rPr>
          <w:rFonts w:ascii="Times New Roman" w:hAnsi="Times New Roman" w:cs="Times New Roman"/>
          <w:color w:val="0000FF"/>
          <w:sz w:val="24"/>
        </w:rPr>
        <w:t xml:space="preserve">epatocellular </w:t>
      </w:r>
      <w:r>
        <w:rPr>
          <w:rFonts w:ascii="Times New Roman" w:hAnsi="Times New Roman" w:cs="Times New Roman" w:hint="eastAsia"/>
          <w:color w:val="0000FF"/>
          <w:sz w:val="24"/>
        </w:rPr>
        <w:t>C</w:t>
      </w:r>
      <w:r>
        <w:rPr>
          <w:rFonts w:ascii="Times New Roman" w:hAnsi="Times New Roman" w:cs="Times New Roman"/>
          <w:color w:val="0000FF"/>
          <w:sz w:val="24"/>
        </w:rPr>
        <w:t>arcinoma</w:t>
      </w:r>
      <w:r>
        <w:rPr>
          <w:rFonts w:ascii="Times New Roman" w:hAnsi="Times New Roman" w:cs="Times New Roman" w:hint="eastAsia"/>
          <w:color w:val="0000FF"/>
          <w:sz w:val="24"/>
        </w:rPr>
        <w:t xml:space="preserve">, HE = Hepatic Encephalopathy, </w:t>
      </w:r>
      <w:r>
        <w:rPr>
          <w:rFonts w:ascii="Times New Roman" w:hAnsi="Times New Roman" w:cs="Times New Roman"/>
          <w:color w:val="0000FF"/>
          <w:sz w:val="24"/>
        </w:rPr>
        <w:t>OHE</w:t>
      </w:r>
      <w:r>
        <w:rPr>
          <w:rFonts w:ascii="Times New Roman" w:hAnsi="Times New Roman" w:cs="Times New Roman" w:hint="eastAsia"/>
          <w:color w:val="0000FF"/>
          <w:sz w:val="24"/>
        </w:rPr>
        <w:t xml:space="preserve"> = </w:t>
      </w:r>
      <w:r>
        <w:rPr>
          <w:rFonts w:ascii="Times New Roman" w:hAnsi="Times New Roman" w:cs="Times New Roman"/>
          <w:color w:val="0000FF"/>
          <w:sz w:val="24"/>
        </w:rPr>
        <w:t xml:space="preserve">Overt </w:t>
      </w:r>
      <w:r>
        <w:rPr>
          <w:rFonts w:ascii="Times New Roman" w:hAnsi="Times New Roman" w:cs="Times New Roman" w:hint="eastAsia"/>
          <w:color w:val="0000FF"/>
          <w:sz w:val="24"/>
        </w:rPr>
        <w:t>H</w:t>
      </w:r>
      <w:r>
        <w:rPr>
          <w:rFonts w:ascii="Times New Roman" w:hAnsi="Times New Roman" w:cs="Times New Roman"/>
          <w:color w:val="0000FF"/>
          <w:sz w:val="24"/>
        </w:rPr>
        <w:t xml:space="preserve">epatic </w:t>
      </w:r>
      <w:r>
        <w:rPr>
          <w:rFonts w:ascii="Times New Roman" w:hAnsi="Times New Roman" w:cs="Times New Roman" w:hint="eastAsia"/>
          <w:color w:val="0000FF"/>
          <w:sz w:val="24"/>
        </w:rPr>
        <w:t>E</w:t>
      </w:r>
      <w:r>
        <w:rPr>
          <w:rFonts w:ascii="Times New Roman" w:hAnsi="Times New Roman" w:cs="Times New Roman"/>
          <w:color w:val="0000FF"/>
          <w:sz w:val="24"/>
        </w:rPr>
        <w:t>ncephalopathy</w:t>
      </w:r>
      <w:r>
        <w:rPr>
          <w:rFonts w:ascii="Times New Roman" w:hAnsi="Times New Roman" w:cs="Times New Roman" w:hint="eastAsia"/>
          <w:color w:val="0000FF"/>
          <w:sz w:val="24"/>
        </w:rPr>
        <w:t>, MHE = Minimal H</w:t>
      </w:r>
      <w:r>
        <w:rPr>
          <w:rFonts w:ascii="Times New Roman" w:hAnsi="Times New Roman" w:cs="Times New Roman"/>
          <w:color w:val="0000FF"/>
          <w:sz w:val="24"/>
        </w:rPr>
        <w:t xml:space="preserve">epatic </w:t>
      </w:r>
      <w:r>
        <w:rPr>
          <w:rFonts w:ascii="Times New Roman" w:hAnsi="Times New Roman" w:cs="Times New Roman" w:hint="eastAsia"/>
          <w:color w:val="0000FF"/>
          <w:sz w:val="24"/>
        </w:rPr>
        <w:t>E</w:t>
      </w:r>
      <w:r>
        <w:rPr>
          <w:rFonts w:ascii="Times New Roman" w:hAnsi="Times New Roman" w:cs="Times New Roman"/>
          <w:color w:val="0000FF"/>
          <w:sz w:val="24"/>
        </w:rPr>
        <w:t>ncephalopathy</w:t>
      </w:r>
      <w:r>
        <w:rPr>
          <w:rFonts w:ascii="Times New Roman" w:hAnsi="Times New Roman" w:cs="Times New Roman" w:hint="eastAsia"/>
          <w:color w:val="0000FF"/>
          <w:sz w:val="24"/>
        </w:rPr>
        <w:t xml:space="preserve">, HR = Hazard Ratio, 95%CI = 95% Confidence Interval. Multivariable Cox regression </w:t>
      </w:r>
      <w:proofErr w:type="gramStart"/>
      <w:r>
        <w:rPr>
          <w:rFonts w:ascii="Times New Roman" w:hAnsi="Times New Roman" w:cs="Times New Roman" w:hint="eastAsia"/>
          <w:color w:val="0000FF"/>
          <w:sz w:val="24"/>
        </w:rPr>
        <w:t>was performed</w:t>
      </w:r>
      <w:proofErr w:type="gramEnd"/>
      <w:r>
        <w:rPr>
          <w:rFonts w:ascii="Times New Roman" w:hAnsi="Times New Roman" w:cs="Times New Roman" w:hint="eastAsia"/>
          <w:color w:val="0000FF"/>
          <w:sz w:val="24"/>
        </w:rPr>
        <w:t xml:space="preserve"> to evaluate the association betwe</w:t>
      </w:r>
      <w:r>
        <w:rPr>
          <w:rFonts w:ascii="Times New Roman" w:hAnsi="Times New Roman" w:cs="Times New Roman" w:hint="eastAsia"/>
          <w:color w:val="0000FF"/>
          <w:sz w:val="24"/>
        </w:rPr>
        <w:t xml:space="preserve">en nighttime light pollution and the outcomes. The multivariable model </w:t>
      </w:r>
      <w:proofErr w:type="gramStart"/>
      <w:r>
        <w:rPr>
          <w:rFonts w:ascii="Times New Roman" w:hAnsi="Times New Roman" w:cs="Times New Roman" w:hint="eastAsia"/>
          <w:color w:val="0000FF"/>
          <w:sz w:val="24"/>
        </w:rPr>
        <w:t>was primarily adjusted</w:t>
      </w:r>
      <w:proofErr w:type="gramEnd"/>
      <w:r>
        <w:rPr>
          <w:rFonts w:ascii="Times New Roman" w:hAnsi="Times New Roman" w:cs="Times New Roman" w:hint="eastAsia"/>
          <w:color w:val="0000FF"/>
          <w:sz w:val="24"/>
        </w:rPr>
        <w:t xml:space="preserve"> for sleep disorders from baseline to the 4th month. Additionally, the model adjusted for variables with between-group differences or potential differences (P &lt; 0.</w:t>
      </w:r>
      <w:r>
        <w:rPr>
          <w:rFonts w:ascii="Times New Roman" w:hAnsi="Times New Roman" w:cs="Times New Roman" w:hint="eastAsia"/>
          <w:color w:val="0000FF"/>
          <w:sz w:val="24"/>
        </w:rPr>
        <w:t>1) across the following categories: baseline characteristics of subjects; baseline characteristics of HCC and HE; treatment measures and daily living conditions during follow-up.</w:t>
      </w:r>
    </w:p>
    <w:p w14:paraId="06CCB2CF" w14:textId="77777777" w:rsidR="00A77D9C" w:rsidRDefault="00B24795">
      <w:pPr>
        <w:rPr>
          <w:rFonts w:ascii="Times New Roman" w:hAnsi="Times New Roman" w:cs="Times New Roman"/>
          <w:color w:val="0000FF"/>
          <w:sz w:val="24"/>
        </w:rPr>
      </w:pPr>
      <w:r>
        <w:rPr>
          <w:rFonts w:ascii="Times New Roman" w:hAnsi="Times New Roman" w:cs="Times New Roman" w:hint="eastAsia"/>
          <w:color w:val="0000FF"/>
          <w:sz w:val="24"/>
        </w:rPr>
        <w:br w:type="page"/>
      </w:r>
    </w:p>
    <w:p w14:paraId="6E0C7CB0" w14:textId="77777777" w:rsidR="00A77D9C" w:rsidRDefault="00B24795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Supplemental Table 2 Association of nighttime light pollution and sleep dis</w:t>
      </w:r>
      <w:r>
        <w:rPr>
          <w:rFonts w:ascii="Times New Roman" w:hAnsi="Times New Roman" w:cs="Times New Roman" w:hint="eastAsia"/>
          <w:b/>
          <w:bCs/>
          <w:sz w:val="24"/>
        </w:rPr>
        <w:t>orders interaction with outcomes of HCC and HE assessed by multivariable logistic regression</w:t>
      </w:r>
    </w:p>
    <w:tbl>
      <w:tblPr>
        <w:tblStyle w:val="TableGrid"/>
        <w:tblW w:w="13914" w:type="dxa"/>
        <w:jc w:val="center"/>
        <w:tblLook w:val="04A0" w:firstRow="1" w:lastRow="0" w:firstColumn="1" w:lastColumn="0" w:noHBand="0" w:noVBand="1"/>
      </w:tblPr>
      <w:tblGrid>
        <w:gridCol w:w="6891"/>
        <w:gridCol w:w="1833"/>
        <w:gridCol w:w="3357"/>
        <w:gridCol w:w="1833"/>
      </w:tblGrid>
      <w:tr w:rsidR="00A77D9C" w14:paraId="0BC02FC0" w14:textId="77777777">
        <w:trPr>
          <w:jc w:val="center"/>
        </w:trPr>
        <w:tc>
          <w:tcPr>
            <w:tcW w:w="6891" w:type="dxa"/>
          </w:tcPr>
          <w:p w14:paraId="23CF7E00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Variable</w:t>
            </w:r>
          </w:p>
        </w:tc>
        <w:tc>
          <w:tcPr>
            <w:tcW w:w="1833" w:type="dxa"/>
          </w:tcPr>
          <w:p w14:paraId="0224982C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OR</w:t>
            </w:r>
          </w:p>
        </w:tc>
        <w:tc>
          <w:tcPr>
            <w:tcW w:w="3357" w:type="dxa"/>
          </w:tcPr>
          <w:p w14:paraId="7C28D790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95%CI</w:t>
            </w:r>
          </w:p>
        </w:tc>
        <w:tc>
          <w:tcPr>
            <w:tcW w:w="1833" w:type="dxa"/>
          </w:tcPr>
          <w:p w14:paraId="08B897FC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P value</w:t>
            </w:r>
          </w:p>
        </w:tc>
      </w:tr>
      <w:tr w:rsidR="00A77D9C" w14:paraId="6FCAAC3C" w14:textId="77777777">
        <w:trPr>
          <w:jc w:val="center"/>
        </w:trPr>
        <w:tc>
          <w:tcPr>
            <w:tcW w:w="6891" w:type="dxa"/>
          </w:tcPr>
          <w:p w14:paraId="532A6C6B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Liver function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outcomes</w:t>
            </w:r>
          </w:p>
        </w:tc>
        <w:tc>
          <w:tcPr>
            <w:tcW w:w="1833" w:type="dxa"/>
          </w:tcPr>
          <w:p w14:paraId="5F916F46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3357" w:type="dxa"/>
          </w:tcPr>
          <w:p w14:paraId="1865D98F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1833" w:type="dxa"/>
          </w:tcPr>
          <w:p w14:paraId="0BC1A8ED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</w:tr>
      <w:tr w:rsidR="00A77D9C" w14:paraId="35C2229F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4E6FA179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Blood albumin level decreased by &gt;10% at follow-up end (n)</w:t>
            </w:r>
          </w:p>
        </w:tc>
        <w:tc>
          <w:tcPr>
            <w:tcW w:w="1833" w:type="dxa"/>
            <w:shd w:val="clear" w:color="auto" w:fill="auto"/>
          </w:tcPr>
          <w:p w14:paraId="2A8A84FF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0.590</w:t>
            </w:r>
          </w:p>
        </w:tc>
        <w:tc>
          <w:tcPr>
            <w:tcW w:w="3357" w:type="dxa"/>
            <w:shd w:val="clear" w:color="auto" w:fill="auto"/>
          </w:tcPr>
          <w:p w14:paraId="75D3CD7E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0.247 - 1.406</w:t>
            </w:r>
          </w:p>
        </w:tc>
        <w:tc>
          <w:tcPr>
            <w:tcW w:w="1833" w:type="dxa"/>
            <w:shd w:val="clear" w:color="auto" w:fill="auto"/>
          </w:tcPr>
          <w:p w14:paraId="2C33A471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0.234</w:t>
            </w:r>
          </w:p>
        </w:tc>
      </w:tr>
      <w:tr w:rsidR="00A77D9C" w14:paraId="78429610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7E90C2D3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Blood total bilirubin </w:t>
            </w:r>
            <w:r>
              <w:rPr>
                <w:rFonts w:ascii="Times New Roman" w:hAnsi="Times New Roman" w:cs="Times New Roman" w:hint="eastAsia"/>
                <w:sz w:val="24"/>
              </w:rPr>
              <w:t>level increased by &gt;10% at follow-up end (n)</w:t>
            </w:r>
          </w:p>
        </w:tc>
        <w:tc>
          <w:tcPr>
            <w:tcW w:w="1833" w:type="dxa"/>
          </w:tcPr>
          <w:p w14:paraId="6E835980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0.547</w:t>
            </w:r>
          </w:p>
        </w:tc>
        <w:tc>
          <w:tcPr>
            <w:tcW w:w="3357" w:type="dxa"/>
          </w:tcPr>
          <w:p w14:paraId="1794B62D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0.236 - 1.271</w:t>
            </w:r>
          </w:p>
        </w:tc>
        <w:tc>
          <w:tcPr>
            <w:tcW w:w="1833" w:type="dxa"/>
          </w:tcPr>
          <w:p w14:paraId="7E4B3EBB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0.161</w:t>
            </w:r>
          </w:p>
        </w:tc>
      </w:tr>
      <w:tr w:rsidR="00A77D9C" w14:paraId="25787FF9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6AAAF5F3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Prothrombin time prolonged by &gt;10% at follow-up end (n)</w:t>
            </w:r>
          </w:p>
        </w:tc>
        <w:tc>
          <w:tcPr>
            <w:tcW w:w="1833" w:type="dxa"/>
          </w:tcPr>
          <w:p w14:paraId="67010B6A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0.693</w:t>
            </w:r>
          </w:p>
        </w:tc>
        <w:tc>
          <w:tcPr>
            <w:tcW w:w="3357" w:type="dxa"/>
          </w:tcPr>
          <w:p w14:paraId="48B78A8A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0.296 - 1.622</w:t>
            </w:r>
          </w:p>
        </w:tc>
        <w:tc>
          <w:tcPr>
            <w:tcW w:w="1833" w:type="dxa"/>
          </w:tcPr>
          <w:p w14:paraId="3027473B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0.398</w:t>
            </w:r>
          </w:p>
        </w:tc>
      </w:tr>
      <w:tr w:rsidR="00A77D9C" w14:paraId="410E3B57" w14:textId="77777777">
        <w:trPr>
          <w:jc w:val="center"/>
        </w:trPr>
        <w:tc>
          <w:tcPr>
            <w:tcW w:w="6891" w:type="dxa"/>
          </w:tcPr>
          <w:p w14:paraId="3B6C2750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 xml:space="preserve">HE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outcomes</w:t>
            </w:r>
          </w:p>
        </w:tc>
        <w:tc>
          <w:tcPr>
            <w:tcW w:w="1833" w:type="dxa"/>
          </w:tcPr>
          <w:p w14:paraId="491A8474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3357" w:type="dxa"/>
          </w:tcPr>
          <w:p w14:paraId="42DAE7A2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1833" w:type="dxa"/>
          </w:tcPr>
          <w:p w14:paraId="42CE8071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</w:tr>
      <w:tr w:rsidR="00A77D9C" w14:paraId="6A87548D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2ED4BE7E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OHE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during follow-up (n)</w:t>
            </w:r>
          </w:p>
        </w:tc>
        <w:tc>
          <w:tcPr>
            <w:tcW w:w="1833" w:type="dxa"/>
          </w:tcPr>
          <w:p w14:paraId="36667452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1.344</w:t>
            </w:r>
          </w:p>
        </w:tc>
        <w:tc>
          <w:tcPr>
            <w:tcW w:w="3357" w:type="dxa"/>
          </w:tcPr>
          <w:p w14:paraId="6AC36DEF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0.305 - 5.928</w:t>
            </w:r>
          </w:p>
        </w:tc>
        <w:tc>
          <w:tcPr>
            <w:tcW w:w="1833" w:type="dxa"/>
            <w:shd w:val="clear" w:color="auto" w:fill="auto"/>
          </w:tcPr>
          <w:p w14:paraId="15C73C0F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0.696</w:t>
            </w:r>
          </w:p>
        </w:tc>
      </w:tr>
      <w:tr w:rsidR="00A77D9C" w14:paraId="69CA2723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31B4ABDE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New-onset </w:t>
            </w:r>
            <w:r>
              <w:rPr>
                <w:rFonts w:ascii="Times New Roman" w:hAnsi="Times New Roman" w:cs="Times New Roman" w:hint="eastAsia"/>
                <w:sz w:val="24"/>
              </w:rPr>
              <w:t>MHE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at follow-up end (n)</w:t>
            </w:r>
          </w:p>
        </w:tc>
        <w:tc>
          <w:tcPr>
            <w:tcW w:w="1833" w:type="dxa"/>
          </w:tcPr>
          <w:p w14:paraId="0F8E932A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0.378</w:t>
            </w:r>
          </w:p>
        </w:tc>
        <w:tc>
          <w:tcPr>
            <w:tcW w:w="3357" w:type="dxa"/>
          </w:tcPr>
          <w:p w14:paraId="7B1E1367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0.117 - 1.218</w:t>
            </w:r>
          </w:p>
        </w:tc>
        <w:tc>
          <w:tcPr>
            <w:tcW w:w="1833" w:type="dxa"/>
            <w:shd w:val="clear" w:color="auto" w:fill="auto"/>
          </w:tcPr>
          <w:p w14:paraId="7E3D5478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0.103</w:t>
            </w:r>
          </w:p>
        </w:tc>
      </w:tr>
      <w:tr w:rsidR="00A77D9C" w14:paraId="061C28D8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1348DFB2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PHES score further decreased in baseline MHE patients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(n)</w:t>
            </w:r>
          </w:p>
        </w:tc>
        <w:tc>
          <w:tcPr>
            <w:tcW w:w="1833" w:type="dxa"/>
          </w:tcPr>
          <w:p w14:paraId="1E12BB12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1.696</w:t>
            </w:r>
          </w:p>
        </w:tc>
        <w:tc>
          <w:tcPr>
            <w:tcW w:w="3357" w:type="dxa"/>
          </w:tcPr>
          <w:p w14:paraId="3FC8EDB5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0.428 - 6.721</w:t>
            </w:r>
          </w:p>
        </w:tc>
        <w:tc>
          <w:tcPr>
            <w:tcW w:w="1833" w:type="dxa"/>
          </w:tcPr>
          <w:p w14:paraId="64FA6304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0.452</w:t>
            </w:r>
          </w:p>
        </w:tc>
      </w:tr>
      <w:tr w:rsidR="00A77D9C" w14:paraId="44AF66C1" w14:textId="77777777">
        <w:trPr>
          <w:jc w:val="center"/>
        </w:trPr>
        <w:tc>
          <w:tcPr>
            <w:tcW w:w="6891" w:type="dxa"/>
          </w:tcPr>
          <w:p w14:paraId="152B5D76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Other adverse outcomes</w:t>
            </w:r>
          </w:p>
        </w:tc>
        <w:tc>
          <w:tcPr>
            <w:tcW w:w="1833" w:type="dxa"/>
          </w:tcPr>
          <w:p w14:paraId="212900F4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</w:p>
        </w:tc>
        <w:tc>
          <w:tcPr>
            <w:tcW w:w="3357" w:type="dxa"/>
          </w:tcPr>
          <w:p w14:paraId="5C433DDD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</w:p>
        </w:tc>
        <w:tc>
          <w:tcPr>
            <w:tcW w:w="1833" w:type="dxa"/>
          </w:tcPr>
          <w:p w14:paraId="50BC876A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</w:tr>
      <w:tr w:rsidR="00A77D9C" w14:paraId="570F900C" w14:textId="77777777">
        <w:trPr>
          <w:jc w:val="center"/>
        </w:trPr>
        <w:tc>
          <w:tcPr>
            <w:tcW w:w="6891" w:type="dxa"/>
          </w:tcPr>
          <w:p w14:paraId="0E4480BE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Esophagogastric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sz w:val="24"/>
              </w:rPr>
              <w:t>variceal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</w:rPr>
              <w:t xml:space="preserve"> rupture during follow-up (n)</w:t>
            </w:r>
          </w:p>
        </w:tc>
        <w:tc>
          <w:tcPr>
            <w:tcW w:w="1833" w:type="dxa"/>
          </w:tcPr>
          <w:p w14:paraId="057B85A7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0.997</w:t>
            </w:r>
          </w:p>
        </w:tc>
        <w:tc>
          <w:tcPr>
            <w:tcW w:w="3357" w:type="dxa"/>
          </w:tcPr>
          <w:p w14:paraId="4FA96781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0.313 - 3.173</w:t>
            </w:r>
          </w:p>
        </w:tc>
        <w:tc>
          <w:tcPr>
            <w:tcW w:w="1833" w:type="dxa"/>
            <w:shd w:val="clear" w:color="auto" w:fill="auto"/>
          </w:tcPr>
          <w:p w14:paraId="769AD820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0.996</w:t>
            </w:r>
          </w:p>
        </w:tc>
      </w:tr>
      <w:tr w:rsidR="00A77D9C" w14:paraId="3E8246DD" w14:textId="77777777">
        <w:trPr>
          <w:jc w:val="center"/>
        </w:trPr>
        <w:tc>
          <w:tcPr>
            <w:tcW w:w="6891" w:type="dxa"/>
          </w:tcPr>
          <w:p w14:paraId="025AA578" w14:textId="77777777" w:rsidR="00A77D9C" w:rsidRDefault="00B247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HCC-related </w:t>
            </w:r>
            <w:r>
              <w:rPr>
                <w:rFonts w:ascii="Times New Roman" w:hAnsi="Times New Roman" w:cs="Times New Roman" w:hint="eastAsia"/>
                <w:sz w:val="24"/>
              </w:rPr>
              <w:t>death during follow-up (n)</w:t>
            </w:r>
          </w:p>
        </w:tc>
        <w:tc>
          <w:tcPr>
            <w:tcW w:w="1833" w:type="dxa"/>
          </w:tcPr>
          <w:p w14:paraId="3596A721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1.089</w:t>
            </w:r>
          </w:p>
        </w:tc>
        <w:tc>
          <w:tcPr>
            <w:tcW w:w="3357" w:type="dxa"/>
          </w:tcPr>
          <w:p w14:paraId="48823DB0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0.304 - 3.899</w:t>
            </w:r>
          </w:p>
        </w:tc>
        <w:tc>
          <w:tcPr>
            <w:tcW w:w="1833" w:type="dxa"/>
          </w:tcPr>
          <w:p w14:paraId="275E682D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</w:rPr>
              <w:t>0.896</w:t>
            </w:r>
          </w:p>
        </w:tc>
      </w:tr>
    </w:tbl>
    <w:p w14:paraId="20A008B1" w14:textId="77777777" w:rsidR="00A77D9C" w:rsidRDefault="00B247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Note: </w:t>
      </w:r>
      <w:r>
        <w:rPr>
          <w:rFonts w:ascii="Times New Roman" w:hAnsi="Times New Roman" w:cs="Times New Roman" w:hint="eastAsia"/>
          <w:sz w:val="24"/>
        </w:rPr>
        <w:t>HCC = H</w:t>
      </w:r>
      <w:r>
        <w:rPr>
          <w:rFonts w:ascii="Times New Roman" w:hAnsi="Times New Roman" w:cs="Times New Roman"/>
          <w:sz w:val="24"/>
        </w:rPr>
        <w:t xml:space="preserve">epatocellular 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/>
          <w:sz w:val="24"/>
        </w:rPr>
        <w:t>arcinoma</w:t>
      </w:r>
      <w:r>
        <w:rPr>
          <w:rFonts w:ascii="Times New Roman" w:hAnsi="Times New Roman" w:cs="Times New Roman" w:hint="eastAsia"/>
          <w:sz w:val="24"/>
        </w:rPr>
        <w:t xml:space="preserve">, HE = Hepatic Encephalopathy, </w:t>
      </w:r>
      <w:r>
        <w:rPr>
          <w:rFonts w:ascii="Times New Roman" w:hAnsi="Times New Roman" w:cs="Times New Roman"/>
          <w:sz w:val="24"/>
        </w:rPr>
        <w:t xml:space="preserve">OHE = Overt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epatic </w:t>
      </w:r>
      <w:r>
        <w:rPr>
          <w:rFonts w:ascii="Times New Roman" w:hAnsi="Times New Roman" w:cs="Times New Roman" w:hint="eastAsia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ncephalopathy, MHE = Minimal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epatic </w:t>
      </w:r>
      <w:r>
        <w:rPr>
          <w:rFonts w:ascii="Times New Roman" w:hAnsi="Times New Roman" w:cs="Times New Roman" w:hint="eastAsia"/>
          <w:sz w:val="24"/>
        </w:rPr>
        <w:t>E</w:t>
      </w:r>
      <w:r>
        <w:rPr>
          <w:rFonts w:ascii="Times New Roman" w:hAnsi="Times New Roman" w:cs="Times New Roman"/>
          <w:sz w:val="24"/>
        </w:rPr>
        <w:t>ncephalopathy</w:t>
      </w:r>
      <w:r>
        <w:rPr>
          <w:rFonts w:ascii="Times New Roman" w:hAnsi="Times New Roman" w:cs="Times New Roman" w:hint="eastAsia"/>
          <w:sz w:val="24"/>
        </w:rPr>
        <w:t>, OR = Odds Ratio, 95%CI = 95% Confidence Interval</w:t>
      </w:r>
      <w:r>
        <w:rPr>
          <w:rFonts w:ascii="Times New Roman" w:hAnsi="Times New Roman" w:cs="Times New Roman"/>
          <w:sz w:val="24"/>
        </w:rPr>
        <w:t xml:space="preserve">. Multivariable logistic regression </w:t>
      </w:r>
      <w:proofErr w:type="gramStart"/>
      <w:r>
        <w:rPr>
          <w:rFonts w:ascii="Times New Roman" w:hAnsi="Times New Roman" w:cs="Times New Roman"/>
          <w:sz w:val="24"/>
        </w:rPr>
        <w:t>was performed</w:t>
      </w:r>
      <w:proofErr w:type="gramEnd"/>
      <w:r>
        <w:rPr>
          <w:rFonts w:ascii="Times New Roman" w:hAnsi="Times New Roman" w:cs="Times New Roman"/>
          <w:sz w:val="24"/>
        </w:rPr>
        <w:t xml:space="preserve"> to assess the interaction between nighttime light pollution (dichotomized as exposed/non-exposed) and sleep disorders from baseline to the 4th month (dichotomized as present/absent) for the above outcomes. </w:t>
      </w:r>
      <w:r>
        <w:rPr>
          <w:rFonts w:ascii="Times New Roman" w:hAnsi="Times New Roman" w:cs="Times New Roman"/>
          <w:sz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</w:rPr>
        <w:t>interaction term was generated by the product of the two dichotomous variables</w:t>
      </w:r>
      <w:proofErr w:type="gramEnd"/>
      <w:r>
        <w:rPr>
          <w:rFonts w:ascii="Times New Roman" w:hAnsi="Times New Roman" w:cs="Times New Roman"/>
          <w:sz w:val="24"/>
        </w:rPr>
        <w:t>, and the model was adjusted for variables with between-group differences or potential differences (P &lt; 0.1) including baseline characteristics of subjects, baseline characte</w:t>
      </w:r>
      <w:r>
        <w:rPr>
          <w:rFonts w:ascii="Times New Roman" w:hAnsi="Times New Roman" w:cs="Times New Roman"/>
          <w:sz w:val="24"/>
        </w:rPr>
        <w:t xml:space="preserve">ristics of </w:t>
      </w:r>
      <w:r>
        <w:rPr>
          <w:rFonts w:ascii="Times New Roman" w:hAnsi="Times New Roman" w:cs="Times New Roman" w:hint="eastAsia"/>
          <w:sz w:val="24"/>
        </w:rPr>
        <w:t>HCC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 w:hint="eastAsia"/>
          <w:sz w:val="24"/>
        </w:rPr>
        <w:t>HE</w:t>
      </w:r>
      <w:r>
        <w:rPr>
          <w:rFonts w:ascii="Times New Roman" w:hAnsi="Times New Roman" w:cs="Times New Roman"/>
          <w:sz w:val="24"/>
        </w:rPr>
        <w:t>, and treatment measures and daily living conditions during follow-up.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25FDE04B" w14:textId="77777777" w:rsidR="00A77D9C" w:rsidRDefault="00B247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br w:type="page"/>
      </w:r>
    </w:p>
    <w:p w14:paraId="767E3812" w14:textId="77777777" w:rsidR="00A77D9C" w:rsidRDefault="00B24795">
      <w:pPr>
        <w:jc w:val="center"/>
        <w:rPr>
          <w:rFonts w:ascii="Times New Roman" w:hAnsi="Times New Roman" w:cs="Times New Roman"/>
          <w:b/>
          <w:bCs/>
          <w:color w:val="0000FF"/>
          <w:sz w:val="24"/>
        </w:rPr>
      </w:pPr>
      <w:r>
        <w:rPr>
          <w:rFonts w:ascii="Times New Roman" w:hAnsi="Times New Roman" w:cs="Times New Roman" w:hint="eastAsia"/>
          <w:b/>
          <w:bCs/>
          <w:color w:val="0000FF"/>
          <w:sz w:val="24"/>
        </w:rPr>
        <w:t>Supplemental Table 3 Association of nighttime light pollution and advanced age interaction with outcomes of HCC and HE assessed by multivariable logistic regress</w:t>
      </w:r>
      <w:r>
        <w:rPr>
          <w:rFonts w:ascii="Times New Roman" w:hAnsi="Times New Roman" w:cs="Times New Roman" w:hint="eastAsia"/>
          <w:b/>
          <w:bCs/>
          <w:color w:val="0000FF"/>
          <w:sz w:val="24"/>
        </w:rPr>
        <w:t>ion</w:t>
      </w:r>
    </w:p>
    <w:tbl>
      <w:tblPr>
        <w:tblStyle w:val="TableGrid"/>
        <w:tblW w:w="13914" w:type="dxa"/>
        <w:jc w:val="center"/>
        <w:tblLook w:val="04A0" w:firstRow="1" w:lastRow="0" w:firstColumn="1" w:lastColumn="0" w:noHBand="0" w:noVBand="1"/>
      </w:tblPr>
      <w:tblGrid>
        <w:gridCol w:w="6891"/>
        <w:gridCol w:w="1833"/>
        <w:gridCol w:w="3357"/>
        <w:gridCol w:w="1833"/>
      </w:tblGrid>
      <w:tr w:rsidR="00A77D9C" w14:paraId="6673EA35" w14:textId="77777777">
        <w:trPr>
          <w:jc w:val="center"/>
        </w:trPr>
        <w:tc>
          <w:tcPr>
            <w:tcW w:w="6891" w:type="dxa"/>
          </w:tcPr>
          <w:p w14:paraId="55FD6AA0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Variable</w:t>
            </w:r>
          </w:p>
        </w:tc>
        <w:tc>
          <w:tcPr>
            <w:tcW w:w="1833" w:type="dxa"/>
          </w:tcPr>
          <w:p w14:paraId="0D4C4A7A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OR</w:t>
            </w:r>
          </w:p>
        </w:tc>
        <w:tc>
          <w:tcPr>
            <w:tcW w:w="3357" w:type="dxa"/>
          </w:tcPr>
          <w:p w14:paraId="379D553F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95%CI</w:t>
            </w:r>
          </w:p>
        </w:tc>
        <w:tc>
          <w:tcPr>
            <w:tcW w:w="1833" w:type="dxa"/>
          </w:tcPr>
          <w:p w14:paraId="584802A6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P value</w:t>
            </w:r>
          </w:p>
        </w:tc>
      </w:tr>
      <w:tr w:rsidR="00A77D9C" w14:paraId="3B2DE87A" w14:textId="77777777">
        <w:trPr>
          <w:jc w:val="center"/>
        </w:trPr>
        <w:tc>
          <w:tcPr>
            <w:tcW w:w="6891" w:type="dxa"/>
          </w:tcPr>
          <w:p w14:paraId="5BA44D1F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Liver function</w:t>
            </w: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outcomes</w:t>
            </w:r>
          </w:p>
        </w:tc>
        <w:tc>
          <w:tcPr>
            <w:tcW w:w="1833" w:type="dxa"/>
          </w:tcPr>
          <w:p w14:paraId="30F9350D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2E67D796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21F06FE5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3561EB02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2C6D08BA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Blood albumin level decreased by &gt;10% at follow-up end (n)</w:t>
            </w:r>
          </w:p>
        </w:tc>
        <w:tc>
          <w:tcPr>
            <w:tcW w:w="1833" w:type="dxa"/>
            <w:shd w:val="clear" w:color="auto" w:fill="auto"/>
          </w:tcPr>
          <w:p w14:paraId="3399575C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1.329</w:t>
            </w:r>
          </w:p>
        </w:tc>
        <w:tc>
          <w:tcPr>
            <w:tcW w:w="3357" w:type="dxa"/>
            <w:shd w:val="clear" w:color="auto" w:fill="auto"/>
          </w:tcPr>
          <w:p w14:paraId="46C2D087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0.833 - 2.121</w:t>
            </w:r>
          </w:p>
        </w:tc>
        <w:tc>
          <w:tcPr>
            <w:tcW w:w="1833" w:type="dxa"/>
            <w:shd w:val="clear" w:color="auto" w:fill="auto"/>
          </w:tcPr>
          <w:p w14:paraId="7249D9AE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0.233</w:t>
            </w:r>
          </w:p>
        </w:tc>
      </w:tr>
      <w:tr w:rsidR="00A77D9C" w14:paraId="4B0A923D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3421B35D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Blood total bilirubin level increased by &gt;10% at follow-up end (n)</w:t>
            </w:r>
          </w:p>
        </w:tc>
        <w:tc>
          <w:tcPr>
            <w:tcW w:w="1833" w:type="dxa"/>
          </w:tcPr>
          <w:p w14:paraId="09832DB4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1.156</w:t>
            </w:r>
          </w:p>
        </w:tc>
        <w:tc>
          <w:tcPr>
            <w:tcW w:w="3357" w:type="dxa"/>
          </w:tcPr>
          <w:p w14:paraId="68D62029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0.730 - 1.831</w:t>
            </w:r>
          </w:p>
        </w:tc>
        <w:tc>
          <w:tcPr>
            <w:tcW w:w="1833" w:type="dxa"/>
          </w:tcPr>
          <w:p w14:paraId="765B97E4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0.536</w:t>
            </w:r>
          </w:p>
        </w:tc>
      </w:tr>
      <w:tr w:rsidR="00A77D9C" w14:paraId="3D32B0BD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5640658A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Prothrombin time 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prolonged by &gt;10% at follow-up end (n)</w:t>
            </w:r>
          </w:p>
        </w:tc>
        <w:tc>
          <w:tcPr>
            <w:tcW w:w="1833" w:type="dxa"/>
          </w:tcPr>
          <w:p w14:paraId="11132A08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1.096</w:t>
            </w:r>
          </w:p>
        </w:tc>
        <w:tc>
          <w:tcPr>
            <w:tcW w:w="3357" w:type="dxa"/>
          </w:tcPr>
          <w:p w14:paraId="0DCA6D73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0.688 - 1.747</w:t>
            </w:r>
          </w:p>
        </w:tc>
        <w:tc>
          <w:tcPr>
            <w:tcW w:w="1833" w:type="dxa"/>
          </w:tcPr>
          <w:p w14:paraId="21ECD9A8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0.700</w:t>
            </w:r>
          </w:p>
        </w:tc>
      </w:tr>
      <w:tr w:rsidR="00A77D9C" w14:paraId="78D41450" w14:textId="77777777">
        <w:trPr>
          <w:jc w:val="center"/>
        </w:trPr>
        <w:tc>
          <w:tcPr>
            <w:tcW w:w="6891" w:type="dxa"/>
          </w:tcPr>
          <w:p w14:paraId="156CC68E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 xml:space="preserve">HE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outcomes</w:t>
            </w:r>
          </w:p>
        </w:tc>
        <w:tc>
          <w:tcPr>
            <w:tcW w:w="1833" w:type="dxa"/>
          </w:tcPr>
          <w:p w14:paraId="49332E80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3F4C9C7D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56CEC23A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22EA5556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184163A8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</w:rPr>
              <w:t>OHE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during follow-up (n)</w:t>
            </w:r>
          </w:p>
        </w:tc>
        <w:tc>
          <w:tcPr>
            <w:tcW w:w="1833" w:type="dxa"/>
          </w:tcPr>
          <w:p w14:paraId="45442387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2.533</w:t>
            </w:r>
          </w:p>
        </w:tc>
        <w:tc>
          <w:tcPr>
            <w:tcW w:w="3357" w:type="dxa"/>
          </w:tcPr>
          <w:p w14:paraId="2D90DBAB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1.293 - 4.963</w:t>
            </w:r>
          </w:p>
        </w:tc>
        <w:tc>
          <w:tcPr>
            <w:tcW w:w="1833" w:type="dxa"/>
            <w:shd w:val="clear" w:color="auto" w:fill="auto"/>
          </w:tcPr>
          <w:p w14:paraId="04470E9C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0.007</w:t>
            </w:r>
          </w:p>
        </w:tc>
      </w:tr>
      <w:tr w:rsidR="00A77D9C" w14:paraId="5ABCDEA0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2AFF8F1B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New-onset 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MHE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at follow-up end (n)</w:t>
            </w:r>
          </w:p>
        </w:tc>
        <w:tc>
          <w:tcPr>
            <w:tcW w:w="1833" w:type="dxa"/>
          </w:tcPr>
          <w:p w14:paraId="72FDB4C6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1.519</w:t>
            </w:r>
          </w:p>
        </w:tc>
        <w:tc>
          <w:tcPr>
            <w:tcW w:w="3357" w:type="dxa"/>
          </w:tcPr>
          <w:p w14:paraId="566DE616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0.859 - 2.685</w:t>
            </w:r>
          </w:p>
        </w:tc>
        <w:tc>
          <w:tcPr>
            <w:tcW w:w="1833" w:type="dxa"/>
            <w:shd w:val="clear" w:color="auto" w:fill="auto"/>
          </w:tcPr>
          <w:p w14:paraId="11D8D91B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0.150</w:t>
            </w:r>
          </w:p>
        </w:tc>
      </w:tr>
      <w:tr w:rsidR="00A77D9C" w14:paraId="2B3993BD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4A6622D5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PHES score further decreased in baseline MHE patients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(n)</w:t>
            </w:r>
          </w:p>
        </w:tc>
        <w:tc>
          <w:tcPr>
            <w:tcW w:w="1833" w:type="dxa"/>
          </w:tcPr>
          <w:p w14:paraId="69631950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2.520</w:t>
            </w:r>
          </w:p>
        </w:tc>
        <w:tc>
          <w:tcPr>
            <w:tcW w:w="3357" w:type="dxa"/>
          </w:tcPr>
          <w:p w14:paraId="5D05CCA6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1.330 - 4.775</w:t>
            </w:r>
          </w:p>
        </w:tc>
        <w:tc>
          <w:tcPr>
            <w:tcW w:w="1833" w:type="dxa"/>
          </w:tcPr>
          <w:p w14:paraId="2A34874C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0.005</w:t>
            </w:r>
          </w:p>
        </w:tc>
      </w:tr>
      <w:tr w:rsidR="00A77D9C" w14:paraId="0F6D87AB" w14:textId="77777777">
        <w:trPr>
          <w:jc w:val="center"/>
        </w:trPr>
        <w:tc>
          <w:tcPr>
            <w:tcW w:w="6891" w:type="dxa"/>
          </w:tcPr>
          <w:p w14:paraId="193B29F9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Other adverse outcomes</w:t>
            </w:r>
          </w:p>
        </w:tc>
        <w:tc>
          <w:tcPr>
            <w:tcW w:w="1833" w:type="dxa"/>
          </w:tcPr>
          <w:p w14:paraId="396CE462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4423B746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7E4566B2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09916FB2" w14:textId="77777777">
        <w:trPr>
          <w:jc w:val="center"/>
        </w:trPr>
        <w:tc>
          <w:tcPr>
            <w:tcW w:w="6891" w:type="dxa"/>
          </w:tcPr>
          <w:p w14:paraId="30636CA4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Esophagogastric</w:t>
            </w:r>
            <w:proofErr w:type="spellEnd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variceal</w:t>
            </w:r>
            <w:proofErr w:type="spellEnd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rupture during follow-up (n)</w:t>
            </w:r>
          </w:p>
        </w:tc>
        <w:tc>
          <w:tcPr>
            <w:tcW w:w="1833" w:type="dxa"/>
          </w:tcPr>
          <w:p w14:paraId="371EE129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2.324</w:t>
            </w:r>
          </w:p>
        </w:tc>
        <w:tc>
          <w:tcPr>
            <w:tcW w:w="3357" w:type="dxa"/>
          </w:tcPr>
          <w:p w14:paraId="25CC621F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1.314 - 4.110</w:t>
            </w:r>
          </w:p>
        </w:tc>
        <w:tc>
          <w:tcPr>
            <w:tcW w:w="1833" w:type="dxa"/>
            <w:shd w:val="clear" w:color="auto" w:fill="auto"/>
          </w:tcPr>
          <w:p w14:paraId="3C4574E6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0.004</w:t>
            </w:r>
          </w:p>
        </w:tc>
      </w:tr>
      <w:tr w:rsidR="00A77D9C" w14:paraId="1210956C" w14:textId="77777777">
        <w:trPr>
          <w:jc w:val="center"/>
        </w:trPr>
        <w:tc>
          <w:tcPr>
            <w:tcW w:w="6891" w:type="dxa"/>
          </w:tcPr>
          <w:p w14:paraId="01CD11D9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HCC-related death during follow-up (n)</w:t>
            </w:r>
          </w:p>
        </w:tc>
        <w:tc>
          <w:tcPr>
            <w:tcW w:w="1833" w:type="dxa"/>
          </w:tcPr>
          <w:p w14:paraId="4CBCBE59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2.930</w:t>
            </w:r>
          </w:p>
        </w:tc>
        <w:tc>
          <w:tcPr>
            <w:tcW w:w="3357" w:type="dxa"/>
          </w:tcPr>
          <w:p w14:paraId="45035E17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1.603 - 5.356</w:t>
            </w:r>
          </w:p>
        </w:tc>
        <w:tc>
          <w:tcPr>
            <w:tcW w:w="1833" w:type="dxa"/>
          </w:tcPr>
          <w:p w14:paraId="77BF19D8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＜</w:t>
            </w: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0.001</w:t>
            </w:r>
          </w:p>
        </w:tc>
      </w:tr>
    </w:tbl>
    <w:p w14:paraId="0BEA9158" w14:textId="77777777" w:rsidR="00A77D9C" w:rsidRDefault="00B24795">
      <w:pPr>
        <w:rPr>
          <w:rFonts w:ascii="Times New Roman" w:hAnsi="Times New Roman" w:cs="Times New Roman"/>
          <w:color w:val="0000FF"/>
          <w:sz w:val="24"/>
        </w:rPr>
      </w:pPr>
      <w:r>
        <w:rPr>
          <w:rFonts w:ascii="Times New Roman" w:hAnsi="Times New Roman" w:cs="Times New Roman"/>
          <w:color w:val="0000FF"/>
          <w:sz w:val="24"/>
        </w:rPr>
        <w:t xml:space="preserve">Note: </w:t>
      </w:r>
      <w:r>
        <w:rPr>
          <w:rFonts w:ascii="Times New Roman" w:hAnsi="Times New Roman" w:cs="Times New Roman" w:hint="eastAsia"/>
          <w:color w:val="0000FF"/>
          <w:sz w:val="24"/>
        </w:rPr>
        <w:t>HCC = H</w:t>
      </w:r>
      <w:r>
        <w:rPr>
          <w:rFonts w:ascii="Times New Roman" w:hAnsi="Times New Roman" w:cs="Times New Roman"/>
          <w:color w:val="0000FF"/>
          <w:sz w:val="24"/>
        </w:rPr>
        <w:t xml:space="preserve">epatocellular </w:t>
      </w:r>
      <w:r>
        <w:rPr>
          <w:rFonts w:ascii="Times New Roman" w:hAnsi="Times New Roman" w:cs="Times New Roman" w:hint="eastAsia"/>
          <w:color w:val="0000FF"/>
          <w:sz w:val="24"/>
        </w:rPr>
        <w:t>C</w:t>
      </w:r>
      <w:r>
        <w:rPr>
          <w:rFonts w:ascii="Times New Roman" w:hAnsi="Times New Roman" w:cs="Times New Roman"/>
          <w:color w:val="0000FF"/>
          <w:sz w:val="24"/>
        </w:rPr>
        <w:t>arcinoma</w:t>
      </w:r>
      <w:r>
        <w:rPr>
          <w:rFonts w:ascii="Times New Roman" w:hAnsi="Times New Roman" w:cs="Times New Roman" w:hint="eastAsia"/>
          <w:color w:val="0000FF"/>
          <w:sz w:val="24"/>
        </w:rPr>
        <w:t xml:space="preserve">, HE = Hepatic Encephalopathy, </w:t>
      </w:r>
      <w:r>
        <w:rPr>
          <w:rFonts w:ascii="Times New Roman" w:hAnsi="Times New Roman" w:cs="Times New Roman"/>
          <w:color w:val="0000FF"/>
          <w:sz w:val="24"/>
        </w:rPr>
        <w:t xml:space="preserve">OHE = Overt </w:t>
      </w:r>
      <w:r>
        <w:rPr>
          <w:rFonts w:ascii="Times New Roman" w:hAnsi="Times New Roman" w:cs="Times New Roman" w:hint="eastAsia"/>
          <w:color w:val="0000FF"/>
          <w:sz w:val="24"/>
        </w:rPr>
        <w:t>H</w:t>
      </w:r>
      <w:r>
        <w:rPr>
          <w:rFonts w:ascii="Times New Roman" w:hAnsi="Times New Roman" w:cs="Times New Roman"/>
          <w:color w:val="0000FF"/>
          <w:sz w:val="24"/>
        </w:rPr>
        <w:t xml:space="preserve">epatic </w:t>
      </w:r>
      <w:r>
        <w:rPr>
          <w:rFonts w:ascii="Times New Roman" w:hAnsi="Times New Roman" w:cs="Times New Roman" w:hint="eastAsia"/>
          <w:color w:val="0000FF"/>
          <w:sz w:val="24"/>
        </w:rPr>
        <w:t>E</w:t>
      </w:r>
      <w:r>
        <w:rPr>
          <w:rFonts w:ascii="Times New Roman" w:hAnsi="Times New Roman" w:cs="Times New Roman"/>
          <w:color w:val="0000FF"/>
          <w:sz w:val="24"/>
        </w:rPr>
        <w:t xml:space="preserve">ncephalopathy, MHE = Minimal </w:t>
      </w:r>
      <w:r>
        <w:rPr>
          <w:rFonts w:ascii="Times New Roman" w:hAnsi="Times New Roman" w:cs="Times New Roman" w:hint="eastAsia"/>
          <w:color w:val="0000FF"/>
          <w:sz w:val="24"/>
        </w:rPr>
        <w:t>H</w:t>
      </w:r>
      <w:r>
        <w:rPr>
          <w:rFonts w:ascii="Times New Roman" w:hAnsi="Times New Roman" w:cs="Times New Roman"/>
          <w:color w:val="0000FF"/>
          <w:sz w:val="24"/>
        </w:rPr>
        <w:t xml:space="preserve">epatic </w:t>
      </w:r>
      <w:r>
        <w:rPr>
          <w:rFonts w:ascii="Times New Roman" w:hAnsi="Times New Roman" w:cs="Times New Roman" w:hint="eastAsia"/>
          <w:color w:val="0000FF"/>
          <w:sz w:val="24"/>
        </w:rPr>
        <w:t>E</w:t>
      </w:r>
      <w:r>
        <w:rPr>
          <w:rFonts w:ascii="Times New Roman" w:hAnsi="Times New Roman" w:cs="Times New Roman"/>
          <w:color w:val="0000FF"/>
          <w:sz w:val="24"/>
        </w:rPr>
        <w:t>ncephalopathy</w:t>
      </w:r>
      <w:r>
        <w:rPr>
          <w:rFonts w:ascii="Times New Roman" w:hAnsi="Times New Roman" w:cs="Times New Roman" w:hint="eastAsia"/>
          <w:color w:val="0000FF"/>
          <w:sz w:val="24"/>
        </w:rPr>
        <w:t>, OR = Odds Ratio, 95%CI = 95% Confidence Interval</w:t>
      </w:r>
      <w:r>
        <w:rPr>
          <w:rFonts w:ascii="Times New Roman" w:hAnsi="Times New Roman" w:cs="Times New Roman"/>
          <w:color w:val="0000FF"/>
          <w:sz w:val="24"/>
        </w:rPr>
        <w:t>. Multivariable logistic regression was performed to assess the interaction between nighttime light pol</w:t>
      </w:r>
      <w:r>
        <w:rPr>
          <w:rFonts w:ascii="Times New Roman" w:hAnsi="Times New Roman" w:cs="Times New Roman"/>
          <w:color w:val="0000FF"/>
          <w:sz w:val="24"/>
        </w:rPr>
        <w:t xml:space="preserve">lution (dichotomized as exposed/non-exposed) and advanced age </w:t>
      </w:r>
      <w:r>
        <w:rPr>
          <w:rFonts w:ascii="Times New Roman" w:hAnsi="Times New Roman" w:cs="Times New Roman" w:hint="eastAsia"/>
          <w:color w:val="0000FF"/>
          <w:sz w:val="24"/>
        </w:rPr>
        <w:t>at</w:t>
      </w:r>
      <w:r>
        <w:rPr>
          <w:rFonts w:ascii="Times New Roman" w:hAnsi="Times New Roman" w:cs="Times New Roman"/>
          <w:color w:val="0000FF"/>
          <w:sz w:val="24"/>
        </w:rPr>
        <w:t xml:space="preserve"> baseline (dichotomized as</w:t>
      </w:r>
      <w:r>
        <w:rPr>
          <w:rFonts w:ascii="Times New Roman" w:hAnsi="Times New Roman" w:cs="Times New Roman" w:hint="eastAsia"/>
          <w:color w:val="0000FF"/>
          <w:sz w:val="24"/>
        </w:rPr>
        <w:t xml:space="preserve"> </w:t>
      </w:r>
      <w:r>
        <w:rPr>
          <w:rFonts w:ascii="Times New Roman" w:hAnsi="Times New Roman" w:cs="Times New Roman" w:hint="eastAsia"/>
          <w:color w:val="0000FF"/>
          <w:sz w:val="24"/>
        </w:rPr>
        <w:t>≥</w:t>
      </w:r>
      <w:r>
        <w:rPr>
          <w:rFonts w:ascii="Times New Roman" w:hAnsi="Times New Roman" w:cs="Times New Roman" w:hint="eastAsia"/>
          <w:color w:val="0000FF"/>
          <w:sz w:val="24"/>
        </w:rPr>
        <w:t>60 years/</w:t>
      </w:r>
      <w:r>
        <w:rPr>
          <w:rFonts w:ascii="Times New Roman" w:hAnsi="Times New Roman" w:cs="Times New Roman" w:hint="eastAsia"/>
          <w:color w:val="0000FF"/>
          <w:sz w:val="24"/>
        </w:rPr>
        <w:t>＜</w:t>
      </w:r>
      <w:r>
        <w:rPr>
          <w:rFonts w:ascii="Times New Roman" w:hAnsi="Times New Roman" w:cs="Times New Roman" w:hint="eastAsia"/>
          <w:color w:val="0000FF"/>
          <w:sz w:val="24"/>
        </w:rPr>
        <w:t>60 years</w:t>
      </w:r>
      <w:r>
        <w:rPr>
          <w:rFonts w:ascii="Times New Roman" w:hAnsi="Times New Roman" w:cs="Times New Roman"/>
          <w:color w:val="0000FF"/>
          <w:sz w:val="24"/>
        </w:rPr>
        <w:t>) for the above outcomes. The interaction term was generated by the product of the two dichotomous variables, and the model was adjusted for varia</w:t>
      </w:r>
      <w:r>
        <w:rPr>
          <w:rFonts w:ascii="Times New Roman" w:hAnsi="Times New Roman" w:cs="Times New Roman"/>
          <w:color w:val="0000FF"/>
          <w:sz w:val="24"/>
        </w:rPr>
        <w:t xml:space="preserve">bles with between-group differences or potential differences (P &lt; 0.1) including </w:t>
      </w:r>
      <w:r>
        <w:rPr>
          <w:rFonts w:ascii="Times New Roman" w:hAnsi="Times New Roman" w:cs="Times New Roman" w:hint="eastAsia"/>
          <w:color w:val="0000FF"/>
          <w:sz w:val="24"/>
        </w:rPr>
        <w:t xml:space="preserve">sleep disorders from baseline to the 4th month, </w:t>
      </w:r>
      <w:r>
        <w:rPr>
          <w:rFonts w:ascii="Times New Roman" w:hAnsi="Times New Roman" w:cs="Times New Roman"/>
          <w:color w:val="0000FF"/>
          <w:sz w:val="24"/>
        </w:rPr>
        <w:t>baseline characteristics of subjects</w:t>
      </w:r>
      <w:r>
        <w:rPr>
          <w:rFonts w:ascii="Times New Roman" w:hAnsi="Times New Roman" w:cs="Times New Roman" w:hint="eastAsia"/>
          <w:color w:val="0000FF"/>
          <w:sz w:val="24"/>
        </w:rPr>
        <w:t xml:space="preserve"> (excluding age)</w:t>
      </w:r>
      <w:r>
        <w:rPr>
          <w:rFonts w:ascii="Times New Roman" w:hAnsi="Times New Roman" w:cs="Times New Roman"/>
          <w:color w:val="0000FF"/>
          <w:sz w:val="24"/>
        </w:rPr>
        <w:t xml:space="preserve">, baseline characteristics of </w:t>
      </w:r>
      <w:r>
        <w:rPr>
          <w:rFonts w:ascii="Times New Roman" w:hAnsi="Times New Roman" w:cs="Times New Roman" w:hint="eastAsia"/>
          <w:color w:val="0000FF"/>
          <w:sz w:val="24"/>
        </w:rPr>
        <w:t>HCC</w:t>
      </w:r>
      <w:r>
        <w:rPr>
          <w:rFonts w:ascii="Times New Roman" w:hAnsi="Times New Roman" w:cs="Times New Roman"/>
          <w:color w:val="0000FF"/>
          <w:sz w:val="24"/>
        </w:rPr>
        <w:t xml:space="preserve"> and </w:t>
      </w:r>
      <w:r>
        <w:rPr>
          <w:rFonts w:ascii="Times New Roman" w:hAnsi="Times New Roman" w:cs="Times New Roman" w:hint="eastAsia"/>
          <w:color w:val="0000FF"/>
          <w:sz w:val="24"/>
        </w:rPr>
        <w:t>HE</w:t>
      </w:r>
      <w:r>
        <w:rPr>
          <w:rFonts w:ascii="Times New Roman" w:hAnsi="Times New Roman" w:cs="Times New Roman"/>
          <w:color w:val="0000FF"/>
          <w:sz w:val="24"/>
        </w:rPr>
        <w:t xml:space="preserve">, and treatment measures and daily </w:t>
      </w:r>
      <w:r>
        <w:rPr>
          <w:rFonts w:ascii="Times New Roman" w:hAnsi="Times New Roman" w:cs="Times New Roman"/>
          <w:color w:val="0000FF"/>
          <w:sz w:val="24"/>
        </w:rPr>
        <w:t>living conditions during follow-up.</w:t>
      </w:r>
      <w:r>
        <w:rPr>
          <w:rFonts w:ascii="Times New Roman" w:hAnsi="Times New Roman" w:cs="Times New Roman" w:hint="eastAsia"/>
          <w:color w:val="0000FF"/>
          <w:sz w:val="24"/>
        </w:rPr>
        <w:t xml:space="preserve"> </w:t>
      </w:r>
    </w:p>
    <w:p w14:paraId="1690D1A6" w14:textId="77777777" w:rsidR="00A77D9C" w:rsidRDefault="00B24795">
      <w:pPr>
        <w:rPr>
          <w:rFonts w:ascii="Times New Roman" w:hAnsi="Times New Roman" w:cs="Times New Roman"/>
          <w:color w:val="0000FF"/>
          <w:sz w:val="24"/>
        </w:rPr>
      </w:pPr>
      <w:r>
        <w:rPr>
          <w:rFonts w:ascii="Times New Roman" w:hAnsi="Times New Roman" w:cs="Times New Roman" w:hint="eastAsia"/>
          <w:color w:val="0000FF"/>
          <w:sz w:val="24"/>
        </w:rPr>
        <w:br w:type="page"/>
      </w:r>
    </w:p>
    <w:p w14:paraId="5E94F70D" w14:textId="77777777" w:rsidR="00A77D9C" w:rsidRDefault="00B24795">
      <w:pPr>
        <w:jc w:val="center"/>
        <w:rPr>
          <w:rFonts w:ascii="Times New Roman" w:hAnsi="Times New Roman" w:cs="Times New Roman"/>
          <w:b/>
          <w:bCs/>
          <w:color w:val="0000FF"/>
          <w:sz w:val="24"/>
        </w:rPr>
      </w:pPr>
      <w:r>
        <w:rPr>
          <w:rFonts w:ascii="Times New Roman" w:hAnsi="Times New Roman" w:cs="Times New Roman" w:hint="eastAsia"/>
          <w:b/>
          <w:bCs/>
          <w:color w:val="0000FF"/>
          <w:sz w:val="24"/>
        </w:rPr>
        <w:t>Supplemental Table 4 Association of nighttime light pollution and TNM stage interaction with outcomes of HCC and HE assessed by multivariable logistic regression</w:t>
      </w:r>
    </w:p>
    <w:tbl>
      <w:tblPr>
        <w:tblStyle w:val="TableGrid"/>
        <w:tblW w:w="13914" w:type="dxa"/>
        <w:jc w:val="center"/>
        <w:tblLook w:val="04A0" w:firstRow="1" w:lastRow="0" w:firstColumn="1" w:lastColumn="0" w:noHBand="0" w:noVBand="1"/>
      </w:tblPr>
      <w:tblGrid>
        <w:gridCol w:w="6891"/>
        <w:gridCol w:w="1833"/>
        <w:gridCol w:w="3357"/>
        <w:gridCol w:w="1833"/>
      </w:tblGrid>
      <w:tr w:rsidR="00A77D9C" w14:paraId="091AEFD7" w14:textId="77777777">
        <w:trPr>
          <w:jc w:val="center"/>
        </w:trPr>
        <w:tc>
          <w:tcPr>
            <w:tcW w:w="6891" w:type="dxa"/>
          </w:tcPr>
          <w:p w14:paraId="512D56A2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Variable</w:t>
            </w:r>
          </w:p>
        </w:tc>
        <w:tc>
          <w:tcPr>
            <w:tcW w:w="1833" w:type="dxa"/>
          </w:tcPr>
          <w:p w14:paraId="3F9BE3C5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OR</w:t>
            </w:r>
          </w:p>
        </w:tc>
        <w:tc>
          <w:tcPr>
            <w:tcW w:w="3357" w:type="dxa"/>
          </w:tcPr>
          <w:p w14:paraId="4F8F0F10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95%CI</w:t>
            </w:r>
          </w:p>
        </w:tc>
        <w:tc>
          <w:tcPr>
            <w:tcW w:w="1833" w:type="dxa"/>
          </w:tcPr>
          <w:p w14:paraId="39D891E4" w14:textId="77777777" w:rsidR="00A77D9C" w:rsidRDefault="00B24795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>P value</w:t>
            </w:r>
          </w:p>
        </w:tc>
      </w:tr>
      <w:tr w:rsidR="00A77D9C" w14:paraId="398675AA" w14:textId="77777777">
        <w:trPr>
          <w:jc w:val="center"/>
        </w:trPr>
        <w:tc>
          <w:tcPr>
            <w:tcW w:w="6891" w:type="dxa"/>
          </w:tcPr>
          <w:p w14:paraId="363DAD40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Liver function</w:t>
            </w: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outcomes</w:t>
            </w:r>
          </w:p>
        </w:tc>
        <w:tc>
          <w:tcPr>
            <w:tcW w:w="1833" w:type="dxa"/>
          </w:tcPr>
          <w:p w14:paraId="3A18B046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5660E055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4337D46F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1D17A3ED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5052048B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Blood albumin level decreased by &gt;10% at follow-up end (n)</w:t>
            </w:r>
          </w:p>
        </w:tc>
        <w:tc>
          <w:tcPr>
            <w:tcW w:w="1833" w:type="dxa"/>
            <w:shd w:val="clear" w:color="auto" w:fill="auto"/>
          </w:tcPr>
          <w:p w14:paraId="7BB601FB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2.293</w:t>
            </w:r>
          </w:p>
        </w:tc>
        <w:tc>
          <w:tcPr>
            <w:tcW w:w="3357" w:type="dxa"/>
            <w:shd w:val="clear" w:color="auto" w:fill="auto"/>
          </w:tcPr>
          <w:p w14:paraId="015119BF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1.153 - 4.559</w:t>
            </w:r>
          </w:p>
        </w:tc>
        <w:tc>
          <w:tcPr>
            <w:tcW w:w="1833" w:type="dxa"/>
            <w:shd w:val="clear" w:color="auto" w:fill="auto"/>
          </w:tcPr>
          <w:p w14:paraId="5DB6CA5E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0.018</w:t>
            </w:r>
          </w:p>
        </w:tc>
      </w:tr>
      <w:tr w:rsidR="00A77D9C" w14:paraId="54F9610F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7BA57637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Blood total bilirubin level increased by &gt;10% at follow-up end (n)</w:t>
            </w:r>
          </w:p>
        </w:tc>
        <w:tc>
          <w:tcPr>
            <w:tcW w:w="1833" w:type="dxa"/>
          </w:tcPr>
          <w:p w14:paraId="6F42291D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2.206</w:t>
            </w:r>
          </w:p>
        </w:tc>
        <w:tc>
          <w:tcPr>
            <w:tcW w:w="3357" w:type="dxa"/>
          </w:tcPr>
          <w:p w14:paraId="27FB55DC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1.116 - 4.358</w:t>
            </w:r>
          </w:p>
        </w:tc>
        <w:tc>
          <w:tcPr>
            <w:tcW w:w="1833" w:type="dxa"/>
          </w:tcPr>
          <w:p w14:paraId="5B2C7641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0.023</w:t>
            </w:r>
          </w:p>
        </w:tc>
      </w:tr>
      <w:tr w:rsidR="00A77D9C" w14:paraId="57513659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18048FB4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Prothrombin time prolonged by &gt;10% at follow-up end (n)</w:t>
            </w:r>
          </w:p>
        </w:tc>
        <w:tc>
          <w:tcPr>
            <w:tcW w:w="1833" w:type="dxa"/>
          </w:tcPr>
          <w:p w14:paraId="5A51E366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2.050</w:t>
            </w:r>
          </w:p>
        </w:tc>
        <w:tc>
          <w:tcPr>
            <w:tcW w:w="3357" w:type="dxa"/>
          </w:tcPr>
          <w:p w14:paraId="21EAE8C4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1.033 - 4.067</w:t>
            </w:r>
          </w:p>
        </w:tc>
        <w:tc>
          <w:tcPr>
            <w:tcW w:w="1833" w:type="dxa"/>
          </w:tcPr>
          <w:p w14:paraId="7F26D0B7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0.040</w:t>
            </w:r>
          </w:p>
        </w:tc>
      </w:tr>
      <w:tr w:rsidR="00A77D9C" w14:paraId="181791FD" w14:textId="77777777">
        <w:trPr>
          <w:jc w:val="center"/>
        </w:trPr>
        <w:tc>
          <w:tcPr>
            <w:tcW w:w="6891" w:type="dxa"/>
          </w:tcPr>
          <w:p w14:paraId="16C3EA02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FF"/>
                <w:sz w:val="24"/>
              </w:rPr>
              <w:t xml:space="preserve">HE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outcomes</w:t>
            </w:r>
          </w:p>
        </w:tc>
        <w:tc>
          <w:tcPr>
            <w:tcW w:w="1833" w:type="dxa"/>
          </w:tcPr>
          <w:p w14:paraId="07590B6E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1734D4CF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328E93F0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3F58AADA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68E0BF40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</w:rPr>
              <w:t>OHE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during follow-up (n)</w:t>
            </w:r>
          </w:p>
        </w:tc>
        <w:tc>
          <w:tcPr>
            <w:tcW w:w="1833" w:type="dxa"/>
          </w:tcPr>
          <w:p w14:paraId="596A73F4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3.435</w:t>
            </w:r>
          </w:p>
        </w:tc>
        <w:tc>
          <w:tcPr>
            <w:tcW w:w="3357" w:type="dxa"/>
          </w:tcPr>
          <w:p w14:paraId="40120907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1.448 - 8.150</w:t>
            </w:r>
          </w:p>
        </w:tc>
        <w:tc>
          <w:tcPr>
            <w:tcW w:w="1833" w:type="dxa"/>
            <w:shd w:val="clear" w:color="auto" w:fill="auto"/>
          </w:tcPr>
          <w:p w14:paraId="1DE9C94A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0.005</w:t>
            </w:r>
          </w:p>
        </w:tc>
      </w:tr>
      <w:tr w:rsidR="00A77D9C" w14:paraId="4E18ADCE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66D60A79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New-onset 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MHE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at follow-up end (n)</w:t>
            </w:r>
          </w:p>
        </w:tc>
        <w:tc>
          <w:tcPr>
            <w:tcW w:w="1833" w:type="dxa"/>
          </w:tcPr>
          <w:p w14:paraId="2F33D008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1.742</w:t>
            </w:r>
          </w:p>
        </w:tc>
        <w:tc>
          <w:tcPr>
            <w:tcW w:w="3357" w:type="dxa"/>
          </w:tcPr>
          <w:p w14:paraId="5A3EC748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0.759 - 4.000</w:t>
            </w:r>
          </w:p>
        </w:tc>
        <w:tc>
          <w:tcPr>
            <w:tcW w:w="1833" w:type="dxa"/>
            <w:shd w:val="clear" w:color="auto" w:fill="auto"/>
          </w:tcPr>
          <w:p w14:paraId="1A8AFC69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0.190</w:t>
            </w:r>
          </w:p>
        </w:tc>
      </w:tr>
      <w:tr w:rsidR="00A77D9C" w14:paraId="694B22D1" w14:textId="77777777">
        <w:trPr>
          <w:jc w:val="center"/>
        </w:trPr>
        <w:tc>
          <w:tcPr>
            <w:tcW w:w="6891" w:type="dxa"/>
            <w:shd w:val="clear" w:color="auto" w:fill="auto"/>
          </w:tcPr>
          <w:p w14:paraId="051F33B6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PHES score further decreased in baseline MHE patients</w:t>
            </w: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(n)</w:t>
            </w:r>
          </w:p>
        </w:tc>
        <w:tc>
          <w:tcPr>
            <w:tcW w:w="1833" w:type="dxa"/>
          </w:tcPr>
          <w:p w14:paraId="7344E869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2.920</w:t>
            </w:r>
          </w:p>
        </w:tc>
        <w:tc>
          <w:tcPr>
            <w:tcW w:w="3357" w:type="dxa"/>
          </w:tcPr>
          <w:p w14:paraId="5E2C4E64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1.243 - 6.859</w:t>
            </w:r>
          </w:p>
        </w:tc>
        <w:tc>
          <w:tcPr>
            <w:tcW w:w="1833" w:type="dxa"/>
          </w:tcPr>
          <w:p w14:paraId="5600900C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0.014</w:t>
            </w:r>
          </w:p>
        </w:tc>
      </w:tr>
      <w:tr w:rsidR="00A77D9C" w14:paraId="042C8291" w14:textId="77777777">
        <w:trPr>
          <w:jc w:val="center"/>
        </w:trPr>
        <w:tc>
          <w:tcPr>
            <w:tcW w:w="6891" w:type="dxa"/>
          </w:tcPr>
          <w:p w14:paraId="7E50F195" w14:textId="77777777" w:rsidR="00A77D9C" w:rsidRDefault="00B24795">
            <w:pP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</w:rPr>
              <w:t>Other adverse outcomes</w:t>
            </w:r>
          </w:p>
        </w:tc>
        <w:tc>
          <w:tcPr>
            <w:tcW w:w="1833" w:type="dxa"/>
          </w:tcPr>
          <w:p w14:paraId="5CF04450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FF"/>
                <w:sz w:val="24"/>
              </w:rPr>
            </w:pPr>
          </w:p>
        </w:tc>
        <w:tc>
          <w:tcPr>
            <w:tcW w:w="3357" w:type="dxa"/>
          </w:tcPr>
          <w:p w14:paraId="17755CDD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FF"/>
                <w:sz w:val="24"/>
              </w:rPr>
            </w:pPr>
          </w:p>
        </w:tc>
        <w:tc>
          <w:tcPr>
            <w:tcW w:w="1833" w:type="dxa"/>
          </w:tcPr>
          <w:p w14:paraId="5ED870E2" w14:textId="77777777" w:rsidR="00A77D9C" w:rsidRDefault="00A77D9C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</w:tr>
      <w:tr w:rsidR="00A77D9C" w14:paraId="2A473896" w14:textId="77777777">
        <w:trPr>
          <w:jc w:val="center"/>
        </w:trPr>
        <w:tc>
          <w:tcPr>
            <w:tcW w:w="6891" w:type="dxa"/>
          </w:tcPr>
          <w:p w14:paraId="06E453E0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Esophagogastric</w:t>
            </w:r>
            <w:proofErr w:type="spellEnd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variceal</w:t>
            </w:r>
            <w:proofErr w:type="spellEnd"/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 xml:space="preserve"> rupture during follow-up (n)</w:t>
            </w:r>
          </w:p>
        </w:tc>
        <w:tc>
          <w:tcPr>
            <w:tcW w:w="1833" w:type="dxa"/>
          </w:tcPr>
          <w:p w14:paraId="16799053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1.980</w:t>
            </w:r>
          </w:p>
        </w:tc>
        <w:tc>
          <w:tcPr>
            <w:tcW w:w="3357" w:type="dxa"/>
          </w:tcPr>
          <w:p w14:paraId="37D9302F" w14:textId="77777777" w:rsidR="00A77D9C" w:rsidRDefault="00B24795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0.858 - 4.566</w:t>
            </w:r>
          </w:p>
        </w:tc>
        <w:tc>
          <w:tcPr>
            <w:tcW w:w="1833" w:type="dxa"/>
            <w:shd w:val="clear" w:color="auto" w:fill="auto"/>
          </w:tcPr>
          <w:p w14:paraId="175E4C10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0.109</w:t>
            </w:r>
          </w:p>
        </w:tc>
      </w:tr>
      <w:tr w:rsidR="00A77D9C" w14:paraId="28FEF549" w14:textId="77777777">
        <w:trPr>
          <w:jc w:val="center"/>
        </w:trPr>
        <w:tc>
          <w:tcPr>
            <w:tcW w:w="6891" w:type="dxa"/>
          </w:tcPr>
          <w:p w14:paraId="2ABD1F47" w14:textId="77777777" w:rsidR="00A77D9C" w:rsidRDefault="00B24795">
            <w:pPr>
              <w:rPr>
                <w:rFonts w:ascii="Times New Roman" w:hAnsi="Times New Roman" w:cs="Times New Roman"/>
                <w:color w:val="0000FF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FF"/>
                <w:sz w:val="24"/>
              </w:rPr>
              <w:t>HCC-related death during follow-up (n)</w:t>
            </w:r>
          </w:p>
        </w:tc>
        <w:tc>
          <w:tcPr>
            <w:tcW w:w="1833" w:type="dxa"/>
          </w:tcPr>
          <w:p w14:paraId="49EC183D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2.029</w:t>
            </w:r>
          </w:p>
        </w:tc>
        <w:tc>
          <w:tcPr>
            <w:tcW w:w="3357" w:type="dxa"/>
          </w:tcPr>
          <w:p w14:paraId="341260AD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0.841 - 4.898</w:t>
            </w:r>
          </w:p>
        </w:tc>
        <w:tc>
          <w:tcPr>
            <w:tcW w:w="1833" w:type="dxa"/>
          </w:tcPr>
          <w:p w14:paraId="4B41478B" w14:textId="77777777" w:rsidR="00A77D9C" w:rsidRDefault="00B24795">
            <w:pPr>
              <w:jc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FF"/>
                <w:sz w:val="24"/>
              </w:rPr>
              <w:t>0.115</w:t>
            </w:r>
          </w:p>
        </w:tc>
      </w:tr>
    </w:tbl>
    <w:p w14:paraId="4DA6F874" w14:textId="77777777" w:rsidR="00A77D9C" w:rsidRDefault="00B24795">
      <w:pPr>
        <w:rPr>
          <w:rFonts w:ascii="Times New Roman" w:hAnsi="Times New Roman" w:cs="Times New Roman"/>
          <w:color w:val="0000FF"/>
          <w:sz w:val="24"/>
        </w:rPr>
      </w:pPr>
      <w:r>
        <w:rPr>
          <w:rFonts w:ascii="Times New Roman" w:hAnsi="Times New Roman" w:cs="Times New Roman"/>
          <w:color w:val="0000FF"/>
          <w:sz w:val="24"/>
        </w:rPr>
        <w:t xml:space="preserve">Note: </w:t>
      </w:r>
      <w:r>
        <w:rPr>
          <w:rFonts w:ascii="Times New Roman" w:hAnsi="Times New Roman" w:cs="Times New Roman" w:hint="eastAsia"/>
          <w:color w:val="0000FF"/>
          <w:sz w:val="24"/>
        </w:rPr>
        <w:t>HCC = H</w:t>
      </w:r>
      <w:r>
        <w:rPr>
          <w:rFonts w:ascii="Times New Roman" w:hAnsi="Times New Roman" w:cs="Times New Roman"/>
          <w:color w:val="0000FF"/>
          <w:sz w:val="24"/>
        </w:rPr>
        <w:t xml:space="preserve">epatocellular </w:t>
      </w:r>
      <w:r>
        <w:rPr>
          <w:rFonts w:ascii="Times New Roman" w:hAnsi="Times New Roman" w:cs="Times New Roman" w:hint="eastAsia"/>
          <w:color w:val="0000FF"/>
          <w:sz w:val="24"/>
        </w:rPr>
        <w:t>C</w:t>
      </w:r>
      <w:r>
        <w:rPr>
          <w:rFonts w:ascii="Times New Roman" w:hAnsi="Times New Roman" w:cs="Times New Roman"/>
          <w:color w:val="0000FF"/>
          <w:sz w:val="24"/>
        </w:rPr>
        <w:t>arcinoma</w:t>
      </w:r>
      <w:r>
        <w:rPr>
          <w:rFonts w:ascii="Times New Roman" w:hAnsi="Times New Roman" w:cs="Times New Roman" w:hint="eastAsia"/>
          <w:color w:val="0000FF"/>
          <w:sz w:val="24"/>
        </w:rPr>
        <w:t xml:space="preserve">, HE = Hepatic Encephalopathy, </w:t>
      </w:r>
      <w:r>
        <w:rPr>
          <w:rFonts w:ascii="Times New Roman" w:hAnsi="Times New Roman" w:cs="Times New Roman"/>
          <w:color w:val="0000FF"/>
          <w:sz w:val="24"/>
        </w:rPr>
        <w:t xml:space="preserve">OHE = Overt </w:t>
      </w:r>
      <w:r>
        <w:rPr>
          <w:rFonts w:ascii="Times New Roman" w:hAnsi="Times New Roman" w:cs="Times New Roman" w:hint="eastAsia"/>
          <w:color w:val="0000FF"/>
          <w:sz w:val="24"/>
        </w:rPr>
        <w:t>H</w:t>
      </w:r>
      <w:r>
        <w:rPr>
          <w:rFonts w:ascii="Times New Roman" w:hAnsi="Times New Roman" w:cs="Times New Roman"/>
          <w:color w:val="0000FF"/>
          <w:sz w:val="24"/>
        </w:rPr>
        <w:t xml:space="preserve">epatic </w:t>
      </w:r>
      <w:r>
        <w:rPr>
          <w:rFonts w:ascii="Times New Roman" w:hAnsi="Times New Roman" w:cs="Times New Roman" w:hint="eastAsia"/>
          <w:color w:val="0000FF"/>
          <w:sz w:val="24"/>
        </w:rPr>
        <w:t>E</w:t>
      </w:r>
      <w:r>
        <w:rPr>
          <w:rFonts w:ascii="Times New Roman" w:hAnsi="Times New Roman" w:cs="Times New Roman"/>
          <w:color w:val="0000FF"/>
          <w:sz w:val="24"/>
        </w:rPr>
        <w:t xml:space="preserve">ncephalopathy, MHE = Minimal </w:t>
      </w:r>
      <w:r>
        <w:rPr>
          <w:rFonts w:ascii="Times New Roman" w:hAnsi="Times New Roman" w:cs="Times New Roman" w:hint="eastAsia"/>
          <w:color w:val="0000FF"/>
          <w:sz w:val="24"/>
        </w:rPr>
        <w:t>H</w:t>
      </w:r>
      <w:r>
        <w:rPr>
          <w:rFonts w:ascii="Times New Roman" w:hAnsi="Times New Roman" w:cs="Times New Roman"/>
          <w:color w:val="0000FF"/>
          <w:sz w:val="24"/>
        </w:rPr>
        <w:t xml:space="preserve">epatic </w:t>
      </w:r>
      <w:r>
        <w:rPr>
          <w:rFonts w:ascii="Times New Roman" w:hAnsi="Times New Roman" w:cs="Times New Roman" w:hint="eastAsia"/>
          <w:color w:val="0000FF"/>
          <w:sz w:val="24"/>
        </w:rPr>
        <w:t>E</w:t>
      </w:r>
      <w:r>
        <w:rPr>
          <w:rFonts w:ascii="Times New Roman" w:hAnsi="Times New Roman" w:cs="Times New Roman"/>
          <w:color w:val="0000FF"/>
          <w:sz w:val="24"/>
        </w:rPr>
        <w:t>ncephalopathy</w:t>
      </w:r>
      <w:r>
        <w:rPr>
          <w:rFonts w:ascii="Times New Roman" w:hAnsi="Times New Roman" w:cs="Times New Roman" w:hint="eastAsia"/>
          <w:color w:val="0000FF"/>
          <w:sz w:val="24"/>
        </w:rPr>
        <w:t>, OR = Odds Ratio, 95%CI = 95% Confidence Interval</w:t>
      </w:r>
      <w:r>
        <w:rPr>
          <w:rFonts w:ascii="Times New Roman" w:hAnsi="Times New Roman" w:cs="Times New Roman"/>
          <w:color w:val="0000FF"/>
          <w:sz w:val="24"/>
        </w:rPr>
        <w:t xml:space="preserve">. Multivariable logistic regression </w:t>
      </w:r>
      <w:proofErr w:type="gramStart"/>
      <w:r>
        <w:rPr>
          <w:rFonts w:ascii="Times New Roman" w:hAnsi="Times New Roman" w:cs="Times New Roman"/>
          <w:color w:val="0000FF"/>
          <w:sz w:val="24"/>
        </w:rPr>
        <w:t>was performed</w:t>
      </w:r>
      <w:proofErr w:type="gramEnd"/>
      <w:r>
        <w:rPr>
          <w:rFonts w:ascii="Times New Roman" w:hAnsi="Times New Roman" w:cs="Times New Roman"/>
          <w:color w:val="0000FF"/>
          <w:sz w:val="24"/>
        </w:rPr>
        <w:t xml:space="preserve"> to assess the interaction between nighttime light pollution (dichotomized as exposed/non-exposed) and TNM</w:t>
      </w:r>
      <w:r>
        <w:rPr>
          <w:rFonts w:ascii="Times New Roman" w:hAnsi="Times New Roman" w:cs="Times New Roman"/>
          <w:color w:val="0000FF"/>
          <w:sz w:val="24"/>
        </w:rPr>
        <w:t xml:space="preserve"> stage </w:t>
      </w:r>
      <w:r>
        <w:rPr>
          <w:rFonts w:ascii="Times New Roman" w:hAnsi="Times New Roman" w:cs="Times New Roman" w:hint="eastAsia"/>
          <w:color w:val="0000FF"/>
          <w:sz w:val="24"/>
        </w:rPr>
        <w:t>at</w:t>
      </w:r>
      <w:r>
        <w:rPr>
          <w:rFonts w:ascii="Times New Roman" w:hAnsi="Times New Roman" w:cs="Times New Roman"/>
          <w:color w:val="0000FF"/>
          <w:sz w:val="24"/>
        </w:rPr>
        <w:t xml:space="preserve"> baseline (dichotomized as</w:t>
      </w:r>
      <w:r>
        <w:rPr>
          <w:rFonts w:ascii="Times New Roman" w:hAnsi="Times New Roman" w:cs="Times New Roman" w:hint="eastAsia"/>
          <w:color w:val="0000FF"/>
          <w:sz w:val="24"/>
        </w:rPr>
        <w:t xml:space="preserve"> stage IV/stage I-III</w:t>
      </w:r>
      <w:r>
        <w:rPr>
          <w:rFonts w:ascii="Times New Roman" w:hAnsi="Times New Roman" w:cs="Times New Roman"/>
          <w:color w:val="0000FF"/>
          <w:sz w:val="24"/>
        </w:rPr>
        <w:t xml:space="preserve">) for the above outcomes. The </w:t>
      </w:r>
      <w:proofErr w:type="gramStart"/>
      <w:r>
        <w:rPr>
          <w:rFonts w:ascii="Times New Roman" w:hAnsi="Times New Roman" w:cs="Times New Roman"/>
          <w:color w:val="0000FF"/>
          <w:sz w:val="24"/>
        </w:rPr>
        <w:t>interaction term was generated by the product of the two dichotomous variables</w:t>
      </w:r>
      <w:proofErr w:type="gramEnd"/>
      <w:r>
        <w:rPr>
          <w:rFonts w:ascii="Times New Roman" w:hAnsi="Times New Roman" w:cs="Times New Roman"/>
          <w:color w:val="0000FF"/>
          <w:sz w:val="24"/>
        </w:rPr>
        <w:t>, and the model was adjusted for variables with between-group differences or potential diffe</w:t>
      </w:r>
      <w:r>
        <w:rPr>
          <w:rFonts w:ascii="Times New Roman" w:hAnsi="Times New Roman" w:cs="Times New Roman"/>
          <w:color w:val="0000FF"/>
          <w:sz w:val="24"/>
        </w:rPr>
        <w:t xml:space="preserve">rences (P &lt; 0.1) including </w:t>
      </w:r>
      <w:r>
        <w:rPr>
          <w:rFonts w:ascii="Times New Roman" w:hAnsi="Times New Roman" w:cs="Times New Roman" w:hint="eastAsia"/>
          <w:color w:val="0000FF"/>
          <w:sz w:val="24"/>
        </w:rPr>
        <w:t xml:space="preserve">sleep disorders from baseline to the 4th month, </w:t>
      </w:r>
      <w:r>
        <w:rPr>
          <w:rFonts w:ascii="Times New Roman" w:hAnsi="Times New Roman" w:cs="Times New Roman"/>
          <w:color w:val="0000FF"/>
          <w:sz w:val="24"/>
        </w:rPr>
        <w:t>baseline characteristics of subjects, and treatment measures and daily living conditions during follow-up.</w:t>
      </w:r>
      <w:r>
        <w:rPr>
          <w:rFonts w:ascii="Times New Roman" w:hAnsi="Times New Roman" w:cs="Times New Roman" w:hint="eastAsia"/>
          <w:color w:val="0000FF"/>
          <w:sz w:val="24"/>
        </w:rPr>
        <w:t xml:space="preserve"> </w:t>
      </w:r>
    </w:p>
    <w:p w14:paraId="20859A1D" w14:textId="77777777" w:rsidR="00A77D9C" w:rsidRDefault="00A77D9C">
      <w:pPr>
        <w:rPr>
          <w:rFonts w:ascii="Times New Roman" w:hAnsi="Times New Roman" w:cs="Times New Roman"/>
          <w:color w:val="0000FF"/>
          <w:sz w:val="24"/>
        </w:rPr>
      </w:pPr>
    </w:p>
    <w:bookmarkEnd w:id="0"/>
    <w:p w14:paraId="10C8D069" w14:textId="77777777" w:rsidR="00A77D9C" w:rsidRDefault="00A77D9C">
      <w:pPr>
        <w:spacing w:line="480" w:lineRule="auto"/>
        <w:rPr>
          <w:rFonts w:ascii="Times New Roman" w:hAnsi="Times New Roman" w:cs="Times New Roman"/>
          <w:sz w:val="24"/>
        </w:rPr>
      </w:pPr>
    </w:p>
    <w:sectPr w:rsidR="00A77D9C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9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9C"/>
    <w:rsid w:val="00A77D9C"/>
    <w:rsid w:val="00B24795"/>
    <w:rsid w:val="00CE2554"/>
    <w:rsid w:val="01443543"/>
    <w:rsid w:val="01A93FA3"/>
    <w:rsid w:val="01E951C2"/>
    <w:rsid w:val="029B5BE6"/>
    <w:rsid w:val="03656247"/>
    <w:rsid w:val="0376406E"/>
    <w:rsid w:val="0381423B"/>
    <w:rsid w:val="03C00731"/>
    <w:rsid w:val="044F0706"/>
    <w:rsid w:val="04702B56"/>
    <w:rsid w:val="051F450F"/>
    <w:rsid w:val="05365CC4"/>
    <w:rsid w:val="057401D6"/>
    <w:rsid w:val="05C0366A"/>
    <w:rsid w:val="073562D9"/>
    <w:rsid w:val="0737526D"/>
    <w:rsid w:val="07772C23"/>
    <w:rsid w:val="07C558F3"/>
    <w:rsid w:val="0881423A"/>
    <w:rsid w:val="08991928"/>
    <w:rsid w:val="08B84AF8"/>
    <w:rsid w:val="08D44FBA"/>
    <w:rsid w:val="096807EE"/>
    <w:rsid w:val="09757E9C"/>
    <w:rsid w:val="0A127412"/>
    <w:rsid w:val="0A162790"/>
    <w:rsid w:val="0A500240"/>
    <w:rsid w:val="0B043737"/>
    <w:rsid w:val="0B582739"/>
    <w:rsid w:val="0B6C2198"/>
    <w:rsid w:val="0C0D432D"/>
    <w:rsid w:val="0D9A0C44"/>
    <w:rsid w:val="0EFC789E"/>
    <w:rsid w:val="0FED7751"/>
    <w:rsid w:val="10754EEE"/>
    <w:rsid w:val="11EA4B48"/>
    <w:rsid w:val="12AA2387"/>
    <w:rsid w:val="1393384C"/>
    <w:rsid w:val="143E7E33"/>
    <w:rsid w:val="147D6BCA"/>
    <w:rsid w:val="14B0643E"/>
    <w:rsid w:val="15CC6F1E"/>
    <w:rsid w:val="162D74E0"/>
    <w:rsid w:val="17345C65"/>
    <w:rsid w:val="17A1542D"/>
    <w:rsid w:val="17B335A3"/>
    <w:rsid w:val="18582A40"/>
    <w:rsid w:val="190138C2"/>
    <w:rsid w:val="1A362405"/>
    <w:rsid w:val="1A7E6519"/>
    <w:rsid w:val="1AB94153"/>
    <w:rsid w:val="1B40461A"/>
    <w:rsid w:val="1B8C32EA"/>
    <w:rsid w:val="1BCA64FE"/>
    <w:rsid w:val="1C444B9D"/>
    <w:rsid w:val="1D025F20"/>
    <w:rsid w:val="1D9F3462"/>
    <w:rsid w:val="1F056615"/>
    <w:rsid w:val="1F953961"/>
    <w:rsid w:val="204F58BE"/>
    <w:rsid w:val="21374679"/>
    <w:rsid w:val="21CB7825"/>
    <w:rsid w:val="22574EFE"/>
    <w:rsid w:val="22685B13"/>
    <w:rsid w:val="227D675C"/>
    <w:rsid w:val="234A2FC9"/>
    <w:rsid w:val="239719AC"/>
    <w:rsid w:val="23B1063E"/>
    <w:rsid w:val="249051FF"/>
    <w:rsid w:val="24EF43FF"/>
    <w:rsid w:val="24FC11A7"/>
    <w:rsid w:val="2564005E"/>
    <w:rsid w:val="261E10CA"/>
    <w:rsid w:val="296E1A34"/>
    <w:rsid w:val="2AC82E3D"/>
    <w:rsid w:val="2BA822AB"/>
    <w:rsid w:val="2C080102"/>
    <w:rsid w:val="2C2176CE"/>
    <w:rsid w:val="2EC6148C"/>
    <w:rsid w:val="2F11116D"/>
    <w:rsid w:val="2FB971F8"/>
    <w:rsid w:val="2FEC244E"/>
    <w:rsid w:val="309C68FD"/>
    <w:rsid w:val="312165F8"/>
    <w:rsid w:val="31761C74"/>
    <w:rsid w:val="33736120"/>
    <w:rsid w:val="34B866F6"/>
    <w:rsid w:val="35CB59B7"/>
    <w:rsid w:val="363B72A9"/>
    <w:rsid w:val="36D314EF"/>
    <w:rsid w:val="36EA7917"/>
    <w:rsid w:val="387C7014"/>
    <w:rsid w:val="38EE7D37"/>
    <w:rsid w:val="39E62997"/>
    <w:rsid w:val="3AF9494C"/>
    <w:rsid w:val="3BC227F5"/>
    <w:rsid w:val="3DCF61FA"/>
    <w:rsid w:val="40AD73FC"/>
    <w:rsid w:val="40B0074F"/>
    <w:rsid w:val="40B57AC0"/>
    <w:rsid w:val="419D3974"/>
    <w:rsid w:val="4235262F"/>
    <w:rsid w:val="425A2175"/>
    <w:rsid w:val="433616D8"/>
    <w:rsid w:val="436F354B"/>
    <w:rsid w:val="455B7310"/>
    <w:rsid w:val="459B0A52"/>
    <w:rsid w:val="45C14EEB"/>
    <w:rsid w:val="45D73ADC"/>
    <w:rsid w:val="46832D6B"/>
    <w:rsid w:val="468E6649"/>
    <w:rsid w:val="473B302E"/>
    <w:rsid w:val="47FE23EA"/>
    <w:rsid w:val="48194C3B"/>
    <w:rsid w:val="481A1D8F"/>
    <w:rsid w:val="483C15B3"/>
    <w:rsid w:val="48971AA8"/>
    <w:rsid w:val="4B2160C6"/>
    <w:rsid w:val="4B52634F"/>
    <w:rsid w:val="4C1A4D47"/>
    <w:rsid w:val="4D8F0C9A"/>
    <w:rsid w:val="4F616F2D"/>
    <w:rsid w:val="4F883FE5"/>
    <w:rsid w:val="4FA907EF"/>
    <w:rsid w:val="4FF04118"/>
    <w:rsid w:val="51E95ABC"/>
    <w:rsid w:val="53CA1459"/>
    <w:rsid w:val="540168F4"/>
    <w:rsid w:val="54BA5DD3"/>
    <w:rsid w:val="54E0475B"/>
    <w:rsid w:val="55780E38"/>
    <w:rsid w:val="56690BFF"/>
    <w:rsid w:val="56AE3273"/>
    <w:rsid w:val="56F52014"/>
    <w:rsid w:val="595A2602"/>
    <w:rsid w:val="59E9136D"/>
    <w:rsid w:val="5AD14B46"/>
    <w:rsid w:val="5C8C036A"/>
    <w:rsid w:val="5C9614B2"/>
    <w:rsid w:val="5E2E7BFB"/>
    <w:rsid w:val="5F3C34BF"/>
    <w:rsid w:val="605F3233"/>
    <w:rsid w:val="60BB4184"/>
    <w:rsid w:val="60C160DC"/>
    <w:rsid w:val="60E47381"/>
    <w:rsid w:val="61E42606"/>
    <w:rsid w:val="625B6E07"/>
    <w:rsid w:val="630A7345"/>
    <w:rsid w:val="65BE52FE"/>
    <w:rsid w:val="66191C02"/>
    <w:rsid w:val="66B52B5D"/>
    <w:rsid w:val="674E67E7"/>
    <w:rsid w:val="677671A1"/>
    <w:rsid w:val="68C04ECC"/>
    <w:rsid w:val="692F2AB1"/>
    <w:rsid w:val="696D2460"/>
    <w:rsid w:val="69791696"/>
    <w:rsid w:val="69E95A08"/>
    <w:rsid w:val="6A353FF0"/>
    <w:rsid w:val="6B660CF5"/>
    <w:rsid w:val="6C1155D8"/>
    <w:rsid w:val="6C504F45"/>
    <w:rsid w:val="6D0E11D5"/>
    <w:rsid w:val="6E770741"/>
    <w:rsid w:val="6E833820"/>
    <w:rsid w:val="6F4E6A4C"/>
    <w:rsid w:val="70053E3B"/>
    <w:rsid w:val="708143E1"/>
    <w:rsid w:val="70DC197A"/>
    <w:rsid w:val="710B1552"/>
    <w:rsid w:val="71F118FE"/>
    <w:rsid w:val="72E24201"/>
    <w:rsid w:val="74B84A2D"/>
    <w:rsid w:val="75961582"/>
    <w:rsid w:val="75FD4AE5"/>
    <w:rsid w:val="7693567A"/>
    <w:rsid w:val="77732197"/>
    <w:rsid w:val="78C45A58"/>
    <w:rsid w:val="7A546CB0"/>
    <w:rsid w:val="7B223215"/>
    <w:rsid w:val="7B8668CC"/>
    <w:rsid w:val="7C842496"/>
    <w:rsid w:val="7CC002EB"/>
    <w:rsid w:val="7D00333D"/>
    <w:rsid w:val="7D362922"/>
    <w:rsid w:val="7D4174CB"/>
    <w:rsid w:val="7E3601B5"/>
    <w:rsid w:val="7EBB20B7"/>
    <w:rsid w:val="7EBD51B5"/>
    <w:rsid w:val="7EC945FD"/>
    <w:rsid w:val="7F46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CAFBB5-CC68-4597-8625-CFA32491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917</Words>
  <Characters>5231</Characters>
  <Application>Microsoft Office Word</Application>
  <DocSecurity>0</DocSecurity>
  <Lines>43</Lines>
  <Paragraphs>12</Paragraphs>
  <ScaleCrop>false</ScaleCrop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Priyanka R</cp:lastModifiedBy>
  <cp:revision>2</cp:revision>
  <dcterms:created xsi:type="dcterms:W3CDTF">2026-02-13T15:19:00Z</dcterms:created>
  <dcterms:modified xsi:type="dcterms:W3CDTF">2026-04-29T05:11:00Z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eyJoZGlkIjoiY2RlZGY2ZDc4YWRkNzdiNWE1ZTg5ZmQ5NjI4ZDJiZjMiLCJ1c2VySWQiOiI5NjY2MzY2MzUifQ==</vt:lpwstr>
  </property>
  <property fmtid="{D5CDD505-2E9C-101B-9397-08002B2CF9AE}" pid="4" name="ICV">
    <vt:lpwstr>98E29B053B6C48EEA19E0B24FEFDB253_12</vt:lpwstr>
  </property>
</Properties>
</file>