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AFE" w:rsidRPr="00070F28" w:rsidRDefault="00A04AFE" w:rsidP="005E1E49">
      <w:pPr>
        <w:jc w:val="both"/>
        <w:rPr>
          <w:rFonts w:ascii="Times New Roman" w:hAnsi="Times New Roman" w:cs="Times New Roman"/>
          <w:b/>
          <w:sz w:val="24"/>
        </w:rPr>
      </w:pPr>
      <w:r w:rsidRPr="00070F28">
        <w:rPr>
          <w:rFonts w:ascii="Times New Roman" w:hAnsi="Times New Roman" w:cs="Times New Roman"/>
          <w:b/>
          <w:sz w:val="24"/>
        </w:rPr>
        <w:t xml:space="preserve">Appendix A: </w:t>
      </w:r>
      <w:r w:rsidR="00070F28" w:rsidRPr="00070F28">
        <w:rPr>
          <w:rFonts w:ascii="Times New Roman" w:hAnsi="Times New Roman" w:cs="Times New Roman"/>
          <w:b/>
          <w:sz w:val="24"/>
        </w:rPr>
        <w:t>Theoretical Derivation of Key Model Components from Dissipative-System Principles</w:t>
      </w:r>
    </w:p>
    <w:p w:rsidR="00070F28" w:rsidRPr="00070F28" w:rsidRDefault="00070F28" w:rsidP="005E1E49">
      <w:pPr>
        <w:jc w:val="both"/>
        <w:rPr>
          <w:rFonts w:ascii="Times New Roman" w:hAnsi="Times New Roman" w:cs="Times New Roman"/>
          <w:b/>
        </w:rPr>
      </w:pPr>
      <w:r w:rsidRPr="00070F28">
        <w:rPr>
          <w:rFonts w:ascii="Times New Roman" w:hAnsi="Times New Roman" w:cs="Times New Roman"/>
          <w:b/>
        </w:rPr>
        <w:t>A1. Dissipative-system foundation</w:t>
      </w:r>
    </w:p>
    <w:p w:rsidR="00070F28" w:rsidRPr="00070F28" w:rsidRDefault="00070F28" w:rsidP="005E1E49">
      <w:pPr>
        <w:jc w:val="both"/>
        <w:rPr>
          <w:rFonts w:ascii="Times New Roman" w:hAnsi="Times New Roman" w:cs="Times New Roman"/>
        </w:rPr>
      </w:pPr>
      <w:r w:rsidRPr="00070F28">
        <w:rPr>
          <w:rFonts w:ascii="Times New Roman" w:hAnsi="Times New Roman" w:cs="Times New Roman"/>
        </w:rPr>
        <w:t>In a dissipative system, the evolution of the system is governed by the balance between entropy-producing forces (stress) and entropy-reducing forces (order):</w:t>
      </w:r>
    </w:p>
    <w:p w:rsidR="00A04AFE" w:rsidRPr="00070F28" w:rsidRDefault="00070F28" w:rsidP="005E1E49">
      <w:pPr>
        <w:jc w:val="both"/>
        <w:rPr>
          <w:rFonts w:ascii="Times New Roman" w:eastAsiaTheme="minorEastAsia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Δ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S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-κ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Φ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</m:oMath>
      </m:oMathPara>
    </w:p>
    <w:p w:rsidR="00070F28" w:rsidRDefault="00070F28" w:rsidP="005E1E49">
      <w:pPr>
        <w:jc w:val="both"/>
        <w:rPr>
          <w:rFonts w:ascii="Times New Roman" w:hAnsi="Times New Roman" w:cs="Times New Roman"/>
        </w:rPr>
      </w:pPr>
      <w:r w:rsidRPr="00070F28">
        <w:rPr>
          <w:rFonts w:ascii="Times New Roman" w:hAnsi="Times New Roman" w:cs="Times New Roman"/>
        </w:rPr>
        <w:t xml:space="preserve">This expression (Eq. 6 in the paper) defines the </w:t>
      </w:r>
      <w:r w:rsidRPr="00070F28">
        <w:rPr>
          <w:rStyle w:val="Strong"/>
          <w:rFonts w:ascii="Times New Roman" w:hAnsi="Times New Roman" w:cs="Times New Roman"/>
          <w:b w:val="0"/>
        </w:rPr>
        <w:t>net entropy balance</w:t>
      </w:r>
      <w:r w:rsidRPr="00070F28">
        <w:rPr>
          <w:rFonts w:ascii="Times New Roman" w:hAnsi="Times New Roman" w:cs="Times New Roman"/>
        </w:rPr>
        <w:t>, which determines whether the system moves toward stability or instability.</w:t>
      </w:r>
    </w:p>
    <w:p w:rsidR="00070F28" w:rsidRDefault="00070F28" w:rsidP="005E1E49">
      <w:pPr>
        <w:jc w:val="both"/>
        <w:rPr>
          <w:rFonts w:ascii="Times New Roman" w:hAnsi="Times New Roman" w:cs="Times New Roman"/>
          <w:b/>
        </w:rPr>
      </w:pPr>
      <w:r w:rsidRPr="00070F28">
        <w:rPr>
          <w:rFonts w:ascii="Times New Roman" w:hAnsi="Times New Roman" w:cs="Times New Roman"/>
          <w:b/>
        </w:rPr>
        <w:t>A2. Derivation of the resilience buffer (Eq. 3)</w:t>
      </w:r>
    </w:p>
    <w:p w:rsidR="00070F28" w:rsidRDefault="00070F28" w:rsidP="005E1E49">
      <w:pPr>
        <w:jc w:val="both"/>
        <w:rPr>
          <w:rFonts w:ascii="Times New Roman" w:hAnsi="Times New Roman" w:cs="Times New Roman"/>
        </w:rPr>
      </w:pPr>
      <w:r w:rsidRPr="00070F28">
        <w:rPr>
          <w:rFonts w:ascii="Times New Roman" w:hAnsi="Times New Roman" w:cs="Times New Roman"/>
        </w:rPr>
        <w:t>In dissipative systems, stability depends not only on net entropy balance but also on the system’s capacity to absorb shocks. Let resilience be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it</m:t>
            </m:r>
          </m:sub>
        </m:sSub>
      </m:oMath>
      <w:r w:rsidRPr="00070F28">
        <w:rPr>
          <w:rFonts w:ascii="Times New Roman" w:hAnsi="Times New Roman" w:cs="Times New Roman"/>
        </w:rPr>
        <w:t>​, which scales the effective impact of entropy imbalance:</w:t>
      </w:r>
    </w:p>
    <w:p w:rsidR="00070F28" w:rsidRDefault="00070F28" w:rsidP="005E1E49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Effective Pressure ∝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ΔΩ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den>
          </m:f>
        </m:oMath>
      </m:oMathPara>
    </w:p>
    <w:p w:rsidR="00070F28" w:rsidRDefault="00070F28" w:rsidP="005E1E49">
      <w:pPr>
        <w:jc w:val="both"/>
        <w:rPr>
          <w:rFonts w:ascii="Times New Roman" w:hAnsi="Times New Roman" w:cs="Times New Roman"/>
        </w:rPr>
      </w:pPr>
      <w:r w:rsidRPr="00070F28">
        <w:rPr>
          <w:rFonts w:ascii="Times New Roman" w:hAnsi="Times New Roman" w:cs="Times New Roman"/>
        </w:rPr>
        <w:t>Environmental vulnerability reduces this absorptive capacity. In nonlinear systems, such weakening is typically nonlinear and accelerating, implying:</w:t>
      </w:r>
    </w:p>
    <w:p w:rsidR="00070F28" w:rsidRPr="005E1E49" w:rsidRDefault="00070F28" w:rsidP="005E1E49">
      <w:pPr>
        <w:jc w:val="both"/>
        <w:rPr>
          <w:rFonts w:ascii="Times New Roman" w:eastAsiaTheme="minorEastAsia" w:hAnsi="Times New Roman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EV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 xml:space="preserve">&lt;0 ,      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EV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 w:cs="Times New Roman"/>
            </w:rPr>
            <m:t xml:space="preserve">&lt;0  </m:t>
          </m:r>
        </m:oMath>
      </m:oMathPara>
    </w:p>
    <w:p w:rsidR="005E1E49" w:rsidRDefault="005E1E49" w:rsidP="005E1E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exponential form used in Eq. 3:</w:t>
      </w:r>
    </w:p>
    <w:p w:rsidR="005E1E49" w:rsidRDefault="005E1E49" w:rsidP="005E1E49">
      <w:pPr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it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exp⁡</m:t>
          </m:r>
          <m:r>
            <w:rPr>
              <w:rFonts w:ascii="Cambria Math" w:hAnsi="Cambria Math" w:cs="Times New Roman"/>
              <w:lang w:val="en-US"/>
            </w:rPr>
            <m:t>(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</m:sSub>
          <m:r>
            <w:rPr>
              <w:rFonts w:ascii="Cambria Math" w:hAnsi="Cambria Math" w:cs="Times New Roman"/>
              <w:lang w:val="en-US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EV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it</m:t>
              </m:r>
            </m:sub>
          </m:sSub>
          <m:r>
            <w:rPr>
              <w:rFonts w:ascii="Cambria Math" w:hAnsi="Cambria Math" w:cs="Times New Roman"/>
              <w:lang w:val="en-US"/>
            </w:rPr>
            <m:t>)</m:t>
          </m:r>
        </m:oMath>
      </m:oMathPara>
    </w:p>
    <w:p w:rsidR="005E1E49" w:rsidRDefault="005E1E49" w:rsidP="005E1E49">
      <w:pPr>
        <w:jc w:val="both"/>
        <w:rPr>
          <w:rFonts w:ascii="Times New Roman" w:hAnsi="Times New Roman" w:cs="Times New Roman"/>
        </w:rPr>
      </w:pPr>
      <w:r w:rsidRPr="005E1E49">
        <w:rPr>
          <w:rFonts w:ascii="Times New Roman" w:hAnsi="Times New Roman" w:cs="Times New Roman"/>
        </w:rPr>
        <w:t>Satisfies</w:t>
      </w:r>
      <w:r w:rsidRPr="005E1E49">
        <w:rPr>
          <w:rFonts w:ascii="Times New Roman" w:hAnsi="Times New Roman" w:cs="Times New Roman"/>
        </w:rPr>
        <w:t xml:space="preserve"> these conditions and ensures:</w:t>
      </w:r>
      <w:r>
        <w:rPr>
          <w:rFonts w:ascii="Times New Roman" w:hAnsi="Times New Roman" w:cs="Times New Roman"/>
        </w:rPr>
        <w:t xml:space="preserve"> 1. P</w:t>
      </w:r>
      <w:r w:rsidRPr="005E1E49">
        <w:rPr>
          <w:rFonts w:ascii="Times New Roman" w:hAnsi="Times New Roman" w:cs="Times New Roman"/>
        </w:rPr>
        <w:t>ositivity of resilience</w:t>
      </w:r>
      <w:r>
        <w:rPr>
          <w:rFonts w:ascii="Times New Roman" w:hAnsi="Times New Roman" w:cs="Times New Roman"/>
        </w:rPr>
        <w:t xml:space="preserve"> 2. </w:t>
      </w:r>
      <w:r w:rsidRPr="005E1E49">
        <w:rPr>
          <w:rFonts w:ascii="Times New Roman" w:hAnsi="Times New Roman" w:cs="Times New Roman"/>
        </w:rPr>
        <w:t>Nonlinear</w:t>
      </w:r>
      <w:r w:rsidRPr="005E1E49">
        <w:rPr>
          <w:rFonts w:ascii="Times New Roman" w:hAnsi="Times New Roman" w:cs="Times New Roman"/>
        </w:rPr>
        <w:t xml:space="preserve"> d</w:t>
      </w:r>
      <w:r>
        <w:rPr>
          <w:rFonts w:ascii="Times New Roman" w:hAnsi="Times New Roman" w:cs="Times New Roman"/>
        </w:rPr>
        <w:t xml:space="preserve">ecay under rising vulnerability. </w:t>
      </w:r>
      <w:r w:rsidRPr="005E1E49">
        <w:rPr>
          <w:rFonts w:ascii="Times New Roman" w:hAnsi="Times New Roman" w:cs="Times New Roman"/>
        </w:rPr>
        <w:t>Thus, Eq. (3) directly follows from the dissipative requirement that stability capacity declines nonlinearly under increasing system fragility.</w:t>
      </w:r>
    </w:p>
    <w:p w:rsidR="005E1E49" w:rsidRDefault="005E1E49" w:rsidP="005E1E49">
      <w:pPr>
        <w:jc w:val="both"/>
        <w:rPr>
          <w:rFonts w:ascii="Times New Roman" w:hAnsi="Times New Roman" w:cs="Times New Roman"/>
          <w:b/>
        </w:rPr>
      </w:pPr>
      <w:r w:rsidRPr="005E1E49">
        <w:rPr>
          <w:rFonts w:ascii="Times New Roman" w:hAnsi="Times New Roman" w:cs="Times New Roman"/>
          <w:b/>
        </w:rPr>
        <w:t>A3. Derivation of composite stress state (Eq. 4)</w:t>
      </w:r>
    </w:p>
    <w:p w:rsidR="005E1E49" w:rsidRDefault="005E1E49" w:rsidP="005E1E49">
      <w:pPr>
        <w:jc w:val="both"/>
        <w:rPr>
          <w:rFonts w:ascii="Times New Roman" w:hAnsi="Times New Roman" w:cs="Times New Roman"/>
        </w:rPr>
      </w:pPr>
      <w:r w:rsidRPr="005E1E49">
        <w:rPr>
          <w:rFonts w:ascii="Times New Roman" w:hAnsi="Times New Roman" w:cs="Times New Roman"/>
        </w:rPr>
        <w:t>Dissipative transitions are governed by the aggregate system state, not individual variables. Therefore, regime change requires a scalar state variable:</w:t>
      </w:r>
    </w:p>
    <w:p w:rsidR="005E1E49" w:rsidRPr="00CA4D26" w:rsidRDefault="00CA4D26" w:rsidP="005E1E49">
      <w:pPr>
        <w:jc w:val="both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Z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=f(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CO2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FE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,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FND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</m:sSub>
          <m:r>
            <w:rPr>
              <w:rFonts w:ascii="Cambria Math" w:hAnsi="Cambria Math" w:cs="Times New Roman"/>
            </w:rPr>
            <m:t>)</m:t>
          </m:r>
        </m:oMath>
      </m:oMathPara>
    </w:p>
    <w:p w:rsidR="00CA4D26" w:rsidRDefault="00CA4D26" w:rsidP="005E1E49">
      <w:pPr>
        <w:jc w:val="both"/>
        <w:rPr>
          <w:rFonts w:ascii="Times New Roman" w:hAnsi="Times New Roman" w:cs="Times New Roman"/>
        </w:rPr>
      </w:pPr>
      <w:r w:rsidRPr="00CA4D26">
        <w:rPr>
          <w:rFonts w:ascii="Times New Roman" w:hAnsi="Times New Roman" w:cs="Times New Roman"/>
        </w:rPr>
        <w:t>Because stressors are measured in different units, normalization is required:</w:t>
      </w:r>
    </w:p>
    <w:p w:rsidR="00CA4D26" w:rsidRPr="00CA4D26" w:rsidRDefault="00CA4D26" w:rsidP="005E1E49">
      <w:pPr>
        <w:jc w:val="both"/>
        <w:rPr>
          <w:rFonts w:ascii="Times New Roman" w:eastAsiaTheme="minorEastAsia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it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1</m:t>
              </m:r>
            </m:sub>
          </m:sSub>
          <m:d>
            <m:dPr>
              <m:begChr m:val="{"/>
              <m:endChr m:val="}"/>
              <m:ctrlPr>
                <w:rPr>
                  <w:rFonts w:ascii="Cambria Math" w:hAnsi="Cambria Math" w:cs="Times New Roman"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CO2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it</m:t>
                          </m:r>
                        </m:sub>
                      </m:sSub>
                    </m:e>
                  </m:d>
                </m:e>
              </m:func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b>
          </m:sSub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FE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it</m:t>
                          </m:r>
                        </m:sub>
                      </m:sSub>
                    </m:e>
                  </m:d>
                </m:e>
              </m:func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lang w:val="en-US"/>
            </w:rPr>
            <m:t>{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FND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it</m:t>
                      </m:r>
                    </m:sub>
                  </m:sSub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}</m:t>
          </m:r>
        </m:oMath>
      </m:oMathPara>
    </w:p>
    <w:p w:rsidR="00CA4D26" w:rsidRDefault="00CA4D26" w:rsidP="00CA4D26">
      <w:pPr>
        <w:jc w:val="both"/>
        <w:rPr>
          <w:rFonts w:ascii="Times New Roman" w:hAnsi="Times New Roman" w:cs="Times New Roman"/>
        </w:rPr>
      </w:pPr>
      <w:r w:rsidRPr="00CA4D26">
        <w:rPr>
          <w:rFonts w:ascii="Times New Roman" w:hAnsi="Times New Roman" w:cs="Times New Roman"/>
        </w:rPr>
        <w:t>This corresponds to Eq. (4)</w:t>
      </w:r>
      <w:r>
        <w:rPr>
          <w:rFonts w:ascii="Times New Roman" w:hAnsi="Times New Roman" w:cs="Times New Roman"/>
        </w:rPr>
        <w:t xml:space="preserve">, where standardization ensures, the </w:t>
      </w:r>
      <w:r w:rsidRPr="00CA4D26">
        <w:rPr>
          <w:rFonts w:ascii="Times New Roman" w:hAnsi="Times New Roman" w:cs="Times New Roman"/>
        </w:rPr>
        <w:t>comparability across heterogeneous variables</w:t>
      </w:r>
      <w:r>
        <w:rPr>
          <w:rFonts w:ascii="Times New Roman" w:hAnsi="Times New Roman" w:cs="Times New Roman"/>
        </w:rPr>
        <w:t xml:space="preserve">, the </w:t>
      </w:r>
      <w:r w:rsidRPr="00CA4D26">
        <w:rPr>
          <w:rFonts w:ascii="Times New Roman" w:hAnsi="Times New Roman" w:cs="Times New Roman"/>
        </w:rPr>
        <w:t>equal contribution to systemic pressure</w:t>
      </w:r>
      <w:r>
        <w:rPr>
          <w:rFonts w:ascii="Times New Roman" w:hAnsi="Times New Roman" w:cs="Times New Roman"/>
        </w:rPr>
        <w:t xml:space="preserve"> and </w:t>
      </w:r>
      <w:r w:rsidRPr="00CA4D26">
        <w:rPr>
          <w:rFonts w:ascii="Times New Roman" w:hAnsi="Times New Roman" w:cs="Times New Roman"/>
        </w:rPr>
        <w:t>suitability as a transition-driving variable</w:t>
      </w:r>
      <w:r>
        <w:rPr>
          <w:rFonts w:ascii="Times New Roman" w:hAnsi="Times New Roman" w:cs="Times New Roman"/>
        </w:rPr>
        <w:t xml:space="preserve">. </w:t>
      </w:r>
      <w:r w:rsidRPr="00CA4D26">
        <w:rPr>
          <w:rFonts w:ascii="Times New Roman" w:hAnsi="Times New Roman" w:cs="Times New Roman"/>
        </w:rPr>
        <w:t>Thus, Eq. (4) follows from the dissipative principle that regime shifts depend on cumulative normalized system stress.</w:t>
      </w: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</w:p>
    <w:p w:rsidR="00CA4D26" w:rsidRDefault="00CA4D26" w:rsidP="00CA4D26">
      <w:pPr>
        <w:jc w:val="both"/>
        <w:rPr>
          <w:rFonts w:ascii="Times New Roman" w:hAnsi="Times New Roman" w:cs="Times New Roman"/>
          <w:b/>
        </w:rPr>
      </w:pPr>
      <w:r w:rsidRPr="00CA4D26">
        <w:rPr>
          <w:rFonts w:ascii="Times New Roman" w:hAnsi="Times New Roman" w:cs="Times New Roman"/>
          <w:b/>
        </w:rPr>
        <w:lastRenderedPageBreak/>
        <w:t>A4. Derivation of pollution cost mapping (Eq. 7)</w:t>
      </w:r>
    </w:p>
    <w:p w:rsidR="00CA4D26" w:rsidRPr="00CA4D26" w:rsidRDefault="00CA4D26" w:rsidP="00CA4D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net entropy balance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ΔΩ</m:t>
            </m:r>
          </m:e>
          <m:sub>
            <m:r>
              <w:rPr>
                <w:rFonts w:ascii="Cambria Math" w:hAnsi="Cambria Math" w:cs="Times New Roman"/>
              </w:rPr>
              <m:t>it</m:t>
            </m:r>
          </m:sub>
        </m:sSub>
      </m:oMath>
      <w:r>
        <w:rPr>
          <w:rFonts w:ascii="Times New Roman" w:hAnsi="Times New Roman" w:cs="Times New Roman"/>
        </w:rPr>
        <w:t xml:space="preserve"> </w:t>
      </w:r>
      <w:r w:rsidRPr="00CA4D26">
        <w:rPr>
          <w:rFonts w:ascii="Times New Roman" w:hAnsi="Times New Roman" w:cs="Times New Roman"/>
        </w:rPr>
        <w:t>is a latent (unobservable) system state. To link it to empirical data, it must be mapped into an observable variable.</w:t>
      </w:r>
    </w:p>
    <w:p w:rsidR="00CA4D26" w:rsidRDefault="00CA4D26" w:rsidP="00CA4D26">
      <w:pPr>
        <w:jc w:val="both"/>
        <w:rPr>
          <w:rFonts w:ascii="Times New Roman" w:hAnsi="Times New Roman" w:cs="Times New Roman"/>
        </w:rPr>
      </w:pPr>
      <w:r w:rsidRPr="00CA4D26">
        <w:rPr>
          <w:rFonts w:ascii="Times New Roman" w:hAnsi="Times New Roman" w:cs="Times New Roman"/>
        </w:rPr>
        <w:t>In dissipative systems, excess entropy manifests as macroscopic cost or loss. Therefore:</w:t>
      </w:r>
    </w:p>
    <w:p w:rsidR="00CA4D26" w:rsidRPr="00CA4D26" w:rsidRDefault="00CA4D26" w:rsidP="00CA4D26">
      <w:pPr>
        <w:jc w:val="both"/>
        <w:rPr>
          <w:rFonts w:ascii="Times New Roman" w:eastAsiaTheme="minorEastAsia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PC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  <m:sup>
              <m:r>
                <w:rPr>
                  <w:rFonts w:ascii="Cambria Math" w:hAnsi="Cambria Math" w:cs="Times New Roman"/>
                </w:rPr>
                <m:t>phys</m:t>
              </m:r>
            </m:sup>
          </m:sSubSup>
          <m:r>
            <w:rPr>
              <w:rFonts w:ascii="Cambria Math" w:hAnsi="Cambria Math" w:cs="Times New Roman"/>
            </w:rPr>
            <m:t>∝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∆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den>
          </m:f>
        </m:oMath>
      </m:oMathPara>
    </w:p>
    <w:p w:rsidR="00CA4D26" w:rsidRDefault="00CA4D26" w:rsidP="00CA4D26">
      <w:pPr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Scaling the relation: </w:t>
      </w:r>
    </w:p>
    <w:p w:rsidR="00CA4D26" w:rsidRPr="00CA4D26" w:rsidRDefault="00CA4D26" w:rsidP="00CA4D26">
      <w:pPr>
        <w:jc w:val="both"/>
        <w:rPr>
          <w:rFonts w:ascii="Times New Roman" w:eastAsiaTheme="minorEastAsia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PC</m:t>
              </m:r>
            </m:e>
            <m:sub>
              <m:r>
                <w:rPr>
                  <w:rFonts w:ascii="Cambria Math" w:hAnsi="Cambria Math" w:cs="Times New Roman"/>
                </w:rPr>
                <m:t>it</m:t>
              </m:r>
            </m:sub>
            <m:sup>
              <m:r>
                <w:rPr>
                  <w:rFonts w:ascii="Cambria Math" w:hAnsi="Cambria Math" w:cs="Times New Roman"/>
                </w:rPr>
                <m:t>phys</m:t>
              </m:r>
            </m:sup>
          </m:sSubSup>
          <m:r>
            <w:rPr>
              <w:rFonts w:ascii="Cambria Math" w:hAnsi="Cambria Math" w:cs="Times New Roman"/>
            </w:rPr>
            <m:t>=ψ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∆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it</m:t>
                  </m:r>
                </m:sub>
              </m:sSub>
            </m:den>
          </m:f>
        </m:oMath>
      </m:oMathPara>
    </w:p>
    <w:p w:rsidR="00CA4D26" w:rsidRDefault="00CA4D26" w:rsidP="00CA4D26">
      <w:pPr>
        <w:jc w:val="both"/>
        <w:rPr>
          <w:rFonts w:ascii="Times New Roman" w:eastAsiaTheme="minorEastAsia" w:hAnsi="Times New Roman" w:cs="Times New Roman"/>
        </w:rPr>
      </w:pPr>
      <w:r w:rsidRPr="00CA4D26">
        <w:rPr>
          <w:rFonts w:ascii="Times New Roman" w:eastAsiaTheme="minorEastAsia" w:hAnsi="Times New Roman" w:cs="Times New Roman"/>
        </w:rPr>
        <w:t>This is Eq. (7), where:</w:t>
      </w:r>
      <w:r>
        <w:rPr>
          <w:rFonts w:ascii="Times New Roman" w:eastAsiaTheme="minorEastAsia" w:hAnsi="Times New Roman" w:cs="Times New Roman"/>
        </w:rPr>
        <w:t xml:space="preserve"> the </w:t>
      </w:r>
      <w:r w:rsidRPr="00CA4D26">
        <w:rPr>
          <w:rFonts w:ascii="Times New Roman" w:eastAsiaTheme="minorEastAsia" w:hAnsi="Times New Roman" w:cs="Times New Roman"/>
        </w:rPr>
        <w:t>numerator = net disorder</w:t>
      </w:r>
      <w:r>
        <w:rPr>
          <w:rFonts w:ascii="Times New Roman" w:eastAsiaTheme="minorEastAsia" w:hAnsi="Times New Roman" w:cs="Times New Roman"/>
        </w:rPr>
        <w:t xml:space="preserve">; </w:t>
      </w:r>
      <w:r w:rsidRPr="00CA4D26">
        <w:rPr>
          <w:rFonts w:ascii="Times New Roman" w:eastAsiaTheme="minorEastAsia" w:hAnsi="Times New Roman" w:cs="Times New Roman"/>
        </w:rPr>
        <w:t>denominator = system resilience</w:t>
      </w:r>
      <w:r>
        <w:rPr>
          <w:rFonts w:ascii="Times New Roman" w:eastAsiaTheme="minorEastAsia" w:hAnsi="Times New Roman" w:cs="Times New Roman"/>
        </w:rPr>
        <w:t xml:space="preserve"> and </w:t>
      </w:r>
      <w:r w:rsidRPr="00CA4D26">
        <w:rPr>
          <w:rFonts w:ascii="Times New Roman" w:eastAsiaTheme="minorEastAsia" w:hAnsi="Times New Roman" w:cs="Times New Roman"/>
        </w:rPr>
        <w:t>ψ = scaling parameter</w:t>
      </w:r>
      <w:r w:rsidR="00FA231F">
        <w:rPr>
          <w:rFonts w:ascii="Times New Roman" w:eastAsiaTheme="minorEastAsia" w:hAnsi="Times New Roman" w:cs="Times New Roman"/>
        </w:rPr>
        <w:t xml:space="preserve">. </w:t>
      </w:r>
      <w:r w:rsidRPr="00CA4D26">
        <w:rPr>
          <w:rFonts w:ascii="Times New Roman" w:eastAsiaTheme="minorEastAsia" w:hAnsi="Times New Roman" w:cs="Times New Roman"/>
        </w:rPr>
        <w:t>Thus, Eq. (7) follows from the dissipative interpretation that economic cost is the observable outcome of imbalance after adjusting for system resilience.</w:t>
      </w:r>
    </w:p>
    <w:p w:rsidR="00FA231F" w:rsidRPr="00436F88" w:rsidRDefault="00436F88" w:rsidP="00CA4D26">
      <w:pPr>
        <w:jc w:val="both"/>
        <w:rPr>
          <w:rFonts w:ascii="Times New Roman" w:eastAsiaTheme="minorEastAsia" w:hAnsi="Times New Roman" w:cs="Times New Roman"/>
          <w:b/>
        </w:rPr>
      </w:pPr>
      <w:r w:rsidRPr="00436F88">
        <w:rPr>
          <w:rFonts w:ascii="Times New Roman" w:eastAsiaTheme="minorEastAsia" w:hAnsi="Times New Roman" w:cs="Times New Roman"/>
          <w:b/>
        </w:rPr>
        <w:t>A5. Sensitivity and alternative specifications</w:t>
      </w:r>
    </w:p>
    <w:p w:rsidR="00436F88" w:rsidRPr="00436F88" w:rsidRDefault="00436F88" w:rsidP="00436F88">
      <w:pPr>
        <w:jc w:val="both"/>
        <w:rPr>
          <w:rFonts w:ascii="Times New Roman" w:hAnsi="Times New Roman" w:cs="Times New Roman"/>
        </w:rPr>
      </w:pPr>
      <w:r w:rsidRPr="00436F88">
        <w:rPr>
          <w:rFonts w:ascii="Times New Roman" w:hAnsi="Times New Roman" w:cs="Times New Roman"/>
        </w:rPr>
        <w:t>The chosen forms are consistent with d</w:t>
      </w:r>
      <w:r>
        <w:rPr>
          <w:rFonts w:ascii="Times New Roman" w:hAnsi="Times New Roman" w:cs="Times New Roman"/>
        </w:rPr>
        <w:t xml:space="preserve">issipative logic but not unique. The Resilience (Eq. 3), </w:t>
      </w:r>
      <w:r w:rsidRPr="00436F88">
        <w:rPr>
          <w:rFonts w:ascii="Times New Roman" w:hAnsi="Times New Roman" w:cs="Times New Roman"/>
        </w:rPr>
        <w:t>A linear form would imply constant decay, while the exponential form captures accelerating fragility under high vulnerability.</w:t>
      </w:r>
    </w:p>
    <w:p w:rsidR="00436F88" w:rsidRPr="00436F88" w:rsidRDefault="00436F88" w:rsidP="00436F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Composite stress (Eq. 4), </w:t>
      </w:r>
      <w:r w:rsidRPr="00436F88">
        <w:rPr>
          <w:rFonts w:ascii="Times New Roman" w:hAnsi="Times New Roman" w:cs="Times New Roman"/>
        </w:rPr>
        <w:t>PCA or weighted aggregation could be used; however, standardization ensures scale neutrality and avoids dominance by high-variance variables.</w:t>
      </w:r>
    </w:p>
    <w:p w:rsidR="00436F88" w:rsidRPr="00436F88" w:rsidRDefault="00436F88" w:rsidP="00436F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Cost mapping (Eq. 7), </w:t>
      </w:r>
      <w:r w:rsidRPr="00436F88">
        <w:rPr>
          <w:rFonts w:ascii="Times New Roman" w:hAnsi="Times New Roman" w:cs="Times New Roman"/>
        </w:rPr>
        <w:t>Alternative monotonic transformations are possible, but the ratio form preserves a direct interpretation of stress adjusted by resilience.</w:t>
      </w:r>
    </w:p>
    <w:p w:rsidR="00CA4D26" w:rsidRPr="00CA4D26" w:rsidRDefault="00436F88" w:rsidP="00436F88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436F88">
        <w:rPr>
          <w:rFonts w:ascii="Times New Roman" w:hAnsi="Times New Roman" w:cs="Times New Roman"/>
        </w:rPr>
        <w:t>These alternatives do not alter the core dissipative structure, but the chosen forms provide a parsimonious and theoretically consistent specification.</w:t>
      </w:r>
    </w:p>
    <w:sectPr w:rsidR="00CA4D26" w:rsidRPr="00CA4D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E74" w:rsidRDefault="00D90E74" w:rsidP="00CA4D26">
      <w:pPr>
        <w:spacing w:after="0" w:line="240" w:lineRule="auto"/>
      </w:pPr>
      <w:r>
        <w:separator/>
      </w:r>
    </w:p>
  </w:endnote>
  <w:endnote w:type="continuationSeparator" w:id="0">
    <w:p w:rsidR="00D90E74" w:rsidRDefault="00D90E74" w:rsidP="00CA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3981285"/>
      <w:docPartObj>
        <w:docPartGallery w:val="Page Numbers (Bottom of Page)"/>
        <w:docPartUnique/>
      </w:docPartObj>
    </w:sdtPr>
    <w:sdtContent>
      <w:p w:rsidR="00CA4D26" w:rsidRDefault="00CA4D26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F88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CA4D26" w:rsidRDefault="00CA4D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E74" w:rsidRDefault="00D90E74" w:rsidP="00CA4D26">
      <w:pPr>
        <w:spacing w:after="0" w:line="240" w:lineRule="auto"/>
      </w:pPr>
      <w:r>
        <w:separator/>
      </w:r>
    </w:p>
  </w:footnote>
  <w:footnote w:type="continuationSeparator" w:id="0">
    <w:p w:rsidR="00D90E74" w:rsidRDefault="00D90E74" w:rsidP="00CA4D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99"/>
    <w:rsid w:val="00070F28"/>
    <w:rsid w:val="001D4A42"/>
    <w:rsid w:val="00436F88"/>
    <w:rsid w:val="005E1E49"/>
    <w:rsid w:val="00A04AFE"/>
    <w:rsid w:val="00AB23DF"/>
    <w:rsid w:val="00AD5799"/>
    <w:rsid w:val="00CA4D26"/>
    <w:rsid w:val="00D90E74"/>
    <w:rsid w:val="00ED5316"/>
    <w:rsid w:val="00FA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72E44-4036-4131-A9E5-8029A33F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4AFE"/>
    <w:rPr>
      <w:color w:val="808080"/>
    </w:rPr>
  </w:style>
  <w:style w:type="character" w:styleId="Strong">
    <w:name w:val="Strong"/>
    <w:basedOn w:val="DefaultParagraphFont"/>
    <w:uiPriority w:val="22"/>
    <w:qFormat/>
    <w:rsid w:val="00070F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A4D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D26"/>
  </w:style>
  <w:style w:type="paragraph" w:styleId="Footer">
    <w:name w:val="footer"/>
    <w:basedOn w:val="Normal"/>
    <w:link w:val="FooterChar"/>
    <w:uiPriority w:val="99"/>
    <w:unhideWhenUsed/>
    <w:rsid w:val="00CA4D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44"/>
    <w:rsid w:val="00264E95"/>
    <w:rsid w:val="00E4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694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dcterms:created xsi:type="dcterms:W3CDTF">2026-04-17T14:51:00Z</dcterms:created>
  <dcterms:modified xsi:type="dcterms:W3CDTF">2026-04-18T02:02:00Z</dcterms:modified>
</cp:coreProperties>
</file>