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02C56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  <w:t>Supplementary Tables and Figures</w:t>
      </w:r>
    </w:p>
    <w:p w14:paraId="6E6DCD52">
      <w:pPr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GB"/>
        </w:rPr>
      </w:pPr>
    </w:p>
    <w:p w14:paraId="5D6A021A">
      <w:pPr>
        <w:jc w:val="both"/>
        <w:rPr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 w:bidi="ar-SA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S1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SA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 w:eastAsia="zh-CN"/>
        </w:rPr>
        <w:t xml:space="preserve">PCR Gel Electrophoresis of the amplified product of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GB" w:eastAsia="zh-CN"/>
        </w:rPr>
        <w:t>emeA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 w:eastAsia="zh-CN"/>
        </w:rPr>
        <w:t xml:space="preserve">,  and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GB" w:eastAsia="zh-CN"/>
        </w:rPr>
        <w:t xml:space="preserve">efrB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 w:eastAsia="zh-CN"/>
        </w:rPr>
        <w:t>genes</w:t>
      </w:r>
    </w:p>
    <w:p w14:paraId="4935D5D3">
      <w:pPr>
        <w:spacing w:line="360" w:lineRule="auto"/>
        <w:jc w:val="both"/>
        <w:rPr>
          <w:rFonts w:hint="default"/>
          <w:position w:val="0"/>
          <w:sz w:val="24"/>
          <w:szCs w:val="24"/>
          <w:lang w:val="en-GB"/>
        </w:rPr>
      </w:pPr>
    </w:p>
    <w:p w14:paraId="07CB5171">
      <w:pPr>
        <w:jc w:val="center"/>
        <w:rPr>
          <w:rFonts w:hint="default"/>
          <w:lang w:val="en-GB"/>
        </w:rPr>
      </w:pPr>
      <w:r>
        <w:rPr>
          <w:rFonts w:hint="default"/>
          <w:lang w:val="en-GB"/>
        </w:rPr>
        <w:drawing>
          <wp:inline distT="0" distB="0" distL="114300" distR="114300">
            <wp:extent cx="3582670" cy="2961005"/>
            <wp:effectExtent l="0" t="0" r="11430" b="10795"/>
            <wp:docPr id="4" name="Picture 4" descr="صورة.jp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صورة.jpg 2.jpg"/>
                    <pic:cNvPicPr>
                      <a:picLocks noChangeAspect="1"/>
                    </pic:cNvPicPr>
                  </pic:nvPicPr>
                  <pic:blipFill>
                    <a:blip r:embed="rId4"/>
                    <a:srcRect b="36062"/>
                    <a:stretch>
                      <a:fillRect/>
                    </a:stretch>
                  </pic:blipFill>
                  <pic:spPr>
                    <a:xfrm>
                      <a:off x="0" y="0"/>
                      <a:ext cx="358267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B7754">
      <w:pPr>
        <w:jc w:val="center"/>
        <w:rPr>
          <w:rFonts w:hint="cs"/>
          <w:lang w:val="en-GB"/>
        </w:rPr>
      </w:pPr>
    </w:p>
    <w:p w14:paraId="4D6B112E">
      <w:pPr>
        <w:jc w:val="center"/>
        <w:rPr>
          <w:rFonts w:hint="cs"/>
          <w:b/>
          <w:bCs/>
          <w:lang w:val="en-GB"/>
        </w:rPr>
      </w:pPr>
    </w:p>
    <w:p w14:paraId="709C1137">
      <w:pPr>
        <w:jc w:val="both"/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t>Lane L: DNA Molecular Size ladder (100−1000 bp). Lanes 2, 3,5,</w:t>
      </w:r>
      <w:r>
        <w:rPr>
          <w:rFonts w:hint="default" w:ascii="Times New Roman" w:hAnsi="Times New Roman" w:cs="Times New Roman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lang w:val="en-GB" w:eastAsia="zh-CN"/>
        </w:rPr>
        <w:t xml:space="preserve">6: Positive for </w:t>
      </w:r>
      <w:r>
        <w:rPr>
          <w:rFonts w:hint="default" w:ascii="Times New Roman" w:hAnsi="Times New Roman" w:cs="Times New Roman"/>
          <w:i/>
          <w:iCs/>
          <w:lang w:val="en-GB" w:eastAsia="zh-CN"/>
        </w:rPr>
        <w:t>emeA</w:t>
      </w:r>
      <w:r>
        <w:rPr>
          <w:rFonts w:hint="default" w:ascii="Times New Roman" w:hAnsi="Times New Roman" w:cs="Times New Roman"/>
          <w:lang w:val="en-GB" w:eastAsia="zh-CN"/>
        </w:rPr>
        <w:t xml:space="preserve"> with a band size of 128 bp. Lanes 1,4, and 7: Negative for </w:t>
      </w:r>
      <w:r>
        <w:rPr>
          <w:rFonts w:hint="default" w:ascii="Times New Roman" w:hAnsi="Times New Roman" w:cs="Times New Roman"/>
          <w:i/>
          <w:iCs/>
          <w:lang w:val="en-GB" w:eastAsia="zh-CN"/>
        </w:rPr>
        <w:t>emeA</w:t>
      </w:r>
      <w:r>
        <w:rPr>
          <w:rFonts w:hint="default" w:ascii="Times New Roman" w:hAnsi="Times New Roman" w:cs="Times New Roman"/>
          <w:lang w:val="en-GB" w:eastAsia="zh-CN"/>
        </w:rPr>
        <w:t xml:space="preserve">. Lanes 1-3, and 5- 7: Positive for </w:t>
      </w:r>
      <w:r>
        <w:rPr>
          <w:rFonts w:hint="default" w:ascii="Times New Roman" w:hAnsi="Times New Roman" w:cs="Times New Roman"/>
          <w:i/>
          <w:iCs/>
          <w:lang w:val="en-GB" w:eastAsia="zh-CN"/>
        </w:rPr>
        <w:t>efrB</w:t>
      </w:r>
      <w:r>
        <w:rPr>
          <w:rFonts w:hint="default" w:ascii="Times New Roman" w:hAnsi="Times New Roman" w:cs="Times New Roman"/>
          <w:lang w:val="en-GB" w:eastAsia="zh-CN"/>
        </w:rPr>
        <w:t xml:space="preserve">  with a band size of 211 bp. Lane 4: Negative for </w:t>
      </w:r>
      <w:r>
        <w:rPr>
          <w:rFonts w:hint="default" w:ascii="Times New Roman" w:hAnsi="Times New Roman" w:cs="Times New Roman"/>
          <w:i/>
          <w:iCs/>
          <w:lang w:val="en-GB" w:eastAsia="zh-CN"/>
        </w:rPr>
        <w:t>efrB.</w:t>
      </w:r>
    </w:p>
    <w:p w14:paraId="3DE69EFC">
      <w:pPr>
        <w:rPr>
          <w:sz w:val="21"/>
          <w:szCs w:val="21"/>
        </w:rPr>
      </w:pPr>
    </w:p>
    <w:p w14:paraId="71E2C929">
      <w:pPr>
        <w:rPr>
          <w:sz w:val="21"/>
          <w:szCs w:val="21"/>
        </w:rPr>
      </w:pPr>
    </w:p>
    <w:p w14:paraId="70FCC5A2">
      <w:pPr>
        <w:rPr>
          <w:sz w:val="21"/>
          <w:szCs w:val="21"/>
        </w:rPr>
      </w:pPr>
    </w:p>
    <w:p w14:paraId="5BD30028">
      <w:pPr>
        <w:rPr>
          <w:sz w:val="21"/>
          <w:szCs w:val="21"/>
        </w:rPr>
      </w:pPr>
    </w:p>
    <w:p w14:paraId="71565685">
      <w:pPr>
        <w:rPr>
          <w:sz w:val="21"/>
          <w:szCs w:val="21"/>
        </w:rPr>
      </w:pPr>
    </w:p>
    <w:p w14:paraId="1F25ADFF">
      <w:pPr>
        <w:rPr>
          <w:sz w:val="21"/>
          <w:szCs w:val="21"/>
        </w:rPr>
      </w:pPr>
    </w:p>
    <w:p w14:paraId="58F8BF3D">
      <w:pPr>
        <w:rPr>
          <w:sz w:val="21"/>
          <w:szCs w:val="21"/>
        </w:rPr>
      </w:pPr>
    </w:p>
    <w:p w14:paraId="1BBB34B3">
      <w:pPr>
        <w:rPr>
          <w:sz w:val="21"/>
          <w:szCs w:val="21"/>
        </w:rPr>
      </w:pPr>
    </w:p>
    <w:p w14:paraId="375A3630">
      <w:pPr>
        <w:rPr>
          <w:sz w:val="21"/>
          <w:szCs w:val="21"/>
        </w:rPr>
      </w:pPr>
    </w:p>
    <w:p w14:paraId="3640BC03">
      <w:pPr>
        <w:rPr>
          <w:sz w:val="21"/>
          <w:szCs w:val="21"/>
        </w:rPr>
      </w:pPr>
    </w:p>
    <w:p w14:paraId="21609BE0">
      <w:pPr>
        <w:rPr>
          <w:sz w:val="21"/>
          <w:szCs w:val="21"/>
        </w:rPr>
      </w:pPr>
    </w:p>
    <w:p w14:paraId="2AD94D6C">
      <w:pPr>
        <w:rPr>
          <w:sz w:val="21"/>
          <w:szCs w:val="21"/>
        </w:rPr>
      </w:pPr>
    </w:p>
    <w:p w14:paraId="6291603D">
      <w:pPr>
        <w:rPr>
          <w:sz w:val="21"/>
          <w:szCs w:val="21"/>
        </w:rPr>
      </w:pPr>
    </w:p>
    <w:p w14:paraId="2CAB83C8">
      <w:pPr>
        <w:rPr>
          <w:sz w:val="21"/>
          <w:szCs w:val="21"/>
        </w:rPr>
      </w:pPr>
    </w:p>
    <w:p w14:paraId="5BDA3039">
      <w:pPr>
        <w:rPr>
          <w:sz w:val="21"/>
          <w:szCs w:val="21"/>
        </w:rPr>
      </w:pPr>
    </w:p>
    <w:p w14:paraId="20B7B931">
      <w:pPr>
        <w:rPr>
          <w:sz w:val="21"/>
          <w:szCs w:val="21"/>
        </w:rPr>
      </w:pPr>
    </w:p>
    <w:p w14:paraId="3C2B5993">
      <w:pPr>
        <w:rPr>
          <w:sz w:val="21"/>
          <w:szCs w:val="21"/>
        </w:rPr>
      </w:pPr>
    </w:p>
    <w:p w14:paraId="1BDD236A">
      <w:pPr>
        <w:rPr>
          <w:sz w:val="21"/>
          <w:szCs w:val="21"/>
        </w:rPr>
      </w:pPr>
    </w:p>
    <w:p w14:paraId="53A3EDBA">
      <w:pPr>
        <w:rPr>
          <w:sz w:val="21"/>
          <w:szCs w:val="21"/>
        </w:rPr>
      </w:pPr>
    </w:p>
    <w:p w14:paraId="765615B3">
      <w:pPr>
        <w:rPr>
          <w:sz w:val="21"/>
          <w:szCs w:val="21"/>
        </w:rPr>
      </w:pPr>
    </w:p>
    <w:p w14:paraId="67F27992">
      <w:pPr>
        <w:rPr>
          <w:sz w:val="21"/>
          <w:szCs w:val="21"/>
        </w:rPr>
      </w:pPr>
    </w:p>
    <w:p w14:paraId="2B148447">
      <w:pPr>
        <w:rPr>
          <w:sz w:val="21"/>
          <w:szCs w:val="21"/>
        </w:rPr>
      </w:pPr>
    </w:p>
    <w:p w14:paraId="1168AFD2">
      <w:pPr>
        <w:rPr>
          <w:sz w:val="21"/>
          <w:szCs w:val="21"/>
        </w:rPr>
      </w:pPr>
    </w:p>
    <w:p w14:paraId="1FC85CD4">
      <w:pPr>
        <w:rPr>
          <w:sz w:val="21"/>
          <w:szCs w:val="21"/>
        </w:rPr>
      </w:pPr>
    </w:p>
    <w:p w14:paraId="4E0E6E1C">
      <w:pPr>
        <w:rPr>
          <w:sz w:val="21"/>
          <w:szCs w:val="21"/>
        </w:rPr>
      </w:pPr>
    </w:p>
    <w:p w14:paraId="08F76C8B">
      <w:pPr>
        <w:rPr>
          <w:sz w:val="21"/>
          <w:szCs w:val="21"/>
        </w:rPr>
      </w:pPr>
    </w:p>
    <w:p w14:paraId="36E7E753">
      <w:pPr>
        <w:rPr>
          <w:sz w:val="21"/>
          <w:szCs w:val="21"/>
        </w:rPr>
      </w:pPr>
    </w:p>
    <w:p w14:paraId="65AC45C8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S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 w:bidi="ar-SA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S2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SA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 xml:space="preserve"> PCR Gel Electrophoresis of the amplified product of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highlight w:val="none"/>
          <w:lang w:val="en-GB" w:eastAsia="zh-CN" w:bidi="ar-SA"/>
        </w:rPr>
        <w:t xml:space="preserve">efrA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gene.</w:t>
      </w:r>
    </w:p>
    <w:p w14:paraId="3B90A60D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SA"/>
        </w:rPr>
      </w:pPr>
    </w:p>
    <w:p w14:paraId="5A934F34">
      <w:pPr>
        <w:jc w:val="center"/>
        <w:rPr>
          <w:rFonts w:hint="default"/>
          <w:lang w:val="en-GB"/>
        </w:rPr>
      </w:pPr>
    </w:p>
    <w:p w14:paraId="10713096">
      <w:pPr>
        <w:jc w:val="center"/>
        <w:rPr>
          <w:rFonts w:hint="default"/>
          <w:lang w:val="en-GB"/>
        </w:rPr>
      </w:pPr>
      <w:r>
        <w:rPr>
          <w:rFonts w:hint="default"/>
          <w:lang w:val="en-GB"/>
        </w:rPr>
        <w:drawing>
          <wp:inline distT="0" distB="0" distL="114300" distR="114300">
            <wp:extent cx="3754755" cy="2854960"/>
            <wp:effectExtent l="0" t="0" r="4445" b="2540"/>
            <wp:docPr id="5" name="Picture 5" descr="صور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صورة.jpg"/>
                    <pic:cNvPicPr>
                      <a:picLocks noChangeAspect="1"/>
                    </pic:cNvPicPr>
                  </pic:nvPicPr>
                  <pic:blipFill>
                    <a:blip r:embed="rId5"/>
                    <a:srcRect b="30467"/>
                    <a:stretch>
                      <a:fillRect/>
                    </a:stretch>
                  </pic:blipFill>
                  <pic:spPr>
                    <a:xfrm>
                      <a:off x="0" y="0"/>
                      <a:ext cx="3754755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F445A">
      <w:pPr>
        <w:jc w:val="center"/>
        <w:rPr>
          <w:rFonts w:hint="cs"/>
          <w:lang w:val="en-GB"/>
        </w:rPr>
      </w:pPr>
    </w:p>
    <w:p w14:paraId="27C274B3">
      <w:pPr>
        <w:jc w:val="both"/>
        <w:rPr>
          <w:sz w:val="21"/>
          <w:szCs w:val="21"/>
        </w:rPr>
      </w:pPr>
      <w:r>
        <w:rPr>
          <w:rFonts w:hint="default" w:ascii="Times New Roman" w:hAnsi="Times New Roman" w:cs="Times New Roman"/>
          <w:lang w:val="en-GB" w:eastAsia="zh-CN"/>
        </w:rPr>
        <w:t xml:space="preserve">Lane L: DNA Molecular Size ladder (100−1000 bp). Lanes 1-4 and 6: Positive for </w:t>
      </w:r>
      <w:r>
        <w:rPr>
          <w:rFonts w:hint="default" w:ascii="Times New Roman" w:hAnsi="Times New Roman" w:cs="Times New Roman"/>
          <w:i/>
          <w:iCs/>
          <w:lang w:val="en-GB" w:eastAsia="zh-CN"/>
        </w:rPr>
        <w:t xml:space="preserve">efrA </w:t>
      </w:r>
      <w:r>
        <w:rPr>
          <w:rFonts w:hint="default" w:ascii="Times New Roman" w:hAnsi="Times New Roman" w:cs="Times New Roman"/>
          <w:lang w:val="en-GB" w:eastAsia="zh-CN"/>
        </w:rPr>
        <w:t xml:space="preserve">with a band size of 224 bp. Lanes 5 and 7: Negative for </w:t>
      </w:r>
      <w:r>
        <w:rPr>
          <w:rFonts w:hint="default" w:ascii="Times New Roman" w:hAnsi="Times New Roman" w:cs="Times New Roman"/>
          <w:i/>
          <w:iCs/>
          <w:lang w:val="en-GB" w:eastAsia="zh-CN"/>
        </w:rPr>
        <w:t>efrA.</w:t>
      </w:r>
    </w:p>
    <w:p w14:paraId="6BD902E5">
      <w:pPr>
        <w:rPr>
          <w:sz w:val="21"/>
          <w:szCs w:val="21"/>
        </w:rPr>
      </w:pPr>
    </w:p>
    <w:p w14:paraId="6AC02E28">
      <w:pPr>
        <w:rPr>
          <w:sz w:val="21"/>
          <w:szCs w:val="21"/>
        </w:rPr>
      </w:pPr>
    </w:p>
    <w:p w14:paraId="56CBAEFA">
      <w:pPr>
        <w:rPr>
          <w:sz w:val="21"/>
          <w:szCs w:val="21"/>
        </w:rPr>
      </w:pPr>
    </w:p>
    <w:p w14:paraId="2A6EBC4A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65D96398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4867E45E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0D5C0336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4320FF8F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54F7C186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5E868695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135BB8FB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5548FD59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0D00D0F3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0FB35A47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6280357A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12F1E9BE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23799C1F">
      <w:pPr>
        <w:spacing w:line="360" w:lineRule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</w:pPr>
    </w:p>
    <w:p w14:paraId="248EB21F">
      <w:pPr>
        <w:spacing w:before="120" w:line="360" w:lineRule="auto"/>
        <w:ind w:right="-1"/>
        <w:jc w:val="both"/>
        <w:rPr>
          <w:rFonts w:hint="default" w:eastAsia="Calibri" w:asciiTheme="majorBidi" w:hAnsiTheme="majorBidi" w:cstheme="majorBidi"/>
          <w:sz w:val="24"/>
          <w:szCs w:val="24"/>
          <w:lang w:val="en-GB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Supplementary Table S1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SA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bidi="ar-SA"/>
        </w:rPr>
        <w:t xml:space="preserve"> </w:t>
      </w:r>
      <w:r>
        <w:rPr>
          <w:rFonts w:hint="default" w:eastAsia="Calibri" w:asciiTheme="majorBidi" w:hAnsiTheme="majorBidi" w:cstheme="majorBidi"/>
          <w:b/>
          <w:bCs/>
          <w:sz w:val="24"/>
          <w:szCs w:val="24"/>
          <w:lang w:val="en-GB"/>
        </w:rPr>
        <w:t xml:space="preserve">Antimicrobial resistance profiles of the studied </w:t>
      </w:r>
      <w:r>
        <w:rPr>
          <w:rFonts w:hint="default" w:eastAsia="Calibri" w:asciiTheme="majorBidi" w:hAnsiTheme="majorBidi" w:cstheme="majorBidi"/>
          <w:b/>
          <w:bCs/>
          <w:i/>
          <w:iCs/>
          <w:sz w:val="24"/>
          <w:szCs w:val="24"/>
          <w:lang w:val="en-GB"/>
        </w:rPr>
        <w:t xml:space="preserve">Enterococcus </w:t>
      </w:r>
      <w:r>
        <w:rPr>
          <w:rFonts w:hint="default" w:eastAsia="Calibri" w:asciiTheme="majorBidi" w:hAnsiTheme="majorBidi" w:cstheme="majorBidi"/>
          <w:b/>
          <w:bCs/>
          <w:sz w:val="24"/>
          <w:szCs w:val="24"/>
          <w:lang w:val="en-GB"/>
        </w:rPr>
        <w:t>isolates identified by the Vitek</w:t>
      </w:r>
      <w:r>
        <w:rPr>
          <w:rFonts w:hint="default" w:eastAsia="Calibri" w:asciiTheme="majorBidi" w:hAnsiTheme="majorBidi" w:cstheme="majorBidi"/>
          <w:b/>
          <w:bCs/>
          <w:sz w:val="24"/>
          <w:szCs w:val="24"/>
          <w:lang w:val="en-GB"/>
        </w:rPr>
        <w:noBreakHyphen/>
      </w:r>
      <w:r>
        <w:rPr>
          <w:rFonts w:hint="default" w:eastAsia="Calibri" w:asciiTheme="majorBidi" w:hAnsiTheme="majorBidi" w:cstheme="majorBidi"/>
          <w:b/>
          <w:bCs/>
          <w:sz w:val="24"/>
          <w:szCs w:val="24"/>
          <w:lang w:val="en-GB"/>
        </w:rPr>
        <w:t>2 system (n = 120).</w:t>
      </w:r>
    </w:p>
    <w:tbl>
      <w:tblPr>
        <w:tblStyle w:val="8"/>
        <w:tblW w:w="8438" w:type="dxa"/>
        <w:jc w:val="center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2105"/>
        <w:gridCol w:w="1486"/>
        <w:gridCol w:w="1486"/>
        <w:gridCol w:w="1322"/>
      </w:tblGrid>
      <w:tr w14:paraId="07F7D857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39" w:type="dxa"/>
            <w:vMerge w:val="restart"/>
            <w:shd w:val="clear" w:color="auto" w:fill="B4C6E7"/>
            <w:vAlign w:val="center"/>
          </w:tcPr>
          <w:p w14:paraId="1154080F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 xml:space="preserve">Antibiotic 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US"/>
              </w:rPr>
              <w:t>G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roup</w:t>
            </w:r>
          </w:p>
        </w:tc>
        <w:tc>
          <w:tcPr>
            <w:tcW w:w="2105" w:type="dxa"/>
            <w:vMerge w:val="restart"/>
            <w:shd w:val="clear" w:color="auto" w:fill="B4C6E7"/>
            <w:vAlign w:val="center"/>
          </w:tcPr>
          <w:p w14:paraId="5FC5F526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 xml:space="preserve">Antimicrobial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US"/>
              </w:rPr>
              <w:t xml:space="preserve">Agents  </w:t>
            </w:r>
          </w:p>
        </w:tc>
        <w:tc>
          <w:tcPr>
            <w:tcW w:w="4294" w:type="dxa"/>
            <w:gridSpan w:val="3"/>
            <w:shd w:val="clear" w:color="auto" w:fill="B4C6E7"/>
            <w:vAlign w:val="center"/>
          </w:tcPr>
          <w:p w14:paraId="56E62FB0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 xml:space="preserve">Enterococcus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spp.</w:t>
            </w:r>
          </w:p>
          <w:p w14:paraId="57C05132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 xml:space="preserve">MIC 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US"/>
              </w:rPr>
              <w:t>B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reakpoints (</w:t>
            </w: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>CLSI, 2025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)</w:t>
            </w:r>
          </w:p>
        </w:tc>
      </w:tr>
      <w:tr w14:paraId="465AEBA6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39" w:type="dxa"/>
            <w:vMerge w:val="continue"/>
            <w:shd w:val="clear" w:color="auto" w:fill="B4C6E7"/>
            <w:vAlign w:val="center"/>
          </w:tcPr>
          <w:p w14:paraId="4A3327AB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105" w:type="dxa"/>
            <w:vMerge w:val="continue"/>
            <w:shd w:val="clear" w:color="auto" w:fill="B4C6E7"/>
            <w:vAlign w:val="center"/>
          </w:tcPr>
          <w:p w14:paraId="2785AF74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</w:p>
        </w:tc>
        <w:tc>
          <w:tcPr>
            <w:tcW w:w="1486" w:type="dxa"/>
            <w:shd w:val="clear" w:color="auto" w:fill="B4C6E7"/>
            <w:vAlign w:val="center"/>
          </w:tcPr>
          <w:p w14:paraId="389898B7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Sensitive</w:t>
            </w:r>
          </w:p>
        </w:tc>
        <w:tc>
          <w:tcPr>
            <w:tcW w:w="1486" w:type="dxa"/>
            <w:shd w:val="clear" w:color="auto" w:fill="B4C6E7"/>
            <w:vAlign w:val="center"/>
          </w:tcPr>
          <w:p w14:paraId="512780CB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Intermediate</w:t>
            </w:r>
          </w:p>
        </w:tc>
        <w:tc>
          <w:tcPr>
            <w:tcW w:w="1322" w:type="dxa"/>
            <w:shd w:val="clear" w:color="auto" w:fill="B4C6E7"/>
            <w:vAlign w:val="center"/>
          </w:tcPr>
          <w:p w14:paraId="7384BD31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Resistant</w:t>
            </w:r>
          </w:p>
        </w:tc>
      </w:tr>
      <w:tr w14:paraId="6299EBE2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2039" w:type="dxa"/>
            <w:vMerge w:val="continue"/>
            <w:shd w:val="clear" w:color="auto" w:fill="B4C6E7"/>
            <w:vAlign w:val="center"/>
          </w:tcPr>
          <w:p w14:paraId="31A6CDB0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105" w:type="dxa"/>
            <w:vMerge w:val="continue"/>
            <w:shd w:val="clear" w:color="auto" w:fill="B4C6E7"/>
            <w:vAlign w:val="center"/>
          </w:tcPr>
          <w:p w14:paraId="17E3A862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</w:p>
        </w:tc>
        <w:tc>
          <w:tcPr>
            <w:tcW w:w="1486" w:type="dxa"/>
            <w:shd w:val="clear" w:color="auto" w:fill="B4C6E7"/>
            <w:vAlign w:val="center"/>
          </w:tcPr>
          <w:p w14:paraId="0753937B">
            <w:pPr>
              <w:spacing w:line="360" w:lineRule="auto"/>
              <w:jc w:val="center"/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 (%)</w:t>
            </w:r>
          </w:p>
        </w:tc>
        <w:tc>
          <w:tcPr>
            <w:tcW w:w="1486" w:type="dxa"/>
            <w:shd w:val="clear" w:color="auto" w:fill="B4C6E7"/>
            <w:vAlign w:val="center"/>
          </w:tcPr>
          <w:p w14:paraId="2F58FFAA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 (%)</w:t>
            </w:r>
          </w:p>
        </w:tc>
        <w:tc>
          <w:tcPr>
            <w:tcW w:w="1322" w:type="dxa"/>
            <w:shd w:val="clear" w:color="auto" w:fill="B4C6E7"/>
            <w:vAlign w:val="center"/>
          </w:tcPr>
          <w:p w14:paraId="28B0869C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 (%)</w:t>
            </w:r>
          </w:p>
        </w:tc>
      </w:tr>
      <w:tr w14:paraId="43EC8EB6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039" w:type="dxa"/>
            <w:shd w:val="clear" w:color="auto" w:fill="FFCCCC"/>
            <w:vAlign w:val="center"/>
          </w:tcPr>
          <w:p w14:paraId="290F1A0B">
            <w:pPr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Penicillin</w:t>
            </w:r>
          </w:p>
        </w:tc>
        <w:tc>
          <w:tcPr>
            <w:tcW w:w="2105" w:type="dxa"/>
            <w:shd w:val="clear" w:color="auto" w:fill="FFFFCC"/>
            <w:vAlign w:val="center"/>
          </w:tcPr>
          <w:p w14:paraId="4366F090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Ampicillin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0C3063C2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65 (54.2%)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376FD155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0 (0%)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57BE8B22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55(45.8%)</w:t>
            </w:r>
          </w:p>
        </w:tc>
      </w:tr>
      <w:tr w14:paraId="5AE3B920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2039" w:type="dxa"/>
            <w:vMerge w:val="restart"/>
            <w:shd w:val="clear" w:color="auto" w:fill="FFCCCC"/>
            <w:vAlign w:val="center"/>
          </w:tcPr>
          <w:p w14:paraId="652BC384">
            <w:pPr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Aminoglycosides</w:t>
            </w:r>
          </w:p>
        </w:tc>
        <w:tc>
          <w:tcPr>
            <w:tcW w:w="2105" w:type="dxa"/>
            <w:shd w:val="clear" w:color="auto" w:fill="FFFFCC"/>
            <w:vAlign w:val="center"/>
          </w:tcPr>
          <w:p w14:paraId="5AF89244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Gentamycin high level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4012E616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green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68 (56.7%)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3011B482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color w:val="auto"/>
                <w:sz w:val="21"/>
                <w:szCs w:val="21"/>
                <w:highlight w:val="none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color w:val="auto"/>
                <w:sz w:val="21"/>
                <w:szCs w:val="21"/>
                <w:highlight w:val="none"/>
                <w:lang w:val="en-GB" w:eastAsia="en-GB"/>
              </w:rPr>
              <w:t>0 (0%)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3246A2E3">
            <w:pPr>
              <w:spacing w:line="360" w:lineRule="auto"/>
              <w:jc w:val="center"/>
              <w:rPr>
                <w:rFonts w:hint="default" w:eastAsia="Calibri" w:asciiTheme="majorBidi" w:hAnsiTheme="majorBidi" w:cstheme="majorBidi"/>
                <w:color w:val="auto"/>
                <w:sz w:val="21"/>
                <w:szCs w:val="21"/>
                <w:highlight w:val="none"/>
                <w:lang w:val="en-US" w:eastAsia="en-GB"/>
              </w:rPr>
            </w:pPr>
            <w:r>
              <w:rPr>
                <w:rFonts w:hint="default" w:eastAsia="Calibri" w:asciiTheme="majorBidi" w:hAnsiTheme="majorBidi" w:cstheme="majorBidi"/>
                <w:color w:val="auto"/>
                <w:sz w:val="21"/>
                <w:szCs w:val="21"/>
                <w:highlight w:val="none"/>
                <w:lang w:val="en-US" w:eastAsia="en-GB"/>
              </w:rPr>
              <w:t>52 (43.3%)</w:t>
            </w:r>
          </w:p>
        </w:tc>
      </w:tr>
      <w:tr w14:paraId="732ACBF5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2039" w:type="dxa"/>
            <w:vMerge w:val="continue"/>
            <w:shd w:val="clear" w:color="auto" w:fill="FFCCCC"/>
            <w:vAlign w:val="center"/>
          </w:tcPr>
          <w:p w14:paraId="6D41F895">
            <w:pPr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105" w:type="dxa"/>
            <w:shd w:val="clear" w:color="auto" w:fill="FFFFCC"/>
            <w:vAlign w:val="center"/>
          </w:tcPr>
          <w:p w14:paraId="16EA64EB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Streptomycin high level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3D0E6970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55 (45.8%)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6CEFBD2F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0 (0%)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4439A990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>65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 xml:space="preserve"> (5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>4.2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%)</w:t>
            </w:r>
          </w:p>
        </w:tc>
      </w:tr>
      <w:tr w14:paraId="410835CD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039" w:type="dxa"/>
            <w:shd w:val="clear" w:color="auto" w:fill="FFCCCC"/>
            <w:vAlign w:val="center"/>
          </w:tcPr>
          <w:p w14:paraId="4BDF5D41">
            <w:pPr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Macrolides</w:t>
            </w:r>
          </w:p>
        </w:tc>
        <w:tc>
          <w:tcPr>
            <w:tcW w:w="2105" w:type="dxa"/>
            <w:shd w:val="clear" w:color="auto" w:fill="FFFFCC"/>
            <w:vAlign w:val="center"/>
          </w:tcPr>
          <w:p w14:paraId="53096C24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Erythromycin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61DB72E5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38 (31.7%)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3AD39D7F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>30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 xml:space="preserve"> (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>25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634DF6F6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>52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 xml:space="preserve"> (43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>.3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%)</w:t>
            </w:r>
          </w:p>
        </w:tc>
      </w:tr>
      <w:tr w14:paraId="2DD7CEF5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039" w:type="dxa"/>
            <w:shd w:val="clear" w:color="auto" w:fill="FFCCCC"/>
            <w:vAlign w:val="center"/>
          </w:tcPr>
          <w:p w14:paraId="7304CBAB">
            <w:pPr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Fluoroquinolones</w:t>
            </w:r>
          </w:p>
        </w:tc>
        <w:tc>
          <w:tcPr>
            <w:tcW w:w="2105" w:type="dxa"/>
            <w:shd w:val="clear" w:color="auto" w:fill="FFFFCC"/>
            <w:vAlign w:val="center"/>
          </w:tcPr>
          <w:p w14:paraId="1A0642EE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Ciprofloxacin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74E3E77A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58 (48.3%)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66343385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  <w:t>0 (0%)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7BA96D6C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eastAsia="en-GB"/>
              </w:rPr>
              <w:t>62</w:t>
            </w: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  <w:t xml:space="preserve"> (</w:t>
            </w: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eastAsia="en-GB"/>
              </w:rPr>
              <w:t>51.7</w:t>
            </w: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  <w:t>%)</w:t>
            </w:r>
          </w:p>
        </w:tc>
      </w:tr>
      <w:tr w14:paraId="53FE5315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039" w:type="dxa"/>
            <w:shd w:val="clear" w:color="auto" w:fill="FFCCCC"/>
            <w:vAlign w:val="center"/>
          </w:tcPr>
          <w:p w14:paraId="4B2B5742">
            <w:pPr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Glycopeptides</w:t>
            </w:r>
          </w:p>
        </w:tc>
        <w:tc>
          <w:tcPr>
            <w:tcW w:w="2105" w:type="dxa"/>
            <w:shd w:val="clear" w:color="auto" w:fill="FFFFCC"/>
            <w:vAlign w:val="center"/>
          </w:tcPr>
          <w:p w14:paraId="58BF590A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Vancomycin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6C65D3A4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93 (77.5%)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1975304B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  <w:t>0 (0%)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3FCA6E82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  <w:t>2</w:t>
            </w: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eastAsia="en-GB"/>
              </w:rPr>
              <w:t xml:space="preserve">7 </w:t>
            </w: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  <w:t>(2</w:t>
            </w: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eastAsia="en-GB"/>
              </w:rPr>
              <w:t>2.5</w:t>
            </w: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 w:eastAsia="en-GB"/>
              </w:rPr>
              <w:t>%)</w:t>
            </w:r>
          </w:p>
        </w:tc>
      </w:tr>
      <w:tr w14:paraId="5B502BD9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039" w:type="dxa"/>
            <w:shd w:val="clear" w:color="auto" w:fill="FFCCCC"/>
            <w:vAlign w:val="center"/>
          </w:tcPr>
          <w:p w14:paraId="5EC62F02">
            <w:pPr>
              <w:tabs>
                <w:tab w:val="left" w:pos="1924"/>
              </w:tabs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Oxazolidinones</w:t>
            </w:r>
          </w:p>
        </w:tc>
        <w:tc>
          <w:tcPr>
            <w:tcW w:w="2105" w:type="dxa"/>
            <w:shd w:val="clear" w:color="auto" w:fill="FFFFCC"/>
            <w:vAlign w:val="center"/>
          </w:tcPr>
          <w:p w14:paraId="74064C85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Linezolid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4AFD7322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88 (87.5%)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7836C69A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0 (0%)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686DE752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15 (12.5%)</w:t>
            </w:r>
          </w:p>
        </w:tc>
      </w:tr>
      <w:tr w14:paraId="7F667F9F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039" w:type="dxa"/>
            <w:shd w:val="clear" w:color="auto" w:fill="FFCCCC"/>
            <w:vAlign w:val="center"/>
          </w:tcPr>
          <w:p w14:paraId="2DAF15B9">
            <w:pPr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Lipoglycopeptides</w:t>
            </w:r>
          </w:p>
        </w:tc>
        <w:tc>
          <w:tcPr>
            <w:tcW w:w="2105" w:type="dxa"/>
            <w:shd w:val="clear" w:color="auto" w:fill="FFFFCC"/>
            <w:vAlign w:val="center"/>
          </w:tcPr>
          <w:p w14:paraId="30E137A5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Teicoplanin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383B210C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100 (83.3%)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4F6FA991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1 (1%)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09C90236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 xml:space="preserve">9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(1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>5.8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%)</w:t>
            </w:r>
          </w:p>
        </w:tc>
      </w:tr>
      <w:tr w14:paraId="355973E5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039" w:type="dxa"/>
            <w:shd w:val="clear" w:color="auto" w:fill="FFCCCC"/>
            <w:vAlign w:val="center"/>
          </w:tcPr>
          <w:p w14:paraId="1A3AE4D6">
            <w:pPr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Tetracyclines</w:t>
            </w:r>
          </w:p>
        </w:tc>
        <w:tc>
          <w:tcPr>
            <w:tcW w:w="2105" w:type="dxa"/>
            <w:shd w:val="clear" w:color="auto" w:fill="FFFFCC"/>
            <w:vAlign w:val="center"/>
          </w:tcPr>
          <w:p w14:paraId="606992C6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Tetracycline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5BFC9F3F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50 (41.7 %)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05760843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0 (0%)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1C2793AF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>70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 xml:space="preserve"> (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eastAsia="en-GB"/>
              </w:rPr>
              <w:t>58.3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%)</w:t>
            </w:r>
          </w:p>
        </w:tc>
      </w:tr>
      <w:tr w14:paraId="03BA29F2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2039" w:type="dxa"/>
            <w:shd w:val="clear" w:color="auto" w:fill="FFCCCC"/>
            <w:vAlign w:val="center"/>
          </w:tcPr>
          <w:p w14:paraId="43BFF16E">
            <w:pPr>
              <w:spacing w:line="360" w:lineRule="auto"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Glycycline</w:t>
            </w:r>
          </w:p>
        </w:tc>
        <w:tc>
          <w:tcPr>
            <w:tcW w:w="2105" w:type="dxa"/>
            <w:shd w:val="clear" w:color="auto" w:fill="FFFFCC"/>
            <w:vAlign w:val="center"/>
          </w:tcPr>
          <w:p w14:paraId="359DEF9D">
            <w:pPr>
              <w:spacing w:line="360" w:lineRule="auto"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Tigecycline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6038B422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120 (100%)</w:t>
            </w:r>
          </w:p>
        </w:tc>
        <w:tc>
          <w:tcPr>
            <w:tcW w:w="1486" w:type="dxa"/>
            <w:shd w:val="clear" w:color="auto" w:fill="E7E6E6"/>
            <w:vAlign w:val="center"/>
          </w:tcPr>
          <w:p w14:paraId="7A636446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0 (0%)</w:t>
            </w:r>
          </w:p>
        </w:tc>
        <w:tc>
          <w:tcPr>
            <w:tcW w:w="1322" w:type="dxa"/>
            <w:shd w:val="clear" w:color="auto" w:fill="E7E6E6"/>
            <w:vAlign w:val="center"/>
          </w:tcPr>
          <w:p w14:paraId="520ACF29">
            <w:pPr>
              <w:spacing w:line="360" w:lineRule="auto"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eastAsia="en-GB"/>
              </w:rPr>
              <w:t>0 (0%)</w:t>
            </w:r>
          </w:p>
        </w:tc>
      </w:tr>
    </w:tbl>
    <w:p w14:paraId="125A8921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737EF80D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3EE038FD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67337361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35B6D186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3A067C89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730B4515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277F4D18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7B094432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51C6D9FA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27F2C60A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24210119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663A1E3E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6191E7F5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3A30C689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303A113E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02458FEF">
      <w:pPr>
        <w:spacing w:line="360" w:lineRule="auto"/>
        <w:ind w:firstLine="720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184C01C6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Supplementary Table S2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SA"/>
        </w:rPr>
        <w:t>.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 xml:space="preserve">Association between CHX and BCC MIC Levels and Susceptibility to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/>
        </w:rPr>
        <w:t>c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 xml:space="preserve">iprofloxacin,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/>
        </w:rPr>
        <w:t>v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 xml:space="preserve">ancomycin, and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/>
        </w:rPr>
        <w:t>g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entamicin</w:t>
      </w:r>
    </w:p>
    <w:tbl>
      <w:tblPr>
        <w:tblStyle w:val="8"/>
        <w:tblpPr w:leftFromText="180" w:rightFromText="180" w:vertAnchor="text" w:horzAnchor="page" w:tblpX="2252" w:tblpY="763"/>
        <w:tblOverlap w:val="never"/>
        <w:tblW w:w="7732" w:type="dxa"/>
        <w:tblInd w:w="0" w:type="dxa"/>
        <w:tblBorders>
          <w:top w:val="thickThinSmallGap" w:color="auto" w:sz="24" w:space="0"/>
          <w:left w:val="thickThinSmallGap" w:color="auto" w:sz="24" w:space="0"/>
          <w:bottom w:val="thickThinSmallGap" w:color="auto" w:sz="24" w:space="0"/>
          <w:right w:val="thickThinSmallGap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310"/>
        <w:gridCol w:w="1469"/>
        <w:gridCol w:w="1340"/>
        <w:gridCol w:w="1368"/>
        <w:gridCol w:w="1415"/>
      </w:tblGrid>
      <w:tr w14:paraId="756A03D6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2140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C4600F9">
            <w:pPr>
              <w:numPr>
                <w:ilvl w:val="0"/>
                <w:numId w:val="1"/>
              </w:numPr>
              <w:ind w:left="400" w:leftChars="0" w:firstLineChars="0"/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>f</w:t>
            </w:r>
            <w:r>
              <w:rPr>
                <w:rFonts w:hint="default"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>a</w:t>
            </w: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 xml:space="preserve">ecalis 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N=6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3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04A04845">
            <w:pPr>
              <w:rPr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CHX MIC50 </w:t>
            </w:r>
            <w:r>
              <w:rPr>
                <w:rFonts w:ascii="Times New Roman" w:hAnsi="Times New Roman" w:eastAsia="STIX" w:cs="Times New Roman"/>
                <w:b/>
                <w:bCs/>
                <w:color w:val="000000"/>
                <w:sz w:val="21"/>
                <w:szCs w:val="21"/>
                <w:lang w:bidi="ar"/>
              </w:rPr>
              <w:t>(µg/mL)</w:t>
            </w:r>
          </w:p>
          <w:p w14:paraId="1401438E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0F8952D0">
            <w:pPr>
              <w:rPr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CHX MIC90 </w:t>
            </w:r>
            <w:r>
              <w:rPr>
                <w:rFonts w:ascii="Times New Roman" w:hAnsi="Times New Roman" w:eastAsia="STIX" w:cs="Times New Roman"/>
                <w:b/>
                <w:bCs/>
                <w:color w:val="000000"/>
                <w:sz w:val="21"/>
                <w:szCs w:val="21"/>
                <w:lang w:bidi="ar"/>
              </w:rPr>
              <w:t>(µg/mL)</w:t>
            </w:r>
          </w:p>
          <w:p w14:paraId="223AC031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68" w:type="dxa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42EBEE58">
            <w:pPr>
              <w:rPr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BCC MIC50 </w:t>
            </w:r>
            <w:r>
              <w:rPr>
                <w:rFonts w:ascii="Times New Roman" w:hAnsi="Times New Roman" w:eastAsia="STIX" w:cs="Times New Roman"/>
                <w:b/>
                <w:bCs/>
                <w:color w:val="000000"/>
                <w:sz w:val="21"/>
                <w:szCs w:val="21"/>
                <w:lang w:bidi="ar"/>
              </w:rPr>
              <w:t>(µg/mL)</w:t>
            </w:r>
          </w:p>
          <w:p w14:paraId="702377F0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415" w:type="dxa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1BBD2774">
            <w:pPr>
              <w:rPr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BCC MIC90 </w:t>
            </w:r>
            <w:r>
              <w:rPr>
                <w:rFonts w:ascii="Times New Roman" w:hAnsi="Times New Roman" w:eastAsia="STIX" w:cs="Times New Roman"/>
                <w:b/>
                <w:bCs/>
                <w:color w:val="000000"/>
                <w:sz w:val="21"/>
                <w:szCs w:val="21"/>
                <w:lang w:bidi="ar"/>
              </w:rPr>
              <w:t>(µg/mL)</w:t>
            </w:r>
          </w:p>
          <w:p w14:paraId="429F4AF5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14:paraId="1CEB900F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30" w:type="dxa"/>
            <w:vMerge w:val="restart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7F222ABD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CIP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</w:t>
            </w:r>
          </w:p>
          <w:p w14:paraId="5CCE9A8E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  <w:p w14:paraId="7D0C2A33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56BBE6F4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R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=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24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0198055F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8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4012C21D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2AAD99A5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8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60EC1C57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16</w:t>
            </w:r>
          </w:p>
        </w:tc>
      </w:tr>
      <w:tr w14:paraId="0BAD05B9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140245DA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363E6ABA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S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=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39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139133B2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4478EA23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6DBB1C93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4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3E4427C4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</w:tr>
      <w:tr w14:paraId="34956A56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0" w:type="dxa"/>
            <w:vMerge w:val="restart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4F88ACE2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VAN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</w:t>
            </w:r>
          </w:p>
          <w:p w14:paraId="495D446D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1A16D9C6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R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=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9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79AD420A">
            <w:pPr>
              <w:contextualSpacing/>
              <w:jc w:val="both"/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06CB73EB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462AC2A1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71798688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32</w:t>
            </w:r>
          </w:p>
        </w:tc>
      </w:tr>
      <w:tr w14:paraId="2A1BCE52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631D2262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6FBCEBD4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S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=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54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3DB0293D">
            <w:pPr>
              <w:contextualSpacing/>
              <w:jc w:val="both"/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2A2AE181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4A19CB42">
            <w:pPr>
              <w:contextualSpacing/>
              <w:jc w:val="both"/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5A97820F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16</w:t>
            </w:r>
          </w:p>
        </w:tc>
      </w:tr>
      <w:tr w14:paraId="5C3AC7A0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30" w:type="dxa"/>
            <w:vMerge w:val="restart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30018618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GEN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458211B9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R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=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22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29EEB93B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4644C9CD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57FE8E3F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5BA3D962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16</w:t>
            </w:r>
          </w:p>
        </w:tc>
      </w:tr>
      <w:tr w14:paraId="63F2F286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56093B5C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3B372A63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S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=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41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4E61FC5E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201B8B46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5BBAD033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28D21137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</w:tr>
      <w:tr w14:paraId="3D904DBF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140" w:type="dxa"/>
            <w:gridSpan w:val="2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4B72388C">
            <w:pPr>
              <w:numPr>
                <w:ilvl w:val="0"/>
                <w:numId w:val="1"/>
              </w:numPr>
              <w:ind w:left="400" w:leftChars="0" w:firstLine="0" w:firstLineChars="0"/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hint="default"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US"/>
              </w:rPr>
              <w:t>f</w:t>
            </w:r>
            <w:r>
              <w:rPr>
                <w:rFonts w:hint="default"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>a</w:t>
            </w: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 xml:space="preserve">ecium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N=57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shd w:val="clear" w:color="auto" w:fill="B4C6E7" w:themeFill="accent5" w:themeFillTint="66"/>
            <w:vAlign w:val="center"/>
          </w:tcPr>
          <w:p w14:paraId="77F0352A">
            <w:pPr>
              <w:rPr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CHX MIC50 </w:t>
            </w:r>
            <w:r>
              <w:rPr>
                <w:rFonts w:ascii="Times New Roman" w:hAnsi="Times New Roman" w:eastAsia="STIX" w:cs="Times New Roman"/>
                <w:b/>
                <w:bCs/>
                <w:color w:val="000000"/>
                <w:sz w:val="21"/>
                <w:szCs w:val="21"/>
                <w:lang w:bidi="ar"/>
              </w:rPr>
              <w:t>(µg/mL)</w:t>
            </w:r>
          </w:p>
          <w:p w14:paraId="55347216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B4C6E7" w:themeFill="accent5" w:themeFillTint="66"/>
            <w:vAlign w:val="center"/>
          </w:tcPr>
          <w:p w14:paraId="58098A23">
            <w:pPr>
              <w:rPr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CHX MIC90 </w:t>
            </w:r>
            <w:r>
              <w:rPr>
                <w:rFonts w:ascii="Times New Roman" w:hAnsi="Times New Roman" w:eastAsia="STIX" w:cs="Times New Roman"/>
                <w:b/>
                <w:bCs/>
                <w:color w:val="000000"/>
                <w:sz w:val="21"/>
                <w:szCs w:val="21"/>
                <w:lang w:bidi="ar"/>
              </w:rPr>
              <w:t>(µg/mL)</w:t>
            </w:r>
          </w:p>
          <w:p w14:paraId="010539E2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68" w:type="dxa"/>
            <w:tcBorders>
              <w:tl2br w:val="nil"/>
              <w:tr2bl w:val="nil"/>
            </w:tcBorders>
            <w:shd w:val="clear" w:color="auto" w:fill="B4C6E7" w:themeFill="accent5" w:themeFillTint="66"/>
            <w:vAlign w:val="center"/>
          </w:tcPr>
          <w:p w14:paraId="408A4C6C">
            <w:pPr>
              <w:rPr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BCC MIC50 </w:t>
            </w:r>
            <w:r>
              <w:rPr>
                <w:rFonts w:ascii="Times New Roman" w:hAnsi="Times New Roman" w:eastAsia="STIX" w:cs="Times New Roman"/>
                <w:b/>
                <w:bCs/>
                <w:color w:val="000000"/>
                <w:sz w:val="21"/>
                <w:szCs w:val="21"/>
                <w:lang w:bidi="ar"/>
              </w:rPr>
              <w:t>(µg/mL)</w:t>
            </w:r>
          </w:p>
          <w:p w14:paraId="14A2A35B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415" w:type="dxa"/>
            <w:tcBorders>
              <w:tl2br w:val="nil"/>
              <w:tr2bl w:val="nil"/>
            </w:tcBorders>
            <w:shd w:val="clear" w:color="auto" w:fill="B4C6E7" w:themeFill="accent5" w:themeFillTint="66"/>
            <w:vAlign w:val="center"/>
          </w:tcPr>
          <w:p w14:paraId="3E618A03">
            <w:pPr>
              <w:rPr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BCC MIC90 </w:t>
            </w:r>
            <w:r>
              <w:rPr>
                <w:rFonts w:ascii="Times New Roman" w:hAnsi="Times New Roman" w:eastAsia="STIX" w:cs="Times New Roman"/>
                <w:b/>
                <w:bCs/>
                <w:color w:val="000000"/>
                <w:sz w:val="21"/>
                <w:szCs w:val="21"/>
                <w:lang w:bidi="ar"/>
              </w:rPr>
              <w:t>(µg/mL)</w:t>
            </w:r>
          </w:p>
          <w:p w14:paraId="3EF87885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14:paraId="2C903F2E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30" w:type="dxa"/>
            <w:vMerge w:val="restart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64037033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CIP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</w:t>
            </w:r>
          </w:p>
          <w:p w14:paraId="72F4503B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21B6E35E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R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=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38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003D516A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4B68EED4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139F1203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5882BA88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16</w:t>
            </w:r>
          </w:p>
        </w:tc>
      </w:tr>
      <w:tr w14:paraId="129C9734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34D4A167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5C40B027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S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=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19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38B2A9CD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3928EAF3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71CA3F12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2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76E28AB9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8</w:t>
            </w:r>
          </w:p>
        </w:tc>
      </w:tr>
      <w:tr w14:paraId="08AB54A2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830" w:type="dxa"/>
            <w:vMerge w:val="restart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37166CC0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  <w:p w14:paraId="7256D8AA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VAN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</w:t>
            </w:r>
          </w:p>
          <w:p w14:paraId="08C2E693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38144FC6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R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=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18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7E452582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3DBCF07A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16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146242BA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18A69B36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16</w:t>
            </w:r>
          </w:p>
        </w:tc>
      </w:tr>
      <w:tr w14:paraId="5B7F1649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2FDA9329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6F4C4A3B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S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=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39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5CC8BE6E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1C3E6BB0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21B5FDBB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5DD3AAA6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8</w:t>
            </w:r>
          </w:p>
        </w:tc>
      </w:tr>
      <w:tr w14:paraId="77F521FE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30" w:type="dxa"/>
            <w:vMerge w:val="restart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4DDD2BEB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GEN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</w:t>
            </w:r>
          </w:p>
          <w:p w14:paraId="38EAC57E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21A73490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R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=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30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26983E39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3997D63E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1102D195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342EF86D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16</w:t>
            </w:r>
          </w:p>
        </w:tc>
      </w:tr>
      <w:tr w14:paraId="296C3AE1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30" w:type="dxa"/>
            <w:vMerge w:val="continue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122614F9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10" w:type="dxa"/>
            <w:tcBorders>
              <w:tl2br w:val="nil"/>
              <w:tr2bl w:val="nil"/>
            </w:tcBorders>
            <w:shd w:val="clear" w:color="auto" w:fill="FFF989"/>
            <w:vAlign w:val="center"/>
          </w:tcPr>
          <w:p w14:paraId="59FF4622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S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hint="default"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 xml:space="preserve">= 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27</w:t>
            </w: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 w14:paraId="3132709A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vAlign w:val="center"/>
          </w:tcPr>
          <w:p w14:paraId="77168D26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 w14:paraId="3731D667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415" w:type="dxa"/>
            <w:tcBorders>
              <w:tl2br w:val="nil"/>
              <w:tr2bl w:val="nil"/>
            </w:tcBorders>
            <w:vAlign w:val="center"/>
          </w:tcPr>
          <w:p w14:paraId="0DFB00F7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16</w:t>
            </w:r>
          </w:p>
        </w:tc>
      </w:tr>
    </w:tbl>
    <w:p w14:paraId="444482C1">
      <w:pPr>
        <w:rPr>
          <w:sz w:val="21"/>
          <w:szCs w:val="21"/>
        </w:rPr>
      </w:pPr>
    </w:p>
    <w:p w14:paraId="25E1FC73">
      <w:pPr>
        <w:rPr>
          <w:sz w:val="21"/>
          <w:szCs w:val="21"/>
        </w:rPr>
      </w:pPr>
    </w:p>
    <w:p w14:paraId="72E8FE2D">
      <w:pPr>
        <w:rPr>
          <w:sz w:val="21"/>
          <w:szCs w:val="21"/>
        </w:rPr>
      </w:pPr>
    </w:p>
    <w:p w14:paraId="3F3D9109">
      <w:pPr>
        <w:rPr>
          <w:sz w:val="21"/>
          <w:szCs w:val="21"/>
        </w:rPr>
      </w:pPr>
    </w:p>
    <w:p w14:paraId="1F146484">
      <w:pPr>
        <w:rPr>
          <w:sz w:val="21"/>
          <w:szCs w:val="21"/>
        </w:rPr>
      </w:pPr>
    </w:p>
    <w:p w14:paraId="5B250F55">
      <w:pPr>
        <w:rPr>
          <w:sz w:val="21"/>
          <w:szCs w:val="21"/>
        </w:rPr>
      </w:pPr>
    </w:p>
    <w:p w14:paraId="0F22DCF1">
      <w:pPr>
        <w:rPr>
          <w:sz w:val="21"/>
          <w:szCs w:val="21"/>
        </w:rPr>
      </w:pPr>
    </w:p>
    <w:p w14:paraId="63061916">
      <w:pPr>
        <w:rPr>
          <w:sz w:val="21"/>
          <w:szCs w:val="21"/>
        </w:rPr>
      </w:pPr>
    </w:p>
    <w:p w14:paraId="0731300F">
      <w:pPr>
        <w:rPr>
          <w:sz w:val="21"/>
          <w:szCs w:val="21"/>
        </w:rPr>
      </w:pPr>
    </w:p>
    <w:p w14:paraId="49B9BDE6">
      <w:pPr>
        <w:rPr>
          <w:sz w:val="21"/>
          <w:szCs w:val="21"/>
        </w:rPr>
      </w:pPr>
    </w:p>
    <w:p w14:paraId="76336110">
      <w:pPr>
        <w:rPr>
          <w:sz w:val="21"/>
          <w:szCs w:val="21"/>
        </w:rPr>
      </w:pPr>
    </w:p>
    <w:p w14:paraId="1931A3C1">
      <w:pPr>
        <w:rPr>
          <w:sz w:val="21"/>
          <w:szCs w:val="21"/>
        </w:rPr>
      </w:pPr>
    </w:p>
    <w:p w14:paraId="2690A147">
      <w:pPr>
        <w:rPr>
          <w:sz w:val="21"/>
          <w:szCs w:val="21"/>
        </w:rPr>
      </w:pPr>
    </w:p>
    <w:p w14:paraId="78FF951F">
      <w:pPr>
        <w:rPr>
          <w:sz w:val="21"/>
          <w:szCs w:val="21"/>
        </w:rPr>
      </w:pPr>
    </w:p>
    <w:p w14:paraId="02A39888">
      <w:pPr>
        <w:rPr>
          <w:sz w:val="21"/>
          <w:szCs w:val="21"/>
        </w:rPr>
      </w:pPr>
    </w:p>
    <w:p w14:paraId="7468881D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54E6E0E5">
      <w:pPr>
        <w:spacing w:line="360" w:lineRule="auto"/>
        <w:jc w:val="both"/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Supplementary Table S3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SA"/>
        </w:rPr>
        <w:t>.</w:t>
      </w:r>
      <w:r>
        <w:rPr>
          <w:rFonts w:hint="default" w:eastAsia="Calibri"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>Biofilm-form</w:t>
      </w:r>
      <w:r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>ing</w:t>
      </w: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 xml:space="preserve"> strength of </w:t>
      </w:r>
      <w:r>
        <w:rPr>
          <w:rFonts w:ascii="Times New Roman" w:hAnsi="Times New Roman" w:eastAsia="SimSun" w:cs="Times New Roman"/>
          <w:b/>
          <w:bCs/>
          <w:i/>
          <w:iCs/>
          <w:color w:val="000000"/>
          <w:sz w:val="24"/>
          <w:szCs w:val="24"/>
          <w:lang w:val="en-GB" w:bidi="ar"/>
        </w:rPr>
        <w:t>E. faecalis</w:t>
      </w: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 xml:space="preserve"> and </w:t>
      </w:r>
      <w:r>
        <w:rPr>
          <w:rFonts w:ascii="Times New Roman" w:hAnsi="Times New Roman" w:eastAsia="SimSun" w:cs="Times New Roman"/>
          <w:b/>
          <w:bCs/>
          <w:i/>
          <w:iCs/>
          <w:color w:val="000000"/>
          <w:sz w:val="24"/>
          <w:szCs w:val="24"/>
          <w:lang w:val="en-GB" w:bidi="ar"/>
        </w:rPr>
        <w:t xml:space="preserve">E. faecium </w:t>
      </w: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>isolated from different sources.</w:t>
      </w:r>
    </w:p>
    <w:p w14:paraId="74678ACB"/>
    <w:p w14:paraId="383EF726"/>
    <w:tbl>
      <w:tblPr>
        <w:tblStyle w:val="9"/>
        <w:tblpPr w:leftFromText="180" w:rightFromText="180" w:vertAnchor="text" w:tblpXSpec="center" w:tblpY="1"/>
        <w:tblOverlap w:val="never"/>
        <w:tblW w:w="10539" w:type="dxa"/>
        <w:tblInd w:w="0" w:type="dxa"/>
        <w:tblBorders>
          <w:top w:val="thickThinSmallGap" w:color="auto" w:sz="12" w:space="0"/>
          <w:left w:val="thickThinSmallGap" w:color="auto" w:sz="12" w:space="0"/>
          <w:bottom w:val="thickThinSmallGap" w:color="auto" w:sz="12" w:space="0"/>
          <w:right w:val="thickThin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6" w:type="dxa"/>
        </w:tblCellMar>
      </w:tblPr>
      <w:tblGrid>
        <w:gridCol w:w="1411"/>
        <w:gridCol w:w="1139"/>
        <w:gridCol w:w="1139"/>
        <w:gridCol w:w="1139"/>
        <w:gridCol w:w="1146"/>
        <w:gridCol w:w="1139"/>
        <w:gridCol w:w="1139"/>
        <w:gridCol w:w="1139"/>
        <w:gridCol w:w="1148"/>
      </w:tblGrid>
      <w:tr w14:paraId="52159324">
        <w:tblPrEx>
          <w:tblBorders>
            <w:top w:val="thickThinSmallGap" w:color="auto" w:sz="12" w:space="0"/>
            <w:left w:val="thickThin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6" w:type="dxa"/>
          </w:tblCellMar>
        </w:tblPrEx>
        <w:trPr>
          <w:trHeight w:val="499" w:hRule="atLeast"/>
        </w:trPr>
        <w:tc>
          <w:tcPr>
            <w:tcW w:w="1411" w:type="dxa"/>
            <w:vMerge w:val="restart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3A29CD35">
            <w:pPr>
              <w:contextualSpacing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Biofilm strength </w:t>
            </w:r>
          </w:p>
        </w:tc>
        <w:tc>
          <w:tcPr>
            <w:tcW w:w="4563" w:type="dxa"/>
            <w:gridSpan w:val="4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70B22D3D">
            <w:pPr>
              <w:ind w:left="790"/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E. F</w:t>
            </w:r>
            <w:r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ecalis</w:t>
            </w: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(n=63)</w:t>
            </w:r>
          </w:p>
        </w:tc>
        <w:tc>
          <w:tcPr>
            <w:tcW w:w="4565" w:type="dxa"/>
            <w:gridSpan w:val="4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7E7E65D5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E. F</w:t>
            </w:r>
            <w:r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ecium</w:t>
            </w: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(n=57)</w:t>
            </w:r>
          </w:p>
        </w:tc>
      </w:tr>
      <w:tr w14:paraId="65D3A7E4">
        <w:tblPrEx>
          <w:tblBorders>
            <w:top w:val="thickThinSmallGap" w:color="auto" w:sz="12" w:space="0"/>
            <w:left w:val="thickThin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6" w:type="dxa"/>
          </w:tblCellMar>
        </w:tblPrEx>
        <w:trPr>
          <w:trHeight w:val="665" w:hRule="atLeast"/>
        </w:trPr>
        <w:tc>
          <w:tcPr>
            <w:tcW w:w="1411" w:type="dxa"/>
            <w:vMerge w:val="continue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20BAA22C">
            <w:pPr>
              <w:contextualSpacing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32EC4083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Clinical </w:t>
            </w: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(n=32)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2C73A2DB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Surfaces </w:t>
            </w: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(n=16)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6B3B670D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Healthy volunteers</w:t>
            </w: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(n=15)</w:t>
            </w: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60ED401A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Total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08C11252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Clinical </w:t>
            </w: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(n=28)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71E88457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Surfaces </w:t>
            </w: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(n=17)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0029F26C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Healthy volunteers</w:t>
            </w: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(n=12)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6445D39A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Total</w:t>
            </w:r>
          </w:p>
        </w:tc>
      </w:tr>
      <w:tr w14:paraId="6DFD201F">
        <w:tblPrEx>
          <w:tblBorders>
            <w:top w:val="thickThinSmallGap" w:color="auto" w:sz="12" w:space="0"/>
            <w:left w:val="thickThin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6" w:type="dxa"/>
          </w:tblCellMar>
        </w:tblPrEx>
        <w:trPr>
          <w:trHeight w:val="239" w:hRule="atLeast"/>
        </w:trPr>
        <w:tc>
          <w:tcPr>
            <w:tcW w:w="1411" w:type="dxa"/>
            <w:vMerge w:val="continue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03DCC21A">
            <w:pPr>
              <w:contextualSpacing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470F24FB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N     %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2B0A7A3E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N     %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4C0053D2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N     %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439C7B14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N     %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652A754C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N     %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28E2C5F1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N     %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1ED08685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N     %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shd w:val="clear" w:color="auto" w:fill="00B0F0"/>
            <w:vAlign w:val="center"/>
          </w:tcPr>
          <w:p w14:paraId="40C5593C">
            <w:pPr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N       %</w:t>
            </w:r>
          </w:p>
        </w:tc>
      </w:tr>
      <w:tr w14:paraId="330BFC3F">
        <w:tblPrEx>
          <w:tblBorders>
            <w:top w:val="thickThinSmallGap" w:color="auto" w:sz="12" w:space="0"/>
            <w:left w:val="thickThin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6" w:type="dxa"/>
          </w:tblCellMar>
        </w:tblPrEx>
        <w:trPr>
          <w:trHeight w:val="450" w:hRule="atLeast"/>
        </w:trPr>
        <w:tc>
          <w:tcPr>
            <w:tcW w:w="1411" w:type="dxa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22C6307C">
            <w:pPr>
              <w:contextualSpacing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No biofilm (I)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283EDC31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1    3.125  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0E9200CC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6      37.5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235400B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11      73.3  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vAlign w:val="center"/>
          </w:tcPr>
          <w:p w14:paraId="1FE6A6BD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18    28.6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6E9751BC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7      25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3E279887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8    47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0133702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7     58.3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4C31F189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22     38.6</w:t>
            </w:r>
          </w:p>
        </w:tc>
      </w:tr>
      <w:tr w14:paraId="0B03B6AE">
        <w:tblPrEx>
          <w:tblBorders>
            <w:top w:val="thickThinSmallGap" w:color="auto" w:sz="12" w:space="0"/>
            <w:left w:val="thickThin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6" w:type="dxa"/>
          </w:tblCellMar>
        </w:tblPrEx>
        <w:trPr>
          <w:trHeight w:val="351" w:hRule="atLeast"/>
        </w:trPr>
        <w:tc>
          <w:tcPr>
            <w:tcW w:w="1411" w:type="dxa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6DD8D0CE">
            <w:pPr>
              <w:contextualSpacing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Weak (II)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31CF5976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2    6.25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7AA7C99F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0      0.00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1EEDD17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0      0.00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vAlign w:val="center"/>
          </w:tcPr>
          <w:p w14:paraId="13A46671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2  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3.2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24FAC18A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1     3.6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42DF7F5C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0      0.00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325B70E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0      0.00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28EC4444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1      1.8</w:t>
            </w:r>
          </w:p>
        </w:tc>
      </w:tr>
      <w:tr w14:paraId="5A82E134">
        <w:tblPrEx>
          <w:tblBorders>
            <w:top w:val="thickThinSmallGap" w:color="auto" w:sz="12" w:space="0"/>
            <w:left w:val="thickThin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6" w:type="dxa"/>
          </w:tblCellMar>
        </w:tblPrEx>
        <w:trPr>
          <w:trHeight w:val="450" w:hRule="atLeast"/>
        </w:trPr>
        <w:tc>
          <w:tcPr>
            <w:tcW w:w="1411" w:type="dxa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2883D9C0">
            <w:pPr>
              <w:contextualSpacing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Moderate (III)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6545587D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7    21.9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3060A707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5     31.25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06F47570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1      6.7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vAlign w:val="center"/>
          </w:tcPr>
          <w:p w14:paraId="6B49FE82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13     20.6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0B5C39B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3    10.7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281DC6E2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2      11.8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963A113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0      0.00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1E2708A2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5     8.8</w:t>
            </w:r>
          </w:p>
        </w:tc>
      </w:tr>
      <w:tr w14:paraId="5B05A432">
        <w:tblPrEx>
          <w:tblBorders>
            <w:top w:val="thickThinSmallGap" w:color="auto" w:sz="12" w:space="0"/>
            <w:left w:val="thickThin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6" w:type="dxa"/>
          </w:tblCellMar>
        </w:tblPrEx>
        <w:trPr>
          <w:trHeight w:val="351" w:hRule="atLeast"/>
        </w:trPr>
        <w:tc>
          <w:tcPr>
            <w:tcW w:w="1411" w:type="dxa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6A066420">
            <w:pPr>
              <w:contextualSpacing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Strong (IV)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23C1078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22   68.75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25509434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5      31.25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F5242BE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3       20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vAlign w:val="center"/>
          </w:tcPr>
          <w:p w14:paraId="31D7412D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30    47.6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29EC2022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17    60.7   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62998873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7      41.2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37148449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5     41.7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2923BC90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29     50.8</w:t>
            </w:r>
          </w:p>
        </w:tc>
      </w:tr>
      <w:tr w14:paraId="45F81A53">
        <w:tblPrEx>
          <w:tblBorders>
            <w:top w:val="thickThinSmallGap" w:color="auto" w:sz="12" w:space="0"/>
            <w:left w:val="thickThin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6" w:type="dxa"/>
          </w:tblCellMar>
        </w:tblPrEx>
        <w:trPr>
          <w:trHeight w:val="419" w:hRule="atLeast"/>
        </w:trPr>
        <w:tc>
          <w:tcPr>
            <w:tcW w:w="1411" w:type="dxa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027901BD">
            <w:pPr>
              <w:contextualSpacing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Total biofilm producers (II, III,IV)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77444E87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31    96.9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2858AF5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10      62.5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2830916D">
            <w:pPr>
              <w:contextualSpacing/>
              <w:jc w:val="both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4      26.7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vAlign w:val="center"/>
          </w:tcPr>
          <w:p w14:paraId="6A47D3D1">
            <w:pPr>
              <w:ind w:firstLine="100" w:firstLineChars="50"/>
              <w:contextualSpacing/>
              <w:jc w:val="both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45 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 71.4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6095F53B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21    75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73EDBF62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9      53   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02D40279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>5     41.7</w:t>
            </w:r>
          </w:p>
        </w:tc>
        <w:tc>
          <w:tcPr>
            <w:tcW w:w="1148" w:type="dxa"/>
            <w:tcBorders>
              <w:tl2br w:val="nil"/>
              <w:tr2bl w:val="nil"/>
            </w:tcBorders>
            <w:vAlign w:val="center"/>
          </w:tcPr>
          <w:p w14:paraId="1A6F96C7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>35    61.4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</w:tc>
      </w:tr>
      <w:tr w14:paraId="20B9F638">
        <w:tblPrEx>
          <w:tblBorders>
            <w:top w:val="thickThinSmallGap" w:color="auto" w:sz="12" w:space="0"/>
            <w:left w:val="thickThin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6" w:type="dxa"/>
          </w:tblCellMar>
        </w:tblPrEx>
        <w:trPr>
          <w:trHeight w:val="401" w:hRule="atLeast"/>
        </w:trPr>
        <w:tc>
          <w:tcPr>
            <w:tcW w:w="1411" w:type="dxa"/>
            <w:tcBorders>
              <w:tl2br w:val="nil"/>
              <w:tr2bl w:val="nil"/>
            </w:tcBorders>
            <w:shd w:val="clear" w:color="auto" w:fill="C55911" w:themeFill="accent2" w:themeFillShade="BF"/>
            <w:vAlign w:val="center"/>
          </w:tcPr>
          <w:p w14:paraId="589A0FC0">
            <w:pPr>
              <w:contextualSpacing/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  <w:tc>
          <w:tcPr>
            <w:tcW w:w="4563" w:type="dxa"/>
            <w:gridSpan w:val="4"/>
            <w:tcBorders>
              <w:tl2br w:val="nil"/>
              <w:tr2bl w:val="nil"/>
            </w:tcBorders>
            <w:vAlign w:val="center"/>
          </w:tcPr>
          <w:p w14:paraId="36E683BF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GB" w:eastAsia="zh-CN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GB" w:eastAsia="zh-CN"/>
                <w14:textFill>
                  <w14:solidFill>
                    <w14:schemeClr w14:val="tx1"/>
                  </w14:solidFill>
                </w14:textFill>
              </w:rPr>
              <w:t>0.001∗</w:t>
            </w:r>
          </w:p>
        </w:tc>
        <w:tc>
          <w:tcPr>
            <w:tcW w:w="4565" w:type="dxa"/>
            <w:gridSpan w:val="4"/>
            <w:tcBorders>
              <w:tl2br w:val="nil"/>
              <w:tr2bl w:val="nil"/>
            </w:tcBorders>
            <w:vAlign w:val="center"/>
          </w:tcPr>
          <w:p w14:paraId="5E792B08">
            <w:pPr>
              <w:contextualSpacing/>
              <w:jc w:val="center"/>
              <w:rPr>
                <w:rFonts w:ascii="Times New Roman" w:hAnsi="Times New Roman" w:eastAsia="Calibri" w:cs="Times New Roman"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sz w:val="20"/>
                <w:szCs w:val="20"/>
                <w:highlight w:val="none"/>
                <w:lang w:val="en-GB" w:eastAsia="zh-CN"/>
                <w14:textFill>
                  <w14:solidFill>
                    <w14:schemeClr w14:val="tx1"/>
                  </w14:solidFill>
                </w14:textFill>
              </w:rPr>
              <w:t>&lt;0.001∗</w:t>
            </w:r>
          </w:p>
        </w:tc>
      </w:tr>
    </w:tbl>
    <w:p w14:paraId="1B3C88F8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P1: p value for comparing between the 3 sources of </w:t>
      </w:r>
      <w:r>
        <w:rPr>
          <w:rFonts w:hint="default" w:ascii="Times New Roman" w:hAnsi="Times New Roman" w:cs="Times New Roman"/>
          <w:i/>
          <w:iCs/>
          <w:lang w:val="en-GB" w:eastAsia="zh-CN"/>
        </w:rPr>
        <w:t>E.f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 xml:space="preserve">aecalis </w:t>
      </w:r>
      <w:r>
        <w:rPr>
          <w:rFonts w:hint="default" w:ascii="Times New Roman" w:hAnsi="Times New Roman" w:cs="Times New Roman"/>
          <w:lang w:val="en-US" w:eastAsia="zh-CN"/>
        </w:rPr>
        <w:t>regarding biofilm-forming strength.</w:t>
      </w:r>
    </w:p>
    <w:p w14:paraId="1032BC4F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P2: p value for comparing between the 3 sources of </w:t>
      </w:r>
      <w:r>
        <w:rPr>
          <w:rFonts w:hint="default" w:ascii="Times New Roman" w:hAnsi="Times New Roman" w:cs="Times New Roman"/>
          <w:i/>
          <w:iCs/>
          <w:lang w:val="en-GB" w:eastAsia="zh-CN"/>
        </w:rPr>
        <w:t>E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 xml:space="preserve">.faecium </w:t>
      </w:r>
      <w:r>
        <w:rPr>
          <w:rFonts w:hint="default" w:ascii="Times New Roman" w:hAnsi="Times New Roman" w:cs="Times New Roman"/>
          <w:lang w:val="en-US" w:eastAsia="zh-CN"/>
        </w:rPr>
        <w:t>regarding biofilm-forming strength.</w:t>
      </w:r>
    </w:p>
    <w:p w14:paraId="7CAC384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∗Statistically signifcant at p ≤ 0.05.</w:t>
      </w:r>
    </w:p>
    <w:p w14:paraId="346C72F3"/>
    <w:p w14:paraId="5F1D59CF"/>
    <w:p w14:paraId="7808485E"/>
    <w:p w14:paraId="49744779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70910534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67183A03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0C30E9EA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084A6797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259938FD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42298830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20819BD5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2A0F8090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1FF59FDC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0EC0456C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763CDCF7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0ADDF227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6E81BE94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4A80761C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</w:pPr>
    </w:p>
    <w:p w14:paraId="1B2E0EE4">
      <w:pPr>
        <w:spacing w:line="360" w:lineRule="auto"/>
        <w:jc w:val="both"/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Supplementary Table S4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SA"/>
        </w:rPr>
        <w:t xml:space="preserve">. </w:t>
      </w: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 xml:space="preserve">Frequency distribution of the </w:t>
      </w:r>
      <w:r>
        <w:rPr>
          <w:rFonts w:hint="default"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 xml:space="preserve">Efflux-pump </w:t>
      </w: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 xml:space="preserve">genes among </w:t>
      </w:r>
      <w:r>
        <w:rPr>
          <w:rFonts w:ascii="Times New Roman" w:hAnsi="Times New Roman" w:eastAsia="SimSun" w:cs="Times New Roman"/>
          <w:b/>
          <w:bCs/>
          <w:i/>
          <w:iCs/>
          <w:color w:val="000000"/>
          <w:sz w:val="24"/>
          <w:szCs w:val="24"/>
          <w:lang w:val="en-GB" w:bidi="ar"/>
        </w:rPr>
        <w:t>E. faecalis</w:t>
      </w: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 xml:space="preserve"> and </w:t>
      </w:r>
      <w:r>
        <w:rPr>
          <w:rFonts w:ascii="Times New Roman" w:hAnsi="Times New Roman" w:eastAsia="SimSun" w:cs="Times New Roman"/>
          <w:b/>
          <w:bCs/>
          <w:i/>
          <w:iCs/>
          <w:color w:val="000000"/>
          <w:sz w:val="24"/>
          <w:szCs w:val="24"/>
          <w:lang w:val="en-GB" w:bidi="ar"/>
        </w:rPr>
        <w:t>E. faecium</w:t>
      </w:r>
      <w:r>
        <w:rPr>
          <w:rFonts w:ascii="Times New Roman" w:hAnsi="Times New Roman" w:eastAsia="SimSun" w:cs="Times New Roman"/>
          <w:b/>
          <w:bCs/>
          <w:color w:val="000000"/>
          <w:sz w:val="24"/>
          <w:szCs w:val="24"/>
          <w:lang w:val="en-GB" w:bidi="ar"/>
        </w:rPr>
        <w:t xml:space="preserve"> isolates.</w:t>
      </w:r>
    </w:p>
    <w:p w14:paraId="457C5A7E">
      <w:pPr>
        <w:spacing w:line="360" w:lineRule="auto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tbl>
      <w:tblPr>
        <w:tblStyle w:val="8"/>
        <w:tblW w:w="9750" w:type="dxa"/>
        <w:jc w:val="center"/>
        <w:tblBorders>
          <w:top w:val="thickThinSmallGap" w:color="auto" w:sz="24" w:space="0"/>
          <w:left w:val="thickThinSmallGap" w:color="auto" w:sz="24" w:space="0"/>
          <w:bottom w:val="thickThinSmallGap" w:color="auto" w:sz="24" w:space="0"/>
          <w:right w:val="thickThinSmallGap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70"/>
        <w:gridCol w:w="912"/>
        <w:gridCol w:w="763"/>
        <w:gridCol w:w="847"/>
        <w:gridCol w:w="29"/>
        <w:gridCol w:w="1024"/>
        <w:gridCol w:w="940"/>
        <w:gridCol w:w="944"/>
        <w:gridCol w:w="13"/>
        <w:gridCol w:w="1720"/>
        <w:gridCol w:w="1237"/>
      </w:tblGrid>
      <w:tr w14:paraId="51C3927A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  <w:jc w:val="center"/>
        </w:trPr>
        <w:tc>
          <w:tcPr>
            <w:tcW w:w="1321" w:type="dxa"/>
            <w:gridSpan w:val="2"/>
            <w:vMerge w:val="restart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4C2CA8D2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Variables</w:t>
            </w: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2F392780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>E. faecalis</w:t>
            </w:r>
          </w:p>
          <w:p w14:paraId="77037A1A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(n=63)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41F94B13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>E. faecium</w:t>
            </w:r>
          </w:p>
          <w:p w14:paraId="6B6C35EC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(n=57)</w:t>
            </w:r>
          </w:p>
        </w:tc>
        <w:tc>
          <w:tcPr>
            <w:tcW w:w="1884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287F1C16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Total</w:t>
            </w:r>
          </w:p>
          <w:p w14:paraId="670E34C0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(n=120)</w:t>
            </w:r>
          </w:p>
        </w:tc>
        <w:tc>
          <w:tcPr>
            <w:tcW w:w="1733" w:type="dxa"/>
            <w:gridSpan w:val="2"/>
            <w:vMerge w:val="restart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C020B2C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Test of significance</w:t>
            </w:r>
          </w:p>
        </w:tc>
        <w:tc>
          <w:tcPr>
            <w:tcW w:w="1237" w:type="dxa"/>
            <w:vMerge w:val="restart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04F0075F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p*</w:t>
            </w:r>
          </w:p>
        </w:tc>
      </w:tr>
      <w:tr w14:paraId="5BF189F1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21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6F86F5B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12" w:type="dxa"/>
            <w:tcBorders>
              <w:tl2br w:val="nil"/>
              <w:tr2bl w:val="nil"/>
            </w:tcBorders>
            <w:shd w:val="clear" w:color="auto" w:fill="DEEAF6"/>
            <w:vAlign w:val="center"/>
          </w:tcPr>
          <w:p w14:paraId="76011C2F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No.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DEEAF6"/>
            <w:vAlign w:val="center"/>
          </w:tcPr>
          <w:p w14:paraId="73AAB247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847" w:type="dxa"/>
            <w:tcBorders>
              <w:tl2br w:val="nil"/>
              <w:tr2bl w:val="nil"/>
            </w:tcBorders>
            <w:shd w:val="clear" w:color="auto" w:fill="DEEAF6"/>
            <w:vAlign w:val="center"/>
          </w:tcPr>
          <w:p w14:paraId="303C442C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No.</w:t>
            </w: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shd w:val="clear" w:color="auto" w:fill="DEEAF6"/>
            <w:vAlign w:val="center"/>
          </w:tcPr>
          <w:p w14:paraId="40B513DF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940" w:type="dxa"/>
            <w:tcBorders>
              <w:tl2br w:val="nil"/>
              <w:tr2bl w:val="nil"/>
            </w:tcBorders>
            <w:shd w:val="clear" w:color="auto" w:fill="DEEAF6"/>
            <w:vAlign w:val="center"/>
          </w:tcPr>
          <w:p w14:paraId="12EE8FB6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No.</w:t>
            </w:r>
          </w:p>
        </w:tc>
        <w:tc>
          <w:tcPr>
            <w:tcW w:w="944" w:type="dxa"/>
            <w:tcBorders>
              <w:tl2br w:val="nil"/>
              <w:tr2bl w:val="nil"/>
            </w:tcBorders>
            <w:shd w:val="clear" w:color="auto" w:fill="DEEAF6"/>
            <w:vAlign w:val="center"/>
          </w:tcPr>
          <w:p w14:paraId="52F3C91D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173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010F6CD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32D0F171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14:paraId="4BAA7FD4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9750" w:type="dxa"/>
            <w:gridSpan w:val="12"/>
            <w:tcBorders>
              <w:tl2br w:val="nil"/>
              <w:tr2bl w:val="nil"/>
            </w:tcBorders>
            <w:shd w:val="clear" w:color="auto" w:fill="FFCCCC"/>
            <w:vAlign w:val="center"/>
          </w:tcPr>
          <w:p w14:paraId="30078CD5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  <w:lang w:val="en-GB"/>
              </w:rPr>
              <w:t>e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</w:rPr>
              <w:t>frA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  <w:lang w:val="en-GB"/>
              </w:rPr>
              <w:t>B</w:t>
            </w:r>
          </w:p>
        </w:tc>
      </w:tr>
      <w:tr w14:paraId="51130BCC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1321" w:type="dxa"/>
            <w:gridSpan w:val="2"/>
            <w:tcBorders>
              <w:tl2br w:val="nil"/>
              <w:tr2bl w:val="nil"/>
            </w:tcBorders>
            <w:vAlign w:val="center"/>
          </w:tcPr>
          <w:p w14:paraId="30A04787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Present</w:t>
            </w:r>
          </w:p>
          <w:p w14:paraId="181F47D4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Absent</w:t>
            </w:r>
          </w:p>
        </w:tc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 w14:paraId="7705647A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34</w:t>
            </w:r>
          </w:p>
          <w:p w14:paraId="2FD26922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29 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5849715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54</w:t>
            </w:r>
          </w:p>
          <w:p w14:paraId="1D897245">
            <w:pPr>
              <w:ind w:firstLine="105" w:firstLineChars="50"/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46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5ADFE87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27</w:t>
            </w:r>
          </w:p>
          <w:p w14:paraId="65DC6F40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30</w:t>
            </w: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vAlign w:val="center"/>
          </w:tcPr>
          <w:p w14:paraId="5D4A9B38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53</w:t>
            </w:r>
          </w:p>
          <w:p w14:paraId="30DB80EE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47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34AF0A21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61</w:t>
            </w:r>
          </w:p>
          <w:p w14:paraId="62C2728F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59</w:t>
            </w: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 w14:paraId="5C73E72C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50.8</w:t>
            </w:r>
          </w:p>
          <w:p w14:paraId="47BA7595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49.2</w:t>
            </w:r>
          </w:p>
        </w:tc>
        <w:tc>
          <w:tcPr>
            <w:tcW w:w="1733" w:type="dxa"/>
            <w:gridSpan w:val="2"/>
            <w:tcBorders>
              <w:tl2br w:val="nil"/>
              <w:tr2bl w:val="nil"/>
            </w:tcBorders>
            <w:vAlign w:val="center"/>
          </w:tcPr>
          <w:p w14:paraId="3E9A51F9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0.52</w:t>
            </w:r>
          </w:p>
        </w:tc>
        <w:tc>
          <w:tcPr>
            <w:tcW w:w="1237" w:type="dxa"/>
            <w:tcBorders>
              <w:tl2br w:val="nil"/>
              <w:tr2bl w:val="nil"/>
            </w:tcBorders>
            <w:vAlign w:val="center"/>
          </w:tcPr>
          <w:p w14:paraId="46D4F579">
            <w:pPr>
              <w:contextualSpacing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1"/>
                <w:szCs w:val="21"/>
                <w:highlight w:val="none"/>
                <w:lang w:val="en-GB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highlight w:val="none"/>
                <w:shd w:val="clear" w:color="auto" w:fill="FFFFFF"/>
              </w:rPr>
              <w:t>0.47</w:t>
            </w:r>
          </w:p>
        </w:tc>
      </w:tr>
      <w:tr w14:paraId="7A40169E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9750" w:type="dxa"/>
            <w:gridSpan w:val="12"/>
            <w:tcBorders>
              <w:tl2br w:val="nil"/>
              <w:tr2bl w:val="nil"/>
            </w:tcBorders>
            <w:shd w:val="clear" w:color="auto" w:fill="FFCCCC"/>
            <w:vAlign w:val="center"/>
          </w:tcPr>
          <w:p w14:paraId="18F134E5">
            <w:pPr>
              <w:contextualSpacing/>
              <w:jc w:val="center"/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</w:rPr>
              <w:t>EmeA</w:t>
            </w:r>
          </w:p>
        </w:tc>
      </w:tr>
      <w:tr w14:paraId="7C40D6FE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1321" w:type="dxa"/>
            <w:gridSpan w:val="2"/>
            <w:tcBorders>
              <w:tl2br w:val="nil"/>
              <w:tr2bl w:val="nil"/>
            </w:tcBorders>
            <w:vAlign w:val="center"/>
          </w:tcPr>
          <w:p w14:paraId="69D68CAB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Present</w:t>
            </w:r>
          </w:p>
          <w:p w14:paraId="55FCF58A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Absent</w:t>
            </w:r>
          </w:p>
        </w:tc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 w14:paraId="6AB026F8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25  </w:t>
            </w:r>
          </w:p>
          <w:p w14:paraId="09672904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38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C3B8B43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39.7</w:t>
            </w:r>
          </w:p>
          <w:p w14:paraId="0A0B7BD3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60.3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4AB901F1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16</w:t>
            </w:r>
          </w:p>
          <w:p w14:paraId="6117C970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41</w:t>
            </w: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vAlign w:val="center"/>
          </w:tcPr>
          <w:p w14:paraId="58F993C4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28</w:t>
            </w:r>
          </w:p>
          <w:p w14:paraId="7C9AAE97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72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5C06A36F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41</w:t>
            </w:r>
          </w:p>
          <w:p w14:paraId="4FD265BB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79</w:t>
            </w: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 w14:paraId="5DA52F2C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34.2</w:t>
            </w:r>
          </w:p>
          <w:p w14:paraId="36DF3566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65.8</w:t>
            </w:r>
          </w:p>
        </w:tc>
        <w:tc>
          <w:tcPr>
            <w:tcW w:w="1733" w:type="dxa"/>
            <w:gridSpan w:val="2"/>
            <w:tcBorders>
              <w:tl2br w:val="nil"/>
              <w:tr2bl w:val="nil"/>
            </w:tcBorders>
            <w:vAlign w:val="center"/>
          </w:tcPr>
          <w:p w14:paraId="5C86189E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1.7</w:t>
            </w:r>
          </w:p>
        </w:tc>
        <w:tc>
          <w:tcPr>
            <w:tcW w:w="1237" w:type="dxa"/>
            <w:tcBorders>
              <w:tl2br w:val="nil"/>
              <w:tr2bl w:val="nil"/>
            </w:tcBorders>
            <w:vAlign w:val="center"/>
          </w:tcPr>
          <w:p w14:paraId="42D90A3D">
            <w:pPr>
              <w:contextualSpacing/>
              <w:jc w:val="center"/>
              <w:rPr>
                <w:rFonts w:hint="default" w:ascii="Times New Roman" w:hAnsi="Times New Roman" w:eastAsia="Calibri" w:cs="Times New Roman"/>
                <w:sz w:val="21"/>
                <w:szCs w:val="21"/>
                <w:highlight w:val="none"/>
                <w:lang w:val="en-GB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highlight w:val="none"/>
                <w:shd w:val="clear" w:color="auto" w:fill="FFFFFF"/>
              </w:rPr>
              <w:t>0.18</w:t>
            </w:r>
          </w:p>
        </w:tc>
      </w:tr>
      <w:tr w14:paraId="305557AD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9750" w:type="dxa"/>
            <w:gridSpan w:val="12"/>
            <w:tcBorders>
              <w:tl2br w:val="nil"/>
              <w:tr2bl w:val="nil"/>
            </w:tcBorders>
            <w:shd w:val="clear" w:color="auto" w:fill="FFCCCC"/>
            <w:vAlign w:val="center"/>
          </w:tcPr>
          <w:p w14:paraId="06FF5801">
            <w:pPr>
              <w:contextualSpacing/>
              <w:jc w:val="center"/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1"/>
                <w:szCs w:val="21"/>
                <w:lang w:val="en-GB"/>
              </w:rPr>
              <w:t xml:space="preserve">Co-existence of </w:t>
            </w:r>
            <w:r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  <w:lang w:val="en-GB"/>
              </w:rPr>
              <w:t>e</w:t>
            </w:r>
            <w:r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</w:rPr>
              <w:t>frA</w:t>
            </w:r>
            <w:r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  <w:lang w:val="en-GB"/>
              </w:rPr>
              <w:t>B+</w:t>
            </w:r>
            <w:r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sz w:val="21"/>
                <w:szCs w:val="21"/>
              </w:rPr>
              <w:t>EmeA</w:t>
            </w:r>
          </w:p>
        </w:tc>
      </w:tr>
      <w:tr w14:paraId="3203A1F6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1251" w:type="dxa"/>
            <w:tcBorders>
              <w:tl2br w:val="nil"/>
              <w:tr2bl w:val="nil"/>
            </w:tcBorders>
            <w:vAlign w:val="center"/>
          </w:tcPr>
          <w:p w14:paraId="44056C7D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Present</w:t>
            </w:r>
          </w:p>
          <w:p w14:paraId="6D03B081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Absent</w:t>
            </w:r>
          </w:p>
        </w:tc>
        <w:tc>
          <w:tcPr>
            <w:tcW w:w="982" w:type="dxa"/>
            <w:gridSpan w:val="2"/>
            <w:tcBorders>
              <w:tl2br w:val="nil"/>
              <w:tr2bl w:val="nil"/>
            </w:tcBorders>
            <w:vAlign w:val="center"/>
          </w:tcPr>
          <w:p w14:paraId="420CFBB1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17</w:t>
            </w:r>
          </w:p>
          <w:p w14:paraId="73F972CC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>46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4918686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27</w:t>
            </w:r>
          </w:p>
          <w:p w14:paraId="23BAEF5C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73</w:t>
            </w:r>
          </w:p>
        </w:tc>
        <w:tc>
          <w:tcPr>
            <w:tcW w:w="876" w:type="dxa"/>
            <w:gridSpan w:val="2"/>
            <w:tcBorders>
              <w:tl2br w:val="nil"/>
              <w:tr2bl w:val="nil"/>
            </w:tcBorders>
            <w:vAlign w:val="center"/>
          </w:tcPr>
          <w:p w14:paraId="2EBE498C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>10</w:t>
            </w:r>
          </w:p>
          <w:p w14:paraId="0EDAB80D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>47</w:t>
            </w:r>
          </w:p>
        </w:tc>
        <w:tc>
          <w:tcPr>
            <w:tcW w:w="1024" w:type="dxa"/>
            <w:tcBorders>
              <w:tl2br w:val="nil"/>
              <w:tr2bl w:val="nil"/>
            </w:tcBorders>
            <w:vAlign w:val="center"/>
          </w:tcPr>
          <w:p w14:paraId="10BBBC04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17.5</w:t>
            </w:r>
          </w:p>
          <w:p w14:paraId="1FF513B9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82.5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273EB4BA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27</w:t>
            </w:r>
          </w:p>
          <w:p w14:paraId="2292F02E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93</w:t>
            </w:r>
          </w:p>
        </w:tc>
        <w:tc>
          <w:tcPr>
            <w:tcW w:w="957" w:type="dxa"/>
            <w:gridSpan w:val="2"/>
            <w:tcBorders>
              <w:tl2br w:val="nil"/>
              <w:tr2bl w:val="nil"/>
            </w:tcBorders>
            <w:vAlign w:val="center"/>
          </w:tcPr>
          <w:p w14:paraId="785F6F0A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22.5</w:t>
            </w:r>
          </w:p>
          <w:p w14:paraId="6420CF63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highlight w:val="none"/>
                <w:lang w:val="en-GB"/>
              </w:rPr>
              <w:t>77.5</w:t>
            </w: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03529474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highlight w:val="none"/>
                <w:lang w:val="en-GB"/>
              </w:rPr>
            </w:pPr>
            <w:r>
              <w:rPr>
                <w:rFonts w:eastAsia="Calibri" w:asciiTheme="majorBidi" w:hAnsiTheme="majorBidi" w:cstheme="majorBidi"/>
                <w:b w:val="0"/>
                <w:bCs w:val="0"/>
                <w:i w:val="0"/>
                <w:iCs w:val="0"/>
                <w:sz w:val="21"/>
                <w:szCs w:val="21"/>
                <w:highlight w:val="none"/>
                <w:lang w:val="en-GB"/>
              </w:rPr>
              <w:t>1.52</w:t>
            </w:r>
          </w:p>
        </w:tc>
        <w:tc>
          <w:tcPr>
            <w:tcW w:w="1237" w:type="dxa"/>
            <w:tcBorders>
              <w:tl2br w:val="nil"/>
              <w:tr2bl w:val="nil"/>
            </w:tcBorders>
            <w:vAlign w:val="center"/>
          </w:tcPr>
          <w:p w14:paraId="6FA37B1E">
            <w:pPr>
              <w:contextualSpacing/>
              <w:jc w:val="center"/>
              <w:rPr>
                <w:rFonts w:hint="default" w:ascii="Times New Roman" w:hAnsi="Times New Roman" w:eastAsia="Calibri" w:cs="Times New Roman"/>
                <w:sz w:val="21"/>
                <w:szCs w:val="21"/>
                <w:highlight w:val="none"/>
                <w:lang w:val="en-GB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highlight w:val="none"/>
                <w:shd w:val="clear" w:color="auto" w:fill="FFFFFF"/>
              </w:rPr>
              <w:t>0.216</w:t>
            </w:r>
          </w:p>
        </w:tc>
      </w:tr>
    </w:tbl>
    <w:p w14:paraId="3B3E1739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P: p value for comparing between the  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E. faecalis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and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E. faecium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isolates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regarding </w:t>
      </w:r>
      <w:r>
        <w:rPr>
          <w:rFonts w:hint="default" w:ascii="Times New Roman" w:hAnsi="Times New Roman" w:cs="Times New Roman"/>
          <w:sz w:val="21"/>
          <w:szCs w:val="21"/>
          <w:lang w:val="en-GB" w:eastAsia="zh-CN"/>
        </w:rPr>
        <w:t xml:space="preserve">efflux-pump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genes</w:t>
      </w:r>
      <w:r>
        <w:rPr>
          <w:rFonts w:hint="default" w:ascii="Times New Roman" w:hAnsi="Times New Roman" w:cs="Times New Roman"/>
          <w:sz w:val="21"/>
          <w:szCs w:val="21"/>
          <w:lang w:val="en-GB" w:eastAsia="zh-CN"/>
        </w:rPr>
        <w:t xml:space="preserve"> carriage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</w:p>
    <w:p w14:paraId="53E00F63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∗Statistically signifcant at p ≤ 0.05.</w:t>
      </w:r>
    </w:p>
    <w:p w14:paraId="3420D90D">
      <w:pPr>
        <w:rPr>
          <w:sz w:val="21"/>
          <w:szCs w:val="21"/>
        </w:rPr>
      </w:pPr>
    </w:p>
    <w:p w14:paraId="5F255517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5A1B6679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4F0DE422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733450D2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02830159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71908891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4CE62F02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720BF8B6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095CC81E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11708A87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6C14AC0B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6D14B557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33BAEAF1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31828EF5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2E9FC89F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7B3C3C10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734585F9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4557A18C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37668334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16D3D7E7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1BFAF293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6A1AF760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733F0947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highlight w:val="cyan"/>
          <w:lang w:bidi="ar-EG"/>
        </w:rPr>
      </w:pPr>
    </w:p>
    <w:p w14:paraId="0F227F2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eastAsia="zh-CN" w:bidi="ar-SA"/>
        </w:rPr>
        <w:t>Supplementary Table S5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SA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bidi="ar-S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bidi="ar-EG"/>
        </w:rPr>
        <w:t>Association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E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bidi="ar-EG"/>
        </w:rPr>
        <w:t xml:space="preserve">between Chlorhexidine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en-GB" w:bidi="ar-EG"/>
        </w:rPr>
        <w:t xml:space="preserve">digluconate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EG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en-GB" w:bidi="ar-EG"/>
        </w:rPr>
        <w:t>Benzalkonium chloride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E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bidi="ar-EG"/>
        </w:rPr>
        <w:t xml:space="preserve">MICs </w:t>
      </w:r>
      <w:r>
        <w:rPr>
          <w:rFonts w:ascii="Times New Roman" w:hAnsi="Times New Roman" w:cs="Times New Roman"/>
          <w:b/>
          <w:bCs/>
          <w:sz w:val="24"/>
          <w:szCs w:val="24"/>
          <w:lang w:bidi="ar-EG"/>
        </w:rPr>
        <w:t>with the presence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bidi="ar-EG"/>
        </w:rPr>
        <w:t xml:space="preserve"> of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GB" w:bidi="ar-EG"/>
        </w:rPr>
        <w:t xml:space="preserve">efflux-pump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bidi="ar-EG"/>
        </w:rPr>
        <w:t>Genes</w:t>
      </w:r>
      <w:r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</w:t>
      </w:r>
    </w:p>
    <w:p w14:paraId="71374AAA">
      <w:pPr>
        <w:rPr>
          <w:sz w:val="21"/>
          <w:szCs w:val="21"/>
        </w:rPr>
      </w:pPr>
    </w:p>
    <w:tbl>
      <w:tblPr>
        <w:tblStyle w:val="8"/>
        <w:tblpPr w:leftFromText="180" w:rightFromText="180" w:vertAnchor="text" w:horzAnchor="page" w:tblpX="1423" w:tblpY="295"/>
        <w:tblOverlap w:val="never"/>
        <w:tblW w:w="9979" w:type="dxa"/>
        <w:tblInd w:w="0" w:type="dxa"/>
        <w:tblBorders>
          <w:top w:val="thinThickSmallGap" w:color="auto" w:sz="12" w:space="0"/>
          <w:left w:val="thinThickSmallGap" w:color="auto" w:sz="12" w:space="0"/>
          <w:bottom w:val="thinThickSmallGap" w:color="auto" w:sz="12" w:space="0"/>
          <w:right w:val="thinThick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15"/>
        <w:gridCol w:w="1011"/>
        <w:gridCol w:w="24"/>
        <w:gridCol w:w="513"/>
        <w:gridCol w:w="130"/>
        <w:gridCol w:w="407"/>
        <w:gridCol w:w="1"/>
        <w:gridCol w:w="235"/>
        <w:gridCol w:w="301"/>
        <w:gridCol w:w="342"/>
        <w:gridCol w:w="195"/>
        <w:gridCol w:w="2"/>
        <w:gridCol w:w="446"/>
        <w:gridCol w:w="89"/>
        <w:gridCol w:w="537"/>
        <w:gridCol w:w="3"/>
        <w:gridCol w:w="14"/>
        <w:gridCol w:w="520"/>
        <w:gridCol w:w="123"/>
        <w:gridCol w:w="414"/>
        <w:gridCol w:w="4"/>
        <w:gridCol w:w="225"/>
        <w:gridCol w:w="308"/>
        <w:gridCol w:w="335"/>
        <w:gridCol w:w="202"/>
        <w:gridCol w:w="5"/>
        <w:gridCol w:w="436"/>
        <w:gridCol w:w="96"/>
        <w:gridCol w:w="547"/>
        <w:gridCol w:w="1"/>
        <w:gridCol w:w="959"/>
        <w:gridCol w:w="25"/>
      </w:tblGrid>
      <w:tr w14:paraId="18022C61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29" w:type="dxa"/>
            <w:gridSpan w:val="2"/>
            <w:vMerge w:val="restart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64D5102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-EG"/>
              </w:rPr>
              <w:t xml:space="preserve">iocide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 xml:space="preserve">Associated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-EG"/>
              </w:rPr>
              <w:t>en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es</w:t>
            </w:r>
          </w:p>
        </w:tc>
        <w:tc>
          <w:tcPr>
            <w:tcW w:w="7466" w:type="dxa"/>
            <w:gridSpan w:val="29"/>
            <w:tcBorders>
              <w:right w:val="thickThinSmallGap" w:color="000000" w:sz="24" w:space="0"/>
              <w:tl2br w:val="nil"/>
              <w:tr2bl w:val="nil"/>
            </w:tcBorders>
            <w:shd w:val="clear" w:color="auto" w:fill="B4C6E7"/>
            <w:vAlign w:val="center"/>
          </w:tcPr>
          <w:p w14:paraId="6F299AC2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-EG"/>
              </w:rPr>
              <w:t>hlorhexidine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digluconate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-EG"/>
              </w:rPr>
              <w:t xml:space="preserve"> </w:t>
            </w: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sz w:val="21"/>
                <w:szCs w:val="21"/>
                <w:lang w:bidi="ar"/>
              </w:rPr>
              <w:t>MIC (μg/mL)</w:t>
            </w:r>
          </w:p>
        </w:tc>
        <w:tc>
          <w:tcPr>
            <w:tcW w:w="984" w:type="dxa"/>
            <w:gridSpan w:val="2"/>
            <w:vMerge w:val="restart"/>
            <w:tcBorders>
              <w:left w:val="thickThinSmallGap" w:color="000000" w:sz="24" w:space="0"/>
              <w:tl2br w:val="nil"/>
              <w:tr2bl w:val="nil"/>
            </w:tcBorders>
            <w:shd w:val="clear" w:color="auto" w:fill="B4C6E7"/>
            <w:vAlign w:val="center"/>
          </w:tcPr>
          <w:p w14:paraId="2A22E6E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 xml:space="preserve">P </w:t>
            </w:r>
          </w:p>
        </w:tc>
      </w:tr>
      <w:tr w14:paraId="5F63C16D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29" w:type="dxa"/>
            <w:gridSpan w:val="2"/>
            <w:vMerge w:val="continue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266D38A4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11" w:type="dxa"/>
            <w:vMerge w:val="restart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4722B648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 xml:space="preserve">Total 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19B7C5AB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0.5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3A26FEF9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1</w:t>
            </w:r>
          </w:p>
        </w:tc>
        <w:tc>
          <w:tcPr>
            <w:tcW w:w="1075" w:type="dxa"/>
            <w:gridSpan w:val="4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051065BC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2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611B9784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7A9081F5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080" w:type="dxa"/>
            <w:gridSpan w:val="4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14D6A07F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16</w:t>
            </w:r>
          </w:p>
        </w:tc>
        <w:tc>
          <w:tcPr>
            <w:tcW w:w="984" w:type="dxa"/>
            <w:gridSpan w:val="2"/>
            <w:vMerge w:val="continue"/>
            <w:tcBorders>
              <w:left w:val="thickThinSmallGap" w:color="000000" w:sz="24" w:space="0"/>
              <w:tl2br w:val="nil"/>
              <w:tr2bl w:val="nil"/>
            </w:tcBorders>
            <w:shd w:val="clear" w:color="auto" w:fill="B4C6E7"/>
            <w:vAlign w:val="center"/>
          </w:tcPr>
          <w:p w14:paraId="08D7F1CC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14:paraId="3BAEFECF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29" w:type="dxa"/>
            <w:gridSpan w:val="2"/>
            <w:vMerge w:val="continue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110053C8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11" w:type="dxa"/>
            <w:vMerge w:val="continue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49AE9AF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537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603CA18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537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6A6CEDA8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537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6FE6384B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537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6E0A9585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537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27170E52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537" w:type="dxa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3A8D3522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537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63C2EEB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537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DE0D7D8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537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15C55795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537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4EBDA800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537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CE2DCAB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548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06386FB4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984" w:type="dxa"/>
            <w:gridSpan w:val="2"/>
            <w:vMerge w:val="continue"/>
            <w:tcBorders>
              <w:left w:val="thickThinSmallGap" w:color="000000" w:sz="24" w:space="0"/>
              <w:tl2br w:val="nil"/>
              <w:tr2bl w:val="nil"/>
            </w:tcBorders>
            <w:shd w:val="clear" w:color="auto" w:fill="B4C6E7"/>
            <w:vAlign w:val="center"/>
          </w:tcPr>
          <w:p w14:paraId="3E220F3A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14:paraId="228FC0FA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529" w:type="dxa"/>
            <w:gridSpan w:val="2"/>
            <w:tcBorders>
              <w:tl2br w:val="nil"/>
              <w:tr2bl w:val="nil"/>
            </w:tcBorders>
            <w:shd w:val="clear" w:color="auto" w:fill="FFFF99"/>
            <w:vAlign w:val="center"/>
          </w:tcPr>
          <w:p w14:paraId="437223C4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>efrAB</w:t>
            </w:r>
          </w:p>
          <w:p w14:paraId="0CD2E482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positive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br w:type="textWrapping"/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negative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br w:type="textWrapping"/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1011" w:type="dxa"/>
            <w:tcBorders>
              <w:tl2br w:val="nil"/>
              <w:tr2bl w:val="nil"/>
            </w:tcBorders>
            <w:shd w:val="clear" w:color="auto" w:fill="FFFF99"/>
            <w:vAlign w:val="center"/>
          </w:tcPr>
          <w:p w14:paraId="1194FB96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61</w:t>
            </w:r>
          </w:p>
          <w:p w14:paraId="1B84715A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59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vAlign w:val="center"/>
          </w:tcPr>
          <w:p w14:paraId="42FD4497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0    (0.0)</w:t>
            </w:r>
          </w:p>
          <w:p w14:paraId="093D25DB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     1.7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vAlign w:val="center"/>
          </w:tcPr>
          <w:p w14:paraId="09E2039A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val="en-GB" w:bidi="ar-EG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   1.6</w:t>
            </w:r>
          </w:p>
          <w:p w14:paraId="3EB0D189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val="en-GB" w:bidi="ar-EG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4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    6.8</w:t>
            </w:r>
          </w:p>
        </w:tc>
        <w:tc>
          <w:tcPr>
            <w:tcW w:w="1075" w:type="dxa"/>
            <w:gridSpan w:val="4"/>
            <w:tcBorders>
              <w:tl2br w:val="nil"/>
              <w:tr2bl w:val="nil"/>
            </w:tcBorders>
            <w:vAlign w:val="center"/>
          </w:tcPr>
          <w:p w14:paraId="20633D27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val="en-GB" w:bidi="ar-EG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7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   11.7</w:t>
            </w:r>
          </w:p>
          <w:p w14:paraId="1A2DC67B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val="en-GB" w:bidi="ar-EG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11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 18.6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vAlign w:val="center"/>
          </w:tcPr>
          <w:p w14:paraId="692410D5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val="en-GB" w:bidi="ar-EG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20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 32.8</w:t>
            </w:r>
          </w:p>
          <w:p w14:paraId="27A6A567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val="en-GB" w:bidi="ar-EG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20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 33.9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vAlign w:val="center"/>
          </w:tcPr>
          <w:p w14:paraId="3F243B15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val="en-GB" w:bidi="ar-EG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32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 52.5</w:t>
            </w:r>
          </w:p>
          <w:p w14:paraId="6BFB6639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val="en-GB" w:bidi="ar-EG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23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 40.4</w:t>
            </w:r>
          </w:p>
        </w:tc>
        <w:tc>
          <w:tcPr>
            <w:tcW w:w="1080" w:type="dxa"/>
            <w:gridSpan w:val="4"/>
            <w:tcBorders>
              <w:tl2br w:val="nil"/>
              <w:tr2bl w:val="nil"/>
            </w:tcBorders>
            <w:vAlign w:val="center"/>
          </w:tcPr>
          <w:p w14:paraId="268D917E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bidi="ar-EG"/>
              </w:rPr>
            </w:pPr>
          </w:p>
          <w:p w14:paraId="2013611F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val="en-GB" w:bidi="ar-EG"/>
              </w:rPr>
            </w:pPr>
            <w:r>
              <w:rPr>
                <w:rFonts w:hint="cs" w:eastAsia="Calibri" w:asciiTheme="majorBidi" w:hAnsiTheme="majorBidi" w:cstheme="majorBidi"/>
                <w:sz w:val="21"/>
                <w:szCs w:val="21"/>
                <w:rtl/>
                <w:lang w:bidi="ar-EG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</w:t>
            </w:r>
            <w:r>
              <w:rPr>
                <w:rFonts w:hint="default"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 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 w:bidi="ar-EG"/>
              </w:rPr>
              <w:t xml:space="preserve"> 1.6</w:t>
            </w:r>
          </w:p>
          <w:p w14:paraId="2281ADA4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0 </w:t>
            </w:r>
            <w:r>
              <w:rPr>
                <w:rFonts w:hint="default" w:eastAsia="Calibri" w:asciiTheme="majorBidi" w:hAnsiTheme="majorBidi" w:cstheme="majorBidi"/>
                <w:sz w:val="21"/>
                <w:szCs w:val="21"/>
                <w:lang w:val="en-GB"/>
              </w:rPr>
              <w:t xml:space="preserve">  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(0.0)</w:t>
            </w:r>
          </w:p>
          <w:p w14:paraId="63EF3C13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rtl/>
                <w:lang w:bidi="ar-EG"/>
              </w:rPr>
            </w:pPr>
          </w:p>
        </w:tc>
        <w:tc>
          <w:tcPr>
            <w:tcW w:w="984" w:type="dxa"/>
            <w:gridSpan w:val="2"/>
            <w:tcBorders>
              <w:tl2br w:val="nil"/>
              <w:tr2bl w:val="nil"/>
            </w:tcBorders>
            <w:vAlign w:val="center"/>
          </w:tcPr>
          <w:p w14:paraId="6BE09A63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highlight w:val="none"/>
                <w:shd w:val="clear" w:color="auto" w:fill="FFFFFF"/>
              </w:rPr>
              <w:t>0.29</w:t>
            </w:r>
          </w:p>
        </w:tc>
      </w:tr>
      <w:tr w14:paraId="5A254151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529" w:type="dxa"/>
            <w:gridSpan w:val="2"/>
            <w:tcBorders>
              <w:tl2br w:val="nil"/>
              <w:tr2bl w:val="nil"/>
            </w:tcBorders>
            <w:shd w:val="clear" w:color="auto" w:fill="FFFF99"/>
            <w:vAlign w:val="center"/>
          </w:tcPr>
          <w:p w14:paraId="7FEAF7C8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 xml:space="preserve">emeA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br w:type="textWrapping"/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positive negative</w:t>
            </w:r>
          </w:p>
        </w:tc>
        <w:tc>
          <w:tcPr>
            <w:tcW w:w="1011" w:type="dxa"/>
            <w:tcBorders>
              <w:tl2br w:val="nil"/>
              <w:tr2bl w:val="nil"/>
            </w:tcBorders>
            <w:shd w:val="clear" w:color="auto" w:fill="FFFF99"/>
            <w:vAlign w:val="center"/>
          </w:tcPr>
          <w:p w14:paraId="7430A000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41</w:t>
            </w:r>
          </w:p>
          <w:p w14:paraId="08771305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79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vAlign w:val="center"/>
          </w:tcPr>
          <w:p w14:paraId="5B215366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0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(0.0)</w:t>
            </w:r>
          </w:p>
          <w:p w14:paraId="28894CD1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 1.3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vAlign w:val="center"/>
          </w:tcPr>
          <w:p w14:paraId="3654C2D2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  2.4</w:t>
            </w:r>
          </w:p>
          <w:p w14:paraId="6CC2C468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4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  5.1</w:t>
            </w:r>
          </w:p>
        </w:tc>
        <w:tc>
          <w:tcPr>
            <w:tcW w:w="1075" w:type="dxa"/>
            <w:gridSpan w:val="4"/>
            <w:tcBorders>
              <w:tl2br w:val="nil"/>
              <w:tr2bl w:val="nil"/>
            </w:tcBorders>
            <w:vAlign w:val="center"/>
          </w:tcPr>
          <w:p w14:paraId="06F5CCFC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9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  22</w:t>
            </w:r>
          </w:p>
          <w:p w14:paraId="1EC5951F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9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11.4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vAlign w:val="center"/>
          </w:tcPr>
          <w:p w14:paraId="1CF69B3C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15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36.6</w:t>
            </w:r>
          </w:p>
          <w:p w14:paraId="3BADFF86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25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31.6</w:t>
            </w:r>
          </w:p>
        </w:tc>
        <w:tc>
          <w:tcPr>
            <w:tcW w:w="1075" w:type="dxa"/>
            <w:gridSpan w:val="5"/>
            <w:tcBorders>
              <w:tl2br w:val="nil"/>
              <w:tr2bl w:val="nil"/>
            </w:tcBorders>
            <w:vAlign w:val="center"/>
          </w:tcPr>
          <w:p w14:paraId="1D309066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16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39</w:t>
            </w:r>
          </w:p>
          <w:p w14:paraId="6B204EED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39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49.4</w:t>
            </w:r>
          </w:p>
        </w:tc>
        <w:tc>
          <w:tcPr>
            <w:tcW w:w="1080" w:type="dxa"/>
            <w:gridSpan w:val="4"/>
            <w:tcBorders>
              <w:tl2br w:val="nil"/>
              <w:tr2bl w:val="nil"/>
            </w:tcBorders>
            <w:vAlign w:val="center"/>
          </w:tcPr>
          <w:p w14:paraId="5180CAF0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0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(0.0)</w:t>
            </w:r>
          </w:p>
          <w:p w14:paraId="54F6484E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1.3</w:t>
            </w:r>
          </w:p>
        </w:tc>
        <w:tc>
          <w:tcPr>
            <w:tcW w:w="984" w:type="dxa"/>
            <w:gridSpan w:val="2"/>
            <w:tcBorders>
              <w:tl2br w:val="nil"/>
              <w:tr2bl w:val="nil"/>
            </w:tcBorders>
            <w:vAlign w:val="center"/>
          </w:tcPr>
          <w:p w14:paraId="0740C07D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highlight w:val="none"/>
                <w:shd w:val="clear" w:color="auto" w:fill="FFFFFF"/>
              </w:rPr>
              <w:t>0.5</w:t>
            </w:r>
          </w:p>
        </w:tc>
      </w:tr>
      <w:tr w14:paraId="22EC365E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539" w:hRule="atLeast"/>
        </w:trPr>
        <w:tc>
          <w:tcPr>
            <w:tcW w:w="1514" w:type="dxa"/>
            <w:vMerge w:val="restart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47778CAC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-EG"/>
              </w:rPr>
              <w:t xml:space="preserve">iocide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-EG"/>
              </w:rPr>
              <w:t xml:space="preserve">esistance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-EG"/>
              </w:rPr>
              <w:t>en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es</w:t>
            </w:r>
          </w:p>
        </w:tc>
        <w:tc>
          <w:tcPr>
            <w:tcW w:w="1050" w:type="dxa"/>
            <w:gridSpan w:val="3"/>
            <w:vMerge w:val="restart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333CC05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 xml:space="preserve">Total </w:t>
            </w:r>
          </w:p>
        </w:tc>
        <w:tc>
          <w:tcPr>
            <w:tcW w:w="6430" w:type="dxa"/>
            <w:gridSpan w:val="26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27997DB1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-EG"/>
              </w:rPr>
              <w:t xml:space="preserve">Benzalkonium chloride </w:t>
            </w: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sz w:val="21"/>
                <w:szCs w:val="21"/>
                <w:lang w:bidi="ar"/>
              </w:rPr>
              <w:t>MIC (μg/mL)</w:t>
            </w:r>
          </w:p>
        </w:tc>
        <w:tc>
          <w:tcPr>
            <w:tcW w:w="960" w:type="dxa"/>
            <w:gridSpan w:val="2"/>
            <w:vMerge w:val="restart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D589AA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 w:bidi="ar-EG"/>
              </w:rPr>
              <w:t>P</w:t>
            </w:r>
          </w:p>
        </w:tc>
      </w:tr>
      <w:tr w14:paraId="55997EFA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456" w:hRule="atLeast"/>
        </w:trPr>
        <w:tc>
          <w:tcPr>
            <w:tcW w:w="1514" w:type="dxa"/>
            <w:vMerge w:val="continue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2708004F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68630A96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04B26440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2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72F443EE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</w:t>
            </w:r>
          </w:p>
        </w:tc>
        <w:tc>
          <w:tcPr>
            <w:tcW w:w="1286" w:type="dxa"/>
            <w:gridSpan w:val="6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06FE8784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8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1B91446B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16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73A292E7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32</w:t>
            </w:r>
          </w:p>
        </w:tc>
        <w:tc>
          <w:tcPr>
            <w:tcW w:w="960" w:type="dxa"/>
            <w:gridSpan w:val="2"/>
            <w:vMerge w:val="continue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31FA11E8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14:paraId="2ECE7A63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456" w:hRule="atLeast"/>
        </w:trPr>
        <w:tc>
          <w:tcPr>
            <w:tcW w:w="1514" w:type="dxa"/>
            <w:vMerge w:val="continue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C685DBB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29EDC022">
            <w:pPr>
              <w:contextualSpacing/>
              <w:jc w:val="center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643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4C79CB3F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643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307A6EBE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643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9EB6E6C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643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7D4E6165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643" w:type="dxa"/>
            <w:gridSpan w:val="4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5B181A81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643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7EE9D4B9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643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2E4DE9AD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643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494E2F6A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643" w:type="dxa"/>
            <w:gridSpan w:val="3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73A4AF41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NO</w:t>
            </w:r>
          </w:p>
        </w:tc>
        <w:tc>
          <w:tcPr>
            <w:tcW w:w="643" w:type="dxa"/>
            <w:gridSpan w:val="2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25692F1D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%</w:t>
            </w:r>
          </w:p>
        </w:tc>
        <w:tc>
          <w:tcPr>
            <w:tcW w:w="960" w:type="dxa"/>
            <w:gridSpan w:val="2"/>
            <w:vMerge w:val="continue"/>
            <w:tcBorders>
              <w:tl2br w:val="nil"/>
              <w:tr2bl w:val="nil"/>
            </w:tcBorders>
            <w:shd w:val="clear" w:color="auto" w:fill="B4C6E7"/>
            <w:vAlign w:val="center"/>
          </w:tcPr>
          <w:p w14:paraId="61C23E74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</w:p>
        </w:tc>
      </w:tr>
      <w:tr w14:paraId="4F5A6628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065" w:hRule="atLeast"/>
        </w:trPr>
        <w:tc>
          <w:tcPr>
            <w:tcW w:w="1514" w:type="dxa"/>
            <w:tcBorders>
              <w:tl2br w:val="nil"/>
              <w:tr2bl w:val="nil"/>
            </w:tcBorders>
            <w:shd w:val="clear" w:color="auto" w:fill="FFFF99"/>
            <w:vAlign w:val="center"/>
          </w:tcPr>
          <w:p w14:paraId="0C0D7023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>efrAB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br w:type="textWrapping"/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positive      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br w:type="textWrapping"/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negative    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br w:type="textWrapping"/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1050" w:type="dxa"/>
            <w:gridSpan w:val="3"/>
            <w:tcBorders>
              <w:tl2br w:val="nil"/>
              <w:tr2bl w:val="nil"/>
            </w:tcBorders>
            <w:shd w:val="clear" w:color="auto" w:fill="FFFF99"/>
            <w:vAlign w:val="center"/>
          </w:tcPr>
          <w:p w14:paraId="4D5C113E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61</w:t>
            </w:r>
          </w:p>
          <w:p w14:paraId="47C4C4A2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59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vAlign w:val="center"/>
          </w:tcPr>
          <w:p w14:paraId="622B7367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3.3</w:t>
            </w:r>
          </w:p>
          <w:p w14:paraId="1657135D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4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 6.8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vAlign w:val="center"/>
          </w:tcPr>
          <w:p w14:paraId="6C98C01D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6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 9.8</w:t>
            </w:r>
          </w:p>
          <w:p w14:paraId="266334E6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13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22</w:t>
            </w:r>
          </w:p>
        </w:tc>
        <w:tc>
          <w:tcPr>
            <w:tcW w:w="1286" w:type="dxa"/>
            <w:gridSpan w:val="6"/>
            <w:tcBorders>
              <w:tl2br w:val="nil"/>
              <w:tr2bl w:val="nil"/>
            </w:tcBorders>
            <w:vAlign w:val="center"/>
          </w:tcPr>
          <w:p w14:paraId="01167489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24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39.3</w:t>
            </w:r>
          </w:p>
          <w:p w14:paraId="3E2109AD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15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25.4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vAlign w:val="center"/>
          </w:tcPr>
          <w:p w14:paraId="41A606CC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28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</w:t>
            </w:r>
            <w:r>
              <w:rPr>
                <w:rFonts w:hint="default" w:eastAsia="Calibri" w:asciiTheme="majorBidi" w:hAnsiTheme="majorBidi" w:cstheme="majorBidi"/>
                <w:sz w:val="21"/>
                <w:szCs w:val="21"/>
                <w:lang w:val="en-GB"/>
              </w:rPr>
              <w:t xml:space="preserve"> 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46</w:t>
            </w:r>
          </w:p>
          <w:p w14:paraId="4FEC1486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25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42.4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vAlign w:val="center"/>
          </w:tcPr>
          <w:p w14:paraId="305DEC87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1.6</w:t>
            </w:r>
          </w:p>
          <w:p w14:paraId="2A3CA18A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3.4</w:t>
            </w:r>
          </w:p>
        </w:tc>
        <w:tc>
          <w:tcPr>
            <w:tcW w:w="960" w:type="dxa"/>
            <w:gridSpan w:val="2"/>
            <w:tcBorders>
              <w:tl2br w:val="nil"/>
              <w:tr2bl w:val="nil"/>
            </w:tcBorders>
            <w:vAlign w:val="center"/>
          </w:tcPr>
          <w:p w14:paraId="1183E870">
            <w:pPr>
              <w:contextualSpacing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highlight w:val="none"/>
                <w:shd w:val="clear" w:color="auto" w:fill="FFFFFF"/>
              </w:rPr>
              <w:t>0.21</w:t>
            </w:r>
          </w:p>
        </w:tc>
      </w:tr>
      <w:tr w14:paraId="43AD8B44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895" w:hRule="atLeast"/>
        </w:trPr>
        <w:tc>
          <w:tcPr>
            <w:tcW w:w="1514" w:type="dxa"/>
            <w:tcBorders>
              <w:tl2br w:val="nil"/>
              <w:tr2bl w:val="nil"/>
            </w:tcBorders>
            <w:shd w:val="clear" w:color="auto" w:fill="FFFF99"/>
            <w:vAlign w:val="center"/>
          </w:tcPr>
          <w:p w14:paraId="1A4B7224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  <w:t xml:space="preserve">emeA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br w:type="textWrapping"/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positive    </w:t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br w:type="textWrapping"/>
            </w: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 xml:space="preserve">negative    </w:t>
            </w:r>
          </w:p>
        </w:tc>
        <w:tc>
          <w:tcPr>
            <w:tcW w:w="1050" w:type="dxa"/>
            <w:gridSpan w:val="3"/>
            <w:tcBorders>
              <w:tl2br w:val="nil"/>
              <w:tr2bl w:val="nil"/>
            </w:tcBorders>
            <w:shd w:val="clear" w:color="auto" w:fill="FFFF99"/>
            <w:vAlign w:val="center"/>
          </w:tcPr>
          <w:p w14:paraId="59E5F4D6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41</w:t>
            </w:r>
          </w:p>
          <w:p w14:paraId="6DA886AD">
            <w:pPr>
              <w:contextualSpacing/>
              <w:jc w:val="both"/>
              <w:rPr>
                <w:rFonts w:eastAsia="Calibri" w:asciiTheme="majorBidi" w:hAnsiTheme="majorBidi" w:cstheme="majorBidi"/>
                <w:b/>
                <w:bCs/>
                <w:i/>
                <w:iCs/>
                <w:sz w:val="21"/>
                <w:szCs w:val="21"/>
                <w:lang w:val="en-GB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1"/>
                <w:szCs w:val="21"/>
                <w:lang w:val="en-GB"/>
              </w:rPr>
              <w:t>79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vAlign w:val="center"/>
          </w:tcPr>
          <w:p w14:paraId="02D19DAD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 2.4</w:t>
            </w:r>
          </w:p>
          <w:p w14:paraId="39AE36B2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5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 6.3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vAlign w:val="center"/>
          </w:tcPr>
          <w:p w14:paraId="3D0CF7FE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5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 12.2</w:t>
            </w:r>
          </w:p>
          <w:p w14:paraId="28DBB36A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14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17.7</w:t>
            </w:r>
          </w:p>
        </w:tc>
        <w:tc>
          <w:tcPr>
            <w:tcW w:w="1286" w:type="dxa"/>
            <w:gridSpan w:val="6"/>
            <w:tcBorders>
              <w:tl2br w:val="nil"/>
              <w:tr2bl w:val="nil"/>
            </w:tcBorders>
            <w:vAlign w:val="center"/>
          </w:tcPr>
          <w:p w14:paraId="01A7FBC8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15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36.6</w:t>
            </w:r>
          </w:p>
          <w:p w14:paraId="3ED59753">
            <w:pPr>
              <w:contextualSpacing/>
              <w:jc w:val="both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24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30.4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vAlign w:val="center"/>
          </w:tcPr>
          <w:p w14:paraId="43474685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17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41.5</w:t>
            </w:r>
          </w:p>
          <w:p w14:paraId="34A9D2A7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36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45.6</w:t>
            </w:r>
          </w:p>
        </w:tc>
        <w:tc>
          <w:tcPr>
            <w:tcW w:w="1286" w:type="dxa"/>
            <w:gridSpan w:val="5"/>
            <w:tcBorders>
              <w:tl2br w:val="nil"/>
              <w:tr2bl w:val="nil"/>
            </w:tcBorders>
            <w:vAlign w:val="center"/>
          </w:tcPr>
          <w:p w14:paraId="1B8DCCEE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2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 4.9</w:t>
            </w:r>
          </w:p>
          <w:p w14:paraId="58B04750">
            <w:pPr>
              <w:contextualSpacing/>
              <w:jc w:val="center"/>
              <w:rPr>
                <w:rFonts w:eastAsia="Calibri" w:asciiTheme="majorBidi" w:hAnsiTheme="majorBidi" w:cstheme="majorBidi"/>
                <w:sz w:val="21"/>
                <w:szCs w:val="21"/>
              </w:rPr>
            </w:pPr>
            <w:r>
              <w:rPr>
                <w:rFonts w:eastAsia="Calibri" w:asciiTheme="majorBidi" w:hAnsiTheme="majorBidi" w:cstheme="majorBidi"/>
                <w:sz w:val="21"/>
                <w:szCs w:val="21"/>
                <w:lang w:val="en-GB"/>
              </w:rPr>
              <w:t>1</w:t>
            </w:r>
            <w:r>
              <w:rPr>
                <w:rFonts w:eastAsia="Calibri" w:asciiTheme="majorBidi" w:hAnsiTheme="majorBidi" w:cstheme="majorBidi"/>
                <w:sz w:val="21"/>
                <w:szCs w:val="21"/>
              </w:rPr>
              <w:t xml:space="preserve">   1.3</w:t>
            </w:r>
          </w:p>
        </w:tc>
        <w:tc>
          <w:tcPr>
            <w:tcW w:w="960" w:type="dxa"/>
            <w:gridSpan w:val="2"/>
            <w:tcBorders>
              <w:tl2br w:val="nil"/>
              <w:tr2bl w:val="nil"/>
            </w:tcBorders>
            <w:vAlign w:val="center"/>
          </w:tcPr>
          <w:p w14:paraId="234475D4">
            <w:pPr>
              <w:contextualSpacing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highlight w:val="none"/>
                <w:shd w:val="clear" w:color="auto" w:fill="FFFFFF"/>
              </w:rPr>
              <w:t>0.52</w:t>
            </w:r>
          </w:p>
        </w:tc>
      </w:tr>
    </w:tbl>
    <w:p w14:paraId="0F662DBA">
      <w:pPr>
        <w:rPr>
          <w:sz w:val="21"/>
          <w:szCs w:val="21"/>
        </w:rPr>
      </w:pPr>
    </w:p>
    <w:p w14:paraId="24CF90FA">
      <w:pPr>
        <w:rPr>
          <w:sz w:val="21"/>
          <w:szCs w:val="21"/>
        </w:rPr>
      </w:pPr>
    </w:p>
    <w:p w14:paraId="61B8F897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P: p value for comparing between the</w:t>
      </w:r>
      <w:r>
        <w:rPr>
          <w:rFonts w:hint="default" w:ascii="Times New Roman" w:hAnsi="Times New Roman" w:cs="Times New Roman"/>
          <w:sz w:val="21"/>
          <w:szCs w:val="21"/>
          <w:lang w:val="en-GB" w:eastAsia="zh-CN"/>
        </w:rPr>
        <w:t xml:space="preserve"> variable CHX and BCC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MICs</w:t>
      </w:r>
      <w:r>
        <w:rPr>
          <w:rFonts w:hint="default" w:ascii="Times New Roman" w:hAnsi="Times New Roman" w:cs="Times New Roman"/>
          <w:sz w:val="21"/>
          <w:szCs w:val="21"/>
          <w:lang w:val="en-GB" w:eastAsia="zh-CN"/>
        </w:rPr>
        <w:t xml:space="preserve"> values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regarding </w:t>
      </w:r>
      <w:r>
        <w:rPr>
          <w:rFonts w:hint="default" w:ascii="Times New Roman" w:hAnsi="Times New Roman" w:cs="Times New Roman"/>
          <w:sz w:val="21"/>
          <w:szCs w:val="21"/>
          <w:lang w:val="en-GB" w:eastAsia="zh-CN"/>
        </w:rPr>
        <w:t xml:space="preserve">acquisition of efflux-pump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genes</w:t>
      </w:r>
      <w:r>
        <w:rPr>
          <w:rFonts w:hint="default" w:ascii="Times New Roman" w:hAnsi="Times New Roman" w:cs="Times New Roman"/>
          <w:sz w:val="21"/>
          <w:szCs w:val="21"/>
          <w:lang w:val="en-GB" w:eastAsia="zh-CN"/>
        </w:rPr>
        <w:t xml:space="preserve"> </w:t>
      </w:r>
    </w:p>
    <w:p w14:paraId="73EEFB31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∗Statistically signifcant at p ≤ 0.05.</w:t>
      </w:r>
    </w:p>
    <w:p w14:paraId="6FFA69BD">
      <w:pPr>
        <w:spacing w:line="360" w:lineRule="auto"/>
        <w:jc w:val="both"/>
        <w:rPr>
          <w:rFonts w:hint="default" w:ascii="Times New Roman" w:hAnsi="Times New Roman" w:eastAsia="SimSun" w:cs="Times New Roman"/>
          <w:b/>
          <w:bCs/>
          <w:sz w:val="21"/>
          <w:szCs w:val="21"/>
          <w:lang w:val="en-GB"/>
        </w:rPr>
      </w:pPr>
    </w:p>
    <w:p w14:paraId="25BA718A">
      <w:pPr>
        <w:rPr>
          <w:sz w:val="21"/>
          <w:szCs w:val="21"/>
        </w:rPr>
      </w:pPr>
    </w:p>
    <w:p w14:paraId="7EB95CA5">
      <w:pPr>
        <w:rPr>
          <w:sz w:val="21"/>
          <w:szCs w:val="21"/>
        </w:rPr>
      </w:pPr>
    </w:p>
    <w:p w14:paraId="543CEA5D">
      <w:pPr>
        <w:rPr>
          <w:sz w:val="21"/>
          <w:szCs w:val="21"/>
        </w:rPr>
      </w:pPr>
    </w:p>
    <w:p w14:paraId="5E1AD17E">
      <w:pPr>
        <w:rPr>
          <w:sz w:val="21"/>
          <w:szCs w:val="21"/>
        </w:rPr>
      </w:pPr>
    </w:p>
    <w:p w14:paraId="35BA0DE2">
      <w:pPr>
        <w:rPr>
          <w:sz w:val="21"/>
          <w:szCs w:val="21"/>
        </w:rPr>
      </w:pPr>
    </w:p>
    <w:p w14:paraId="782B421C">
      <w:pPr>
        <w:rPr>
          <w:sz w:val="21"/>
          <w:szCs w:val="21"/>
        </w:rPr>
      </w:pPr>
    </w:p>
    <w:p w14:paraId="670DDE2F">
      <w:pPr>
        <w:spacing w:line="360" w:lineRule="auto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4F8B3188">
      <w:pPr>
        <w:spacing w:line="360" w:lineRule="auto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73D316F1">
      <w:pPr>
        <w:spacing w:line="360" w:lineRule="auto"/>
        <w:jc w:val="both"/>
        <w:rPr>
          <w:rFonts w:ascii="Times New Roman" w:hAnsi="Times New Roman" w:eastAsia="SimSun" w:cs="Times New Roman"/>
          <w:b/>
          <w:bCs/>
          <w:color w:val="000000"/>
          <w:sz w:val="21"/>
          <w:szCs w:val="21"/>
          <w:lang w:val="en-GB" w:bidi="ar"/>
        </w:rPr>
      </w:pPr>
    </w:p>
    <w:p w14:paraId="60A44DDF">
      <w:pPr>
        <w:spacing w:line="360" w:lineRule="auto"/>
        <w:jc w:val="both"/>
        <w:rPr>
          <w:rFonts w:ascii="Times New Roman" w:hAnsi="Times New Roman" w:eastAsia="SimSun" w:cs="Times New Roman"/>
          <w:b w:val="0"/>
          <w:bCs w:val="0"/>
          <w:color w:val="000000"/>
          <w:sz w:val="21"/>
          <w:szCs w:val="21"/>
          <w:lang w:val="en-GB" w:bidi="ar"/>
        </w:rPr>
      </w:pPr>
    </w:p>
    <w:p w14:paraId="576FE593">
      <w:pPr>
        <w:rPr>
          <w:sz w:val="21"/>
          <w:szCs w:val="21"/>
        </w:rPr>
      </w:pPr>
    </w:p>
    <w:p w14:paraId="6CC95C21">
      <w:pPr>
        <w:rPr>
          <w:sz w:val="21"/>
          <w:szCs w:val="21"/>
        </w:rPr>
      </w:pPr>
    </w:p>
    <w:sectPr>
      <w:pgSz w:w="11906" w:h="16838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TIX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40E07E"/>
    <w:multiLevelType w:val="singleLevel"/>
    <w:tmpl w:val="C540E07E"/>
    <w:lvl w:ilvl="0" w:tentative="0">
      <w:start w:val="5"/>
      <w:numFmt w:val="upperLetter"/>
      <w:suff w:val="space"/>
      <w:lvlText w:val="%1."/>
      <w:lvlJc w:val="left"/>
      <w:pPr>
        <w:ind w:left="400"/>
      </w:pPr>
      <w:rPr>
        <w:rFonts w:hint="default"/>
        <w:i/>
        <w:i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613C2"/>
    <w:rsid w:val="0A242EFC"/>
    <w:rsid w:val="0E544F12"/>
    <w:rsid w:val="100613C2"/>
    <w:rsid w:val="1F1069C8"/>
    <w:rsid w:val="289F0999"/>
    <w:rsid w:val="482D236F"/>
    <w:rsid w:val="4CBE2078"/>
    <w:rsid w:val="4E8E45F5"/>
    <w:rsid w:val="4EFE6598"/>
    <w:rsid w:val="50431DEA"/>
    <w:rsid w:val="5B5F1D7A"/>
    <w:rsid w:val="5E58324F"/>
    <w:rsid w:val="5F293E39"/>
    <w:rsid w:val="68DD560F"/>
    <w:rsid w:val="6A4D212A"/>
    <w:rsid w:val="6A571BE2"/>
    <w:rsid w:val="6C9D431C"/>
    <w:rsid w:val="6CD31019"/>
    <w:rsid w:val="6EAB19C5"/>
    <w:rsid w:val="7CC1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customStyle="1" w:styleId="8">
    <w:name w:val="Table Grid2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Grid8"/>
    <w:basedOn w:val="3"/>
    <w:qFormat/>
    <w:uiPriority w:val="59"/>
    <w:rPr>
      <w:rFonts w:eastAsia="Calibri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Office_12.2.0.23202_F1E327BC-269C-435d-A152-05C5408002CA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2025-10-30T21:59:00Z</dcterms:created>
  <dc:creator>Maha Eldahshan</dc:creator>
  <cp:lastModifiedBy>Maha Eldahshan</cp:lastModifiedBy>
  <dcterms:modified xsi:type="dcterms:W3CDTF">2026-04-17T01:07:01Z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2057-12.2.0.23202</vt:lpwstr>
  </property>
  <property fmtid="{D5CDD505-2E9C-101B-9397-08002B2CF9AE}" pid="3" name="ICV">
    <vt:lpwstr>AD6F60E4B628420EA2CB4D8D72FD6F3D_11</vt:lpwstr>
  </property>
</Properties>
</file>