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0F9E06" w14:textId="46F2308A" w:rsidR="009209BD" w:rsidRPr="009209BD" w:rsidRDefault="006E5E76" w:rsidP="00390E9F">
      <w:pPr>
        <w:pStyle w:val="Heading1"/>
        <w:rPr>
          <w:rFonts w:ascii="Times New Roman" w:hAnsi="Times New Roman" w:cs="Times New Roman"/>
          <w:sz w:val="24"/>
          <w:szCs w:val="24"/>
        </w:rPr>
      </w:pPr>
      <w:r>
        <w:rPr>
          <w:rFonts w:ascii="Times New Roman" w:hAnsi="Times New Roman" w:cs="Times New Roman"/>
          <w:sz w:val="24"/>
          <w:szCs w:val="24"/>
        </w:rPr>
        <w:t>Supplementary Materials</w:t>
      </w:r>
    </w:p>
    <w:p w14:paraId="498F0D61" w14:textId="77777777" w:rsidR="006E5E76" w:rsidRDefault="006E5E76" w:rsidP="009209BD">
      <w:pPr>
        <w:rPr>
          <w:rFonts w:ascii="Times New Roman" w:hAnsi="Times New Roman" w:cs="Times New Roman"/>
          <w:b/>
          <w:sz w:val="24"/>
          <w:szCs w:val="24"/>
        </w:rPr>
      </w:pPr>
    </w:p>
    <w:p w14:paraId="7F3F592F" w14:textId="080185AE" w:rsidR="009209BD" w:rsidRDefault="009209BD" w:rsidP="009209BD">
      <w:pPr>
        <w:rPr>
          <w:rFonts w:ascii="Times New Roman" w:hAnsi="Times New Roman" w:cs="Times New Roman"/>
          <w:b/>
          <w:sz w:val="24"/>
          <w:szCs w:val="24"/>
        </w:rPr>
      </w:pPr>
      <w:r w:rsidRPr="009209BD">
        <w:rPr>
          <w:rFonts w:ascii="Times New Roman" w:hAnsi="Times New Roman" w:cs="Times New Roman"/>
          <w:b/>
          <w:sz w:val="24"/>
          <w:szCs w:val="24"/>
        </w:rPr>
        <w:t>Sensitivity analysis for loss to follow-up in humans</w:t>
      </w:r>
    </w:p>
    <w:p w14:paraId="0C129AB1" w14:textId="4ECADDAC" w:rsidR="007A41A0" w:rsidRDefault="001F0E55" w:rsidP="007A41A0">
      <w:pPr>
        <w:rPr>
          <w:rFonts w:ascii="Times New Roman" w:hAnsi="Times New Roman" w:cs="Times New Roman"/>
          <w:sz w:val="24"/>
          <w:szCs w:val="24"/>
        </w:rPr>
      </w:pPr>
      <w:r w:rsidRPr="001F0E55">
        <w:rPr>
          <w:rFonts w:ascii="Times New Roman" w:eastAsia="Calibri" w:hAnsi="Times New Roman" w:cs="Times New Roman"/>
          <w:color w:val="000000"/>
          <w:kern w:val="2"/>
          <w:sz w:val="24"/>
          <w:szCs w:val="24"/>
          <w:lang w:val="en-KE"/>
          <w14:ligatures w14:val="standardContextual"/>
        </w:rPr>
        <w:t xml:space="preserve">A total of 524 </w:t>
      </w:r>
      <w:r w:rsidR="007A41A0">
        <w:rPr>
          <w:rFonts w:ascii="Times New Roman" w:eastAsia="Calibri" w:hAnsi="Times New Roman" w:cs="Times New Roman"/>
          <w:color w:val="000000"/>
          <w:kern w:val="2"/>
          <w:sz w:val="24"/>
          <w:szCs w:val="24"/>
          <w:lang w:val="en-GB"/>
          <w14:ligatures w14:val="standardContextual"/>
        </w:rPr>
        <w:t xml:space="preserve">human </w:t>
      </w:r>
      <w:r w:rsidRPr="001F0E55">
        <w:rPr>
          <w:rFonts w:ascii="Times New Roman" w:eastAsia="Calibri" w:hAnsi="Times New Roman" w:cs="Times New Roman"/>
          <w:color w:val="000000"/>
          <w:kern w:val="2"/>
          <w:sz w:val="24"/>
          <w:szCs w:val="24"/>
          <w:lang w:val="en-KE"/>
          <w14:ligatures w14:val="standardContextual"/>
        </w:rPr>
        <w:t>subjects were included in the analysis.</w:t>
      </w:r>
      <w:r w:rsidR="00237589">
        <w:rPr>
          <w:rFonts w:ascii="Times New Roman" w:eastAsia="Calibri" w:hAnsi="Times New Roman" w:cs="Times New Roman"/>
          <w:color w:val="000000"/>
          <w:kern w:val="2"/>
          <w:sz w:val="24"/>
          <w:szCs w:val="24"/>
          <w:lang w:val="en-GB"/>
          <w14:ligatures w14:val="standardContextual"/>
        </w:rPr>
        <w:t xml:space="preserve"> </w:t>
      </w:r>
      <w:r w:rsidR="00237589" w:rsidRPr="001F0E55">
        <w:rPr>
          <w:rFonts w:ascii="Times New Roman" w:eastAsia="Calibri" w:hAnsi="Times New Roman" w:cs="Times New Roman"/>
          <w:color w:val="000000"/>
          <w:kern w:val="2"/>
          <w:sz w:val="24"/>
          <w:szCs w:val="24"/>
          <w:lang w:val="en-KE"/>
          <w14:ligatures w14:val="standardContextual"/>
        </w:rPr>
        <w:t xml:space="preserve">Of these, 118 (22.5%) were lost to follow-up: 36 dropped out </w:t>
      </w:r>
      <w:r w:rsidR="00237589">
        <w:rPr>
          <w:rFonts w:ascii="Times New Roman" w:eastAsia="Calibri" w:hAnsi="Times New Roman" w:cs="Times New Roman"/>
          <w:color w:val="000000"/>
          <w:kern w:val="2"/>
          <w:sz w:val="24"/>
          <w:szCs w:val="24"/>
          <w:lang w:val="en-GB"/>
          <w14:ligatures w14:val="standardContextual"/>
        </w:rPr>
        <w:t>after</w:t>
      </w:r>
      <w:r w:rsidR="00237589" w:rsidRPr="001F0E55">
        <w:rPr>
          <w:rFonts w:ascii="Times New Roman" w:eastAsia="Calibri" w:hAnsi="Times New Roman" w:cs="Times New Roman"/>
          <w:color w:val="000000"/>
          <w:kern w:val="2"/>
          <w:sz w:val="24"/>
          <w:szCs w:val="24"/>
          <w:lang w:val="en-KE"/>
          <w14:ligatures w14:val="standardContextual"/>
        </w:rPr>
        <w:t xml:space="preserve"> recruitment</w:t>
      </w:r>
      <w:r w:rsidR="00237589">
        <w:rPr>
          <w:rFonts w:ascii="Times New Roman" w:eastAsia="Calibri" w:hAnsi="Times New Roman" w:cs="Times New Roman"/>
          <w:color w:val="000000"/>
          <w:kern w:val="2"/>
          <w:sz w:val="24"/>
          <w:szCs w:val="24"/>
          <w:lang w:val="en-KE"/>
          <w14:ligatures w14:val="standardContextual"/>
        </w:rPr>
        <w:t xml:space="preserve">, 47 dropped out </w:t>
      </w:r>
      <w:r w:rsidR="007A41A0">
        <w:rPr>
          <w:rFonts w:ascii="Times New Roman" w:eastAsia="Calibri" w:hAnsi="Times New Roman" w:cs="Times New Roman"/>
          <w:color w:val="000000"/>
          <w:kern w:val="2"/>
          <w:sz w:val="24"/>
          <w:szCs w:val="24"/>
          <w:lang w:val="en-GB"/>
          <w14:ligatures w14:val="standardContextual"/>
        </w:rPr>
        <w:t xml:space="preserve">after </w:t>
      </w:r>
      <w:r w:rsidR="007A41A0">
        <w:rPr>
          <w:rFonts w:ascii="Times New Roman" w:eastAsia="Calibri" w:hAnsi="Times New Roman" w:cs="Times New Roman"/>
          <w:color w:val="000000"/>
          <w:kern w:val="2"/>
          <w:sz w:val="24"/>
          <w:szCs w:val="24"/>
          <w:lang w:val="en-KE"/>
          <w14:ligatures w14:val="standardContextual"/>
        </w:rPr>
        <w:t xml:space="preserve">the first sampling, and 35 dropped out after the </w:t>
      </w:r>
      <w:r w:rsidR="00237589">
        <w:rPr>
          <w:rFonts w:ascii="Times New Roman" w:eastAsia="Calibri" w:hAnsi="Times New Roman" w:cs="Times New Roman"/>
          <w:color w:val="000000"/>
          <w:kern w:val="2"/>
          <w:sz w:val="24"/>
          <w:szCs w:val="24"/>
          <w:lang w:val="en-GB"/>
          <w14:ligatures w14:val="standardContextual"/>
        </w:rPr>
        <w:t xml:space="preserve">second </w:t>
      </w:r>
      <w:r w:rsidR="00237589" w:rsidRPr="001F0E55">
        <w:rPr>
          <w:rFonts w:ascii="Times New Roman" w:eastAsia="Calibri" w:hAnsi="Times New Roman" w:cs="Times New Roman"/>
          <w:color w:val="000000"/>
          <w:kern w:val="2"/>
          <w:sz w:val="24"/>
          <w:szCs w:val="24"/>
          <w:lang w:val="en-KE"/>
          <w14:ligatures w14:val="standardContextual"/>
        </w:rPr>
        <w:t xml:space="preserve">sampling. The remaining </w:t>
      </w:r>
      <w:r w:rsidR="00237589">
        <w:rPr>
          <w:rFonts w:ascii="Times New Roman" w:eastAsia="Calibri" w:hAnsi="Times New Roman" w:cs="Times New Roman"/>
          <w:color w:val="000000"/>
          <w:kern w:val="2"/>
          <w:sz w:val="24"/>
          <w:szCs w:val="24"/>
          <w:lang w:val="en-GB"/>
          <w14:ligatures w14:val="standardContextual"/>
        </w:rPr>
        <w:t>381</w:t>
      </w:r>
      <w:r w:rsidR="00237589" w:rsidRPr="001F0E55">
        <w:rPr>
          <w:rFonts w:ascii="Times New Roman" w:eastAsia="Calibri" w:hAnsi="Times New Roman" w:cs="Times New Roman"/>
          <w:color w:val="000000"/>
          <w:kern w:val="2"/>
          <w:sz w:val="24"/>
          <w:szCs w:val="24"/>
          <w:lang w:val="en-KE"/>
          <w14:ligatures w14:val="standardContextual"/>
        </w:rPr>
        <w:t xml:space="preserve"> </w:t>
      </w:r>
      <w:r w:rsidR="00237589">
        <w:rPr>
          <w:rFonts w:ascii="Times New Roman" w:eastAsia="Calibri" w:hAnsi="Times New Roman" w:cs="Times New Roman"/>
          <w:color w:val="000000"/>
          <w:kern w:val="2"/>
          <w:sz w:val="24"/>
          <w:szCs w:val="24"/>
          <w:lang w:val="en-GB"/>
          <w14:ligatures w14:val="standardContextual"/>
        </w:rPr>
        <w:t xml:space="preserve">(72.7%) </w:t>
      </w:r>
      <w:r w:rsidR="00237589" w:rsidRPr="001F0E55">
        <w:rPr>
          <w:rFonts w:ascii="Times New Roman" w:eastAsia="Calibri" w:hAnsi="Times New Roman" w:cs="Times New Roman"/>
          <w:color w:val="000000"/>
          <w:kern w:val="2"/>
          <w:sz w:val="24"/>
          <w:szCs w:val="24"/>
          <w:lang w:val="en-KE"/>
          <w14:ligatures w14:val="standardContextual"/>
        </w:rPr>
        <w:t>participants were followed until the end of the study</w:t>
      </w:r>
      <w:r w:rsidR="00237589">
        <w:rPr>
          <w:rFonts w:ascii="Times New Roman" w:eastAsia="Calibri" w:hAnsi="Times New Roman" w:cs="Times New Roman"/>
          <w:color w:val="000000"/>
          <w:kern w:val="2"/>
          <w:sz w:val="24"/>
          <w:szCs w:val="24"/>
          <w:lang w:val="en-KE"/>
          <w14:ligatures w14:val="standardContextual"/>
        </w:rPr>
        <w:t>,</w:t>
      </w:r>
      <w:r w:rsidR="00237589">
        <w:rPr>
          <w:rFonts w:ascii="Times New Roman" w:eastAsia="Calibri" w:hAnsi="Times New Roman" w:cs="Times New Roman"/>
          <w:color w:val="000000"/>
          <w:kern w:val="2"/>
          <w:sz w:val="24"/>
          <w:szCs w:val="24"/>
          <w:lang w:val="en-GB"/>
          <w14:ligatures w14:val="standardContextual"/>
        </w:rPr>
        <w:t xml:space="preserve"> but did not seroconvert. </w:t>
      </w:r>
      <w:r w:rsidR="00237589">
        <w:rPr>
          <w:rFonts w:ascii="Times New Roman" w:eastAsia="Calibri" w:hAnsi="Times New Roman" w:cs="Times New Roman"/>
          <w:color w:val="000000"/>
          <w:kern w:val="2"/>
          <w:sz w:val="24"/>
          <w:szCs w:val="24"/>
          <w:lang w:val="en-GB"/>
          <w14:ligatures w14:val="standardContextual"/>
        </w:rPr>
        <w:t xml:space="preserve"> </w:t>
      </w:r>
      <w:r w:rsidR="007A41A0" w:rsidRPr="00C712C5">
        <w:rPr>
          <w:rFonts w:ascii="Times New Roman" w:hAnsi="Times New Roman" w:cs="Times New Roman"/>
          <w:sz w:val="24"/>
          <w:szCs w:val="24"/>
        </w:rPr>
        <w:t>Twenty-</w:t>
      </w:r>
      <w:r w:rsidR="007A41A0">
        <w:rPr>
          <w:rFonts w:ascii="Times New Roman" w:hAnsi="Times New Roman" w:cs="Times New Roman"/>
          <w:sz w:val="24"/>
          <w:szCs w:val="24"/>
        </w:rPr>
        <w:t>five</w:t>
      </w:r>
      <w:r w:rsidR="007A41A0" w:rsidRPr="00C712C5">
        <w:rPr>
          <w:rFonts w:ascii="Times New Roman" w:hAnsi="Times New Roman" w:cs="Times New Roman"/>
          <w:sz w:val="24"/>
          <w:szCs w:val="24"/>
        </w:rPr>
        <w:t xml:space="preserve"> incident cases were detected, including </w:t>
      </w:r>
      <w:r w:rsidR="007A41A0">
        <w:rPr>
          <w:rFonts w:ascii="Times New Roman" w:hAnsi="Times New Roman" w:cs="Times New Roman"/>
          <w:sz w:val="24"/>
          <w:szCs w:val="24"/>
        </w:rPr>
        <w:t>nine</w:t>
      </w:r>
      <w:r w:rsidR="007A41A0" w:rsidRPr="00C712C5">
        <w:rPr>
          <w:rFonts w:ascii="Times New Roman" w:hAnsi="Times New Roman" w:cs="Times New Roman"/>
          <w:sz w:val="24"/>
          <w:szCs w:val="24"/>
        </w:rPr>
        <w:t xml:space="preserve"> at the first sampling, </w:t>
      </w:r>
      <w:r w:rsidR="007A41A0">
        <w:rPr>
          <w:rFonts w:ascii="Times New Roman" w:hAnsi="Times New Roman" w:cs="Times New Roman"/>
          <w:sz w:val="24"/>
          <w:szCs w:val="24"/>
        </w:rPr>
        <w:t>ten</w:t>
      </w:r>
      <w:r w:rsidR="007A41A0" w:rsidRPr="00C712C5">
        <w:rPr>
          <w:rFonts w:ascii="Times New Roman" w:hAnsi="Times New Roman" w:cs="Times New Roman"/>
          <w:sz w:val="24"/>
          <w:szCs w:val="24"/>
        </w:rPr>
        <w:t xml:space="preserve"> at the second sampling, and </w:t>
      </w:r>
      <w:r w:rsidR="007A41A0">
        <w:rPr>
          <w:rFonts w:ascii="Times New Roman" w:hAnsi="Times New Roman" w:cs="Times New Roman"/>
          <w:sz w:val="24"/>
          <w:szCs w:val="24"/>
        </w:rPr>
        <w:t>six</w:t>
      </w:r>
      <w:r w:rsidR="007A41A0" w:rsidRPr="00C712C5">
        <w:rPr>
          <w:rFonts w:ascii="Times New Roman" w:hAnsi="Times New Roman" w:cs="Times New Roman"/>
          <w:sz w:val="24"/>
          <w:szCs w:val="24"/>
        </w:rPr>
        <w:t xml:space="preserve"> at the final </w:t>
      </w:r>
      <w:r w:rsidR="007A41A0">
        <w:rPr>
          <w:rFonts w:ascii="Times New Roman" w:hAnsi="Times New Roman" w:cs="Times New Roman"/>
          <w:sz w:val="24"/>
          <w:szCs w:val="24"/>
        </w:rPr>
        <w:t xml:space="preserve">third and final </w:t>
      </w:r>
      <w:bookmarkStart w:id="0" w:name="_GoBack"/>
      <w:bookmarkEnd w:id="0"/>
      <w:r w:rsidR="007A41A0" w:rsidRPr="00C712C5">
        <w:rPr>
          <w:rFonts w:ascii="Times New Roman" w:hAnsi="Times New Roman" w:cs="Times New Roman"/>
          <w:sz w:val="24"/>
          <w:szCs w:val="24"/>
        </w:rPr>
        <w:t>sampling.</w:t>
      </w:r>
    </w:p>
    <w:p w14:paraId="3C4D63CC" w14:textId="5660C5EC" w:rsidR="009209BD" w:rsidRPr="009209BD" w:rsidRDefault="009209BD" w:rsidP="009209BD">
      <w:pPr>
        <w:rPr>
          <w:rFonts w:ascii="Times New Roman" w:hAnsi="Times New Roman" w:cs="Times New Roman"/>
          <w:sz w:val="24"/>
          <w:szCs w:val="24"/>
        </w:rPr>
      </w:pPr>
      <w:r w:rsidRPr="009209BD">
        <w:rPr>
          <w:rFonts w:ascii="Times New Roman" w:hAnsi="Times New Roman" w:cs="Times New Roman"/>
          <w:sz w:val="24"/>
          <w:szCs w:val="24"/>
        </w:rPr>
        <w:t>Sensitivity analyses showed that while incidence estimates increased under extreme assumptions regarding infection among censored individuals, the best-case estimate closely approximated the reference analysis. Moreover, the direction and general magnitude of key predictors remained largely consistent across scenarios, and the proportional hazards assumption was upheld. Together, these findings indicate that loss to follow-up is unlikely to have meaningfully biased the risk estimates or altered the interpretation of the primary results, as confirmed by the Schoenfeld residual tests</w:t>
      </w:r>
      <w:r w:rsidR="006E5E76">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"/>
          <w:id w:val="1331485750"/>
          <w:placeholder>
            <w:docPart w:val="DefaultPlaceholder_-1854013440"/>
          </w:placeholder>
        </w:sdtPr>
        <w:sdtEndPr/>
        <w:sdtContent>
          <w:r w:rsidR="006E5E76" w:rsidRPr="006E5E76">
            <w:rPr>
              <w:rFonts w:ascii="Times New Roman" w:hAnsi="Times New Roman" w:cs="Times New Roman"/>
              <w:color w:val="000000"/>
              <w:sz w:val="24"/>
              <w:szCs w:val="24"/>
              <w:vertAlign w:val="superscript"/>
            </w:rPr>
            <w:t>1</w:t>
          </w:r>
        </w:sdtContent>
      </w:sdt>
      <w:r w:rsidRPr="009209BD">
        <w:rPr>
          <w:rFonts w:ascii="Times New Roman" w:hAnsi="Times New Roman" w:cs="Times New Roman"/>
          <w:sz w:val="24"/>
          <w:szCs w:val="24"/>
        </w:rPr>
        <w:t>, which showed no evidence of violation for any covariate or globally (χ² = 2.245, df = 3, p = 0.52).</w:t>
      </w:r>
      <w:r w:rsidR="00825D50">
        <w:rPr>
          <w:rFonts w:ascii="Times New Roman" w:hAnsi="Times New Roman" w:cs="Times New Roman"/>
          <w:sz w:val="24"/>
          <w:szCs w:val="24"/>
        </w:rPr>
        <w:t xml:space="preserve"> (Table S1)</w:t>
      </w:r>
    </w:p>
    <w:p w14:paraId="225AC8D2" w14:textId="702E0F3D" w:rsidR="00390E9F" w:rsidRPr="009209BD" w:rsidRDefault="00390E9F" w:rsidP="00390E9F">
      <w:pPr>
        <w:pStyle w:val="Heading1"/>
        <w:rPr>
          <w:rFonts w:ascii="Times New Roman" w:hAnsi="Times New Roman" w:cs="Times New Roman"/>
          <w:b w:val="0"/>
          <w:color w:val="auto"/>
          <w:sz w:val="24"/>
          <w:szCs w:val="24"/>
        </w:rPr>
      </w:pPr>
      <w:r w:rsidRPr="009209BD">
        <w:rPr>
          <w:rFonts w:ascii="Times New Roman" w:hAnsi="Times New Roman" w:cs="Times New Roman"/>
          <w:b w:val="0"/>
          <w:color w:val="auto"/>
          <w:sz w:val="24"/>
          <w:szCs w:val="24"/>
        </w:rPr>
        <w:t>Table S1. Sensitivity analysis for loss to follow-up: Incidence estimates and Cox proportional hazards models (Humans)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803"/>
        <w:gridCol w:w="992"/>
        <w:gridCol w:w="1682"/>
        <w:gridCol w:w="1540"/>
        <w:gridCol w:w="1469"/>
        <w:gridCol w:w="1546"/>
      </w:tblGrid>
      <w:tr w:rsidR="00390E9F" w:rsidRPr="009209BD" w14:paraId="76FC9679" w14:textId="77777777" w:rsidTr="006E5E76">
        <w:trPr>
          <w:trHeight w:val="879"/>
        </w:trPr>
        <w:tc>
          <w:tcPr>
            <w:tcW w:w="1319" w:type="dxa"/>
          </w:tcPr>
          <w:p w14:paraId="0FD6DDCF"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Scenario</w:t>
            </w:r>
          </w:p>
        </w:tc>
        <w:tc>
          <w:tcPr>
            <w:tcW w:w="803" w:type="dxa"/>
          </w:tcPr>
          <w:p w14:paraId="4108068C"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Cases</w:t>
            </w:r>
          </w:p>
        </w:tc>
        <w:tc>
          <w:tcPr>
            <w:tcW w:w="992" w:type="dxa"/>
          </w:tcPr>
          <w:p w14:paraId="6BEFF31C"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Person-years</w:t>
            </w:r>
          </w:p>
        </w:tc>
        <w:tc>
          <w:tcPr>
            <w:tcW w:w="1682" w:type="dxa"/>
          </w:tcPr>
          <w:p w14:paraId="6F4E7999"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Incidence Rate (95% CI)</w:t>
            </w:r>
          </w:p>
        </w:tc>
        <w:tc>
          <w:tcPr>
            <w:tcW w:w="1540" w:type="dxa"/>
          </w:tcPr>
          <w:p w14:paraId="309BC94F"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Age HR (95% CI)</w:t>
            </w:r>
          </w:p>
        </w:tc>
        <w:tc>
          <w:tcPr>
            <w:tcW w:w="1469" w:type="dxa"/>
          </w:tcPr>
          <w:p w14:paraId="6386B6BC"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Replacement Area HR (95% CI)</w:t>
            </w:r>
          </w:p>
        </w:tc>
        <w:tc>
          <w:tcPr>
            <w:tcW w:w="1546" w:type="dxa"/>
          </w:tcPr>
          <w:p w14:paraId="421D3EBC"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Presence of New Cases HR (95% CI)</w:t>
            </w:r>
          </w:p>
        </w:tc>
      </w:tr>
      <w:tr w:rsidR="00390E9F" w:rsidRPr="009209BD" w14:paraId="705B4E89" w14:textId="77777777" w:rsidTr="006E5E76">
        <w:trPr>
          <w:trHeight w:val="879"/>
        </w:trPr>
        <w:tc>
          <w:tcPr>
            <w:tcW w:w="1319" w:type="dxa"/>
          </w:tcPr>
          <w:p w14:paraId="53259A8A"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Reference</w:t>
            </w:r>
          </w:p>
        </w:tc>
        <w:tc>
          <w:tcPr>
            <w:tcW w:w="803" w:type="dxa"/>
          </w:tcPr>
          <w:p w14:paraId="64A68044"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25</w:t>
            </w:r>
          </w:p>
        </w:tc>
        <w:tc>
          <w:tcPr>
            <w:tcW w:w="992" w:type="dxa"/>
          </w:tcPr>
          <w:p w14:paraId="62938C44"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340.6</w:t>
            </w:r>
          </w:p>
        </w:tc>
        <w:tc>
          <w:tcPr>
            <w:tcW w:w="1682" w:type="dxa"/>
          </w:tcPr>
          <w:p w14:paraId="5178E531"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0.073 (0.047–0.108)</w:t>
            </w:r>
          </w:p>
        </w:tc>
        <w:tc>
          <w:tcPr>
            <w:tcW w:w="1540" w:type="dxa"/>
          </w:tcPr>
          <w:p w14:paraId="25FD767F"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1.03 (1.01–1.04)</w:t>
            </w:r>
          </w:p>
        </w:tc>
        <w:tc>
          <w:tcPr>
            <w:tcW w:w="1469" w:type="dxa"/>
          </w:tcPr>
          <w:p w14:paraId="07B7BCFB"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3.24 (1.09–9.67)</w:t>
            </w:r>
          </w:p>
        </w:tc>
        <w:tc>
          <w:tcPr>
            <w:tcW w:w="1546" w:type="dxa"/>
          </w:tcPr>
          <w:p w14:paraId="2ED9B0AB"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3.85 (1.14–12.98)</w:t>
            </w:r>
          </w:p>
        </w:tc>
      </w:tr>
      <w:tr w:rsidR="00390E9F" w:rsidRPr="009209BD" w14:paraId="3B54FACC" w14:textId="77777777" w:rsidTr="006E5E76">
        <w:trPr>
          <w:trHeight w:val="879"/>
        </w:trPr>
        <w:tc>
          <w:tcPr>
            <w:tcW w:w="1319" w:type="dxa"/>
          </w:tcPr>
          <w:p w14:paraId="79E0C35E"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Best case*</w:t>
            </w:r>
          </w:p>
        </w:tc>
        <w:tc>
          <w:tcPr>
            <w:tcW w:w="803" w:type="dxa"/>
          </w:tcPr>
          <w:p w14:paraId="3EB3F90A"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25</w:t>
            </w:r>
          </w:p>
        </w:tc>
        <w:tc>
          <w:tcPr>
            <w:tcW w:w="992" w:type="dxa"/>
          </w:tcPr>
          <w:p w14:paraId="1965D345"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392.5</w:t>
            </w:r>
          </w:p>
        </w:tc>
        <w:tc>
          <w:tcPr>
            <w:tcW w:w="1682" w:type="dxa"/>
          </w:tcPr>
          <w:p w14:paraId="7266C159"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0.063 (0.041–0.094)</w:t>
            </w:r>
          </w:p>
        </w:tc>
        <w:tc>
          <w:tcPr>
            <w:tcW w:w="1540" w:type="dxa"/>
          </w:tcPr>
          <w:p w14:paraId="6B1477E1"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1.03 (1.01–1.05)</w:t>
            </w:r>
          </w:p>
        </w:tc>
        <w:tc>
          <w:tcPr>
            <w:tcW w:w="1469" w:type="dxa"/>
          </w:tcPr>
          <w:p w14:paraId="0B47D905"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2.80 (0.95–8.25)</w:t>
            </w:r>
          </w:p>
        </w:tc>
        <w:tc>
          <w:tcPr>
            <w:tcW w:w="1546" w:type="dxa"/>
          </w:tcPr>
          <w:p w14:paraId="5E5D460B"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4.09 (1.21–13.77)</w:t>
            </w:r>
          </w:p>
        </w:tc>
      </w:tr>
      <w:tr w:rsidR="00390E9F" w:rsidRPr="009209BD" w14:paraId="65949CEC" w14:textId="77777777" w:rsidTr="006E5E76">
        <w:trPr>
          <w:trHeight w:val="879"/>
        </w:trPr>
        <w:tc>
          <w:tcPr>
            <w:tcW w:w="1319" w:type="dxa"/>
          </w:tcPr>
          <w:p w14:paraId="4626460A"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Worst case 1**</w:t>
            </w:r>
          </w:p>
        </w:tc>
        <w:tc>
          <w:tcPr>
            <w:tcW w:w="803" w:type="dxa"/>
          </w:tcPr>
          <w:p w14:paraId="4559D6FB"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93</w:t>
            </w:r>
          </w:p>
        </w:tc>
        <w:tc>
          <w:tcPr>
            <w:tcW w:w="992" w:type="dxa"/>
          </w:tcPr>
          <w:p w14:paraId="229943DC"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375.1</w:t>
            </w:r>
          </w:p>
        </w:tc>
        <w:tc>
          <w:tcPr>
            <w:tcW w:w="1682" w:type="dxa"/>
          </w:tcPr>
          <w:p w14:paraId="6CCD1F3E"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0.247 (0.200–0.303)</w:t>
            </w:r>
          </w:p>
        </w:tc>
        <w:tc>
          <w:tcPr>
            <w:tcW w:w="1540" w:type="dxa"/>
          </w:tcPr>
          <w:p w14:paraId="143482F0"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1.00 (0.99–1.01)</w:t>
            </w:r>
          </w:p>
        </w:tc>
        <w:tc>
          <w:tcPr>
            <w:tcW w:w="1469" w:type="dxa"/>
          </w:tcPr>
          <w:p w14:paraId="3D8FFCF1"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2.47 (1.41–4.31)</w:t>
            </w:r>
          </w:p>
        </w:tc>
        <w:tc>
          <w:tcPr>
            <w:tcW w:w="1546" w:type="dxa"/>
          </w:tcPr>
          <w:p w14:paraId="57E77587"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1.67 (0.61–4.57)</w:t>
            </w:r>
          </w:p>
        </w:tc>
      </w:tr>
      <w:tr w:rsidR="00390E9F" w:rsidRPr="009209BD" w14:paraId="1AA218B5" w14:textId="77777777" w:rsidTr="006E5E76">
        <w:trPr>
          <w:trHeight w:val="879"/>
        </w:trPr>
        <w:tc>
          <w:tcPr>
            <w:tcW w:w="1319" w:type="dxa"/>
          </w:tcPr>
          <w:p w14:paraId="1155049F"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Worst case 2***</w:t>
            </w:r>
          </w:p>
        </w:tc>
        <w:tc>
          <w:tcPr>
            <w:tcW w:w="803" w:type="dxa"/>
          </w:tcPr>
          <w:p w14:paraId="059EF70C"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156</w:t>
            </w:r>
          </w:p>
        </w:tc>
        <w:tc>
          <w:tcPr>
            <w:tcW w:w="992" w:type="dxa"/>
          </w:tcPr>
          <w:p w14:paraId="3E782C13"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375.1</w:t>
            </w:r>
          </w:p>
        </w:tc>
        <w:tc>
          <w:tcPr>
            <w:tcW w:w="1682" w:type="dxa"/>
          </w:tcPr>
          <w:p w14:paraId="233FAEE5"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0.415 (0.353–0.489)</w:t>
            </w:r>
          </w:p>
        </w:tc>
        <w:tc>
          <w:tcPr>
            <w:tcW w:w="1540" w:type="dxa"/>
          </w:tcPr>
          <w:p w14:paraId="5D25406F"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0.99 (0.98–1.00)</w:t>
            </w:r>
          </w:p>
        </w:tc>
        <w:tc>
          <w:tcPr>
            <w:tcW w:w="1469" w:type="dxa"/>
          </w:tcPr>
          <w:p w14:paraId="7925D9D5"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3.34 (2.16–5.18)</w:t>
            </w:r>
          </w:p>
        </w:tc>
        <w:tc>
          <w:tcPr>
            <w:tcW w:w="1546" w:type="dxa"/>
          </w:tcPr>
          <w:p w14:paraId="3C22B5B8"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t>1.27 (0.56–2.87)</w:t>
            </w:r>
          </w:p>
        </w:tc>
      </w:tr>
      <w:tr w:rsidR="00390E9F" w:rsidRPr="009209BD" w14:paraId="1C008317" w14:textId="77777777" w:rsidTr="006E5E76">
        <w:trPr>
          <w:trHeight w:val="2087"/>
        </w:trPr>
        <w:tc>
          <w:tcPr>
            <w:tcW w:w="9351" w:type="dxa"/>
            <w:gridSpan w:val="7"/>
          </w:tcPr>
          <w:p w14:paraId="579A8875" w14:textId="77777777" w:rsidR="00390E9F" w:rsidRPr="009209BD" w:rsidRDefault="00390E9F" w:rsidP="001D0B18">
            <w:pPr>
              <w:rPr>
                <w:rFonts w:ascii="Times New Roman" w:hAnsi="Times New Roman" w:cs="Times New Roman"/>
                <w:sz w:val="24"/>
                <w:szCs w:val="24"/>
              </w:rPr>
            </w:pPr>
            <w:r w:rsidRPr="009209BD">
              <w:rPr>
                <w:rFonts w:ascii="Times New Roman" w:hAnsi="Times New Roman" w:cs="Times New Roman"/>
                <w:sz w:val="24"/>
                <w:szCs w:val="24"/>
              </w:rPr>
              <w:lastRenderedPageBreak/>
              <w:t>HR: Hazard Ratio; CI: Confidence Interval.</w:t>
            </w:r>
          </w:p>
          <w:p w14:paraId="5E71CCE4" w14:textId="5D3A575A" w:rsidR="00390E9F" w:rsidRPr="009209BD" w:rsidRDefault="00390E9F" w:rsidP="00390E9F">
            <w:pPr>
              <w:spacing w:line="240" w:lineRule="auto"/>
              <w:rPr>
                <w:rFonts w:ascii="Times New Roman" w:hAnsi="Times New Roman" w:cs="Times New Roman"/>
                <w:sz w:val="24"/>
                <w:szCs w:val="24"/>
              </w:rPr>
            </w:pPr>
            <w:r w:rsidRPr="009209BD">
              <w:rPr>
                <w:rFonts w:ascii="Times New Roman" w:hAnsi="Times New Roman" w:cs="Times New Roman"/>
                <w:sz w:val="24"/>
                <w:szCs w:val="24"/>
              </w:rPr>
              <w:t>Best case</w:t>
            </w:r>
            <w:r w:rsidR="006E5E76">
              <w:rPr>
                <w:rFonts w:ascii="Times New Roman" w:hAnsi="Times New Roman" w:cs="Times New Roman"/>
                <w:sz w:val="24"/>
                <w:szCs w:val="24"/>
              </w:rPr>
              <w:t>*</w:t>
            </w:r>
            <w:r w:rsidRPr="009209BD">
              <w:rPr>
                <w:rFonts w:ascii="Times New Roman" w:hAnsi="Times New Roman" w:cs="Times New Roman"/>
                <w:sz w:val="24"/>
                <w:szCs w:val="24"/>
              </w:rPr>
              <w:t xml:space="preserve"> assumes censored individuals remained uninfected through study completion.</w:t>
            </w:r>
          </w:p>
          <w:p w14:paraId="4ECE1F3E" w14:textId="1F079128" w:rsidR="00390E9F" w:rsidRPr="009209BD" w:rsidRDefault="00390E9F" w:rsidP="00390E9F">
            <w:pPr>
              <w:spacing w:line="240" w:lineRule="auto"/>
              <w:rPr>
                <w:rFonts w:ascii="Times New Roman" w:hAnsi="Times New Roman" w:cs="Times New Roman"/>
                <w:sz w:val="24"/>
                <w:szCs w:val="24"/>
              </w:rPr>
            </w:pPr>
            <w:r w:rsidRPr="009209BD">
              <w:rPr>
                <w:rFonts w:ascii="Times New Roman" w:hAnsi="Times New Roman" w:cs="Times New Roman"/>
                <w:sz w:val="24"/>
                <w:szCs w:val="24"/>
              </w:rPr>
              <w:t>Worst-case 1</w:t>
            </w:r>
            <w:r w:rsidR="00825D50">
              <w:rPr>
                <w:rFonts w:ascii="Times New Roman" w:hAnsi="Times New Roman" w:cs="Times New Roman"/>
                <w:sz w:val="24"/>
                <w:szCs w:val="24"/>
              </w:rPr>
              <w:t>**</w:t>
            </w:r>
            <w:r w:rsidRPr="009209BD">
              <w:rPr>
                <w:rFonts w:ascii="Times New Roman" w:hAnsi="Times New Roman" w:cs="Times New Roman"/>
                <w:sz w:val="24"/>
                <w:szCs w:val="24"/>
              </w:rPr>
              <w:t xml:space="preserve"> assumes 54% infection among censored individuals, based on published regional prevalence</w:t>
            </w:r>
            <w:r w:rsidR="006E5E76">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"/>
                <w:id w:val="-756209014"/>
                <w:placeholder>
                  <w:docPart w:val="DefaultPlaceholder_-1854013440"/>
                </w:placeholder>
              </w:sdtPr>
              <w:sdtEndPr/>
              <w:sdtContent>
                <w:r w:rsidR="006E5E76" w:rsidRPr="006E5E76">
                  <w:rPr>
                    <w:rFonts w:ascii="Times New Roman" w:hAnsi="Times New Roman" w:cs="Times New Roman"/>
                    <w:color w:val="000000"/>
                    <w:sz w:val="24"/>
                    <w:szCs w:val="24"/>
                    <w:vertAlign w:val="superscript"/>
                  </w:rPr>
                  <w:t>2</w:t>
                </w:r>
              </w:sdtContent>
            </w:sdt>
          </w:p>
          <w:p w14:paraId="6B259636" w14:textId="75DB32C0" w:rsidR="00390E9F" w:rsidRPr="009209BD" w:rsidRDefault="00390E9F" w:rsidP="00390E9F">
            <w:pPr>
              <w:spacing w:line="240" w:lineRule="auto"/>
              <w:rPr>
                <w:rFonts w:ascii="Times New Roman" w:hAnsi="Times New Roman" w:cs="Times New Roman"/>
                <w:sz w:val="24"/>
                <w:szCs w:val="24"/>
              </w:rPr>
            </w:pPr>
            <w:r w:rsidRPr="009209BD">
              <w:rPr>
                <w:rFonts w:ascii="Times New Roman" w:hAnsi="Times New Roman" w:cs="Times New Roman"/>
                <w:sz w:val="24"/>
                <w:szCs w:val="24"/>
              </w:rPr>
              <w:t>Worst-case 2</w:t>
            </w:r>
            <w:r w:rsidR="006E5E76">
              <w:rPr>
                <w:rFonts w:ascii="Times New Roman" w:hAnsi="Times New Roman" w:cs="Times New Roman"/>
                <w:sz w:val="24"/>
                <w:szCs w:val="24"/>
              </w:rPr>
              <w:t>***</w:t>
            </w:r>
            <w:r w:rsidRPr="009209BD">
              <w:rPr>
                <w:rFonts w:ascii="Times New Roman" w:hAnsi="Times New Roman" w:cs="Times New Roman"/>
                <w:sz w:val="24"/>
                <w:szCs w:val="24"/>
              </w:rPr>
              <w:t xml:space="preserve"> assumes that all censored individuals became infected after dropout.</w:t>
            </w:r>
          </w:p>
        </w:tc>
      </w:tr>
    </w:tbl>
    <w:p w14:paraId="27C742CF" w14:textId="696C7701" w:rsidR="00390E9F" w:rsidRDefault="00390E9F" w:rsidP="009209BD">
      <w:pPr>
        <w:rPr>
          <w:rFonts w:ascii="Times New Roman" w:hAnsi="Times New Roman" w:cs="Times New Roman"/>
          <w:b/>
          <w:sz w:val="24"/>
          <w:szCs w:val="24"/>
        </w:rPr>
      </w:pPr>
      <w:r w:rsidRPr="009209BD">
        <w:rPr>
          <w:rFonts w:ascii="Times New Roman" w:hAnsi="Times New Roman" w:cs="Times New Roman"/>
          <w:sz w:val="24"/>
          <w:szCs w:val="24"/>
        </w:rPr>
        <w:br/>
      </w:r>
      <w:r w:rsidR="009209BD" w:rsidRPr="009209BD">
        <w:rPr>
          <w:rFonts w:ascii="Times New Roman" w:hAnsi="Times New Roman" w:cs="Times New Roman"/>
          <w:b/>
          <w:sz w:val="24"/>
          <w:szCs w:val="24"/>
        </w:rPr>
        <w:t>Sensitivity analysis for loss to follow-up in livestock</w:t>
      </w:r>
    </w:p>
    <w:p w14:paraId="25EE42D4" w14:textId="7CEF43FC" w:rsidR="00C712C5" w:rsidRDefault="00C712C5" w:rsidP="009209BD">
      <w:pPr>
        <w:rPr>
          <w:rFonts w:ascii="Times New Roman" w:hAnsi="Times New Roman" w:cs="Times New Roman"/>
          <w:sz w:val="24"/>
          <w:szCs w:val="24"/>
        </w:rPr>
      </w:pPr>
      <w:r w:rsidRPr="00C712C5">
        <w:rPr>
          <w:rFonts w:ascii="Times New Roman" w:hAnsi="Times New Roman" w:cs="Times New Roman"/>
          <w:sz w:val="24"/>
          <w:szCs w:val="24"/>
        </w:rPr>
        <w:t xml:space="preserve">A total of 1,872 animals were included in the seroincidence analysis, of which 852 (45.5%) were lost to follow-up: 174 after recruitment, 410 after the first sampling, and 268 after the second sampling. Overall, 998 </w:t>
      </w:r>
      <w:r w:rsidR="002533A0">
        <w:rPr>
          <w:rFonts w:ascii="Times New Roman" w:hAnsi="Times New Roman" w:cs="Times New Roman"/>
          <w:sz w:val="24"/>
          <w:szCs w:val="24"/>
        </w:rPr>
        <w:t>(53.3%)</w:t>
      </w:r>
      <w:r w:rsidR="002533A0" w:rsidRPr="00C712C5">
        <w:rPr>
          <w:rFonts w:ascii="Times New Roman" w:hAnsi="Times New Roman" w:cs="Times New Roman"/>
          <w:sz w:val="24"/>
          <w:szCs w:val="24"/>
        </w:rPr>
        <w:t xml:space="preserve"> animals</w:t>
      </w:r>
      <w:r w:rsidRPr="00C712C5">
        <w:rPr>
          <w:rFonts w:ascii="Times New Roman" w:hAnsi="Times New Roman" w:cs="Times New Roman"/>
          <w:sz w:val="24"/>
          <w:szCs w:val="24"/>
        </w:rPr>
        <w:t xml:space="preserve"> completed follow-up and remained seronegative. Twenty-two incident cases were detected, including eight at the first sampling, seven at the second sampling, and seven at the final sampling.</w:t>
      </w:r>
    </w:p>
    <w:p w14:paraId="7E67DD4F" w14:textId="50D6A120" w:rsidR="009209BD" w:rsidRPr="009209BD" w:rsidRDefault="009209BD" w:rsidP="009209BD">
      <w:pPr>
        <w:rPr>
          <w:rFonts w:ascii="Times New Roman" w:hAnsi="Times New Roman" w:cs="Times New Roman"/>
          <w:sz w:val="24"/>
          <w:szCs w:val="24"/>
        </w:rPr>
      </w:pPr>
      <w:r w:rsidRPr="009209BD">
        <w:rPr>
          <w:rFonts w:ascii="Times New Roman" w:hAnsi="Times New Roman" w:cs="Times New Roman"/>
          <w:sz w:val="24"/>
          <w:szCs w:val="24"/>
        </w:rPr>
        <w:t>Incidence estimates rose substantially only under implausibly conservative assumptions that a large proportion of censored animals became infected immediately after dropout. In contrast, the best-case scenario produced estimates comparable to the reference analysis, suggesting minimal influence under realistic conditions. This pattern indicates that the primary incidence estimates are stable and that attrition is unlikely to have introduced significant bias into the study findings</w:t>
      </w:r>
      <w:r w:rsidR="00825D50">
        <w:rPr>
          <w:rFonts w:ascii="Times New Roman" w:hAnsi="Times New Roman" w:cs="Times New Roman"/>
          <w:sz w:val="24"/>
          <w:szCs w:val="24"/>
        </w:rPr>
        <w:t xml:space="preserve"> (Table S2)</w:t>
      </w:r>
    </w:p>
    <w:p w14:paraId="1C76A188" w14:textId="00DFE0FF" w:rsidR="00105DB4" w:rsidRPr="009209BD" w:rsidRDefault="00CF0EA3">
      <w:pPr>
        <w:pStyle w:val="Heading1"/>
        <w:rPr>
          <w:rFonts w:ascii="Times New Roman" w:hAnsi="Times New Roman" w:cs="Times New Roman"/>
          <w:b w:val="0"/>
          <w:i/>
          <w:color w:val="auto"/>
          <w:sz w:val="24"/>
          <w:szCs w:val="24"/>
        </w:rPr>
      </w:pPr>
      <w:r w:rsidRPr="009209BD">
        <w:rPr>
          <w:rFonts w:ascii="Times New Roman" w:hAnsi="Times New Roman" w:cs="Times New Roman"/>
          <w:b w:val="0"/>
          <w:i/>
          <w:color w:val="auto"/>
          <w:sz w:val="24"/>
          <w:szCs w:val="24"/>
        </w:rPr>
        <w:t>Table S2. Sensitivity analysis for loss to follow-up: Incidence estimates in Livestock</w:t>
      </w: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9"/>
        <w:gridCol w:w="2419"/>
        <w:gridCol w:w="2419"/>
        <w:gridCol w:w="2422"/>
      </w:tblGrid>
      <w:tr w:rsidR="00105DB4" w:rsidRPr="009209BD" w14:paraId="4B79587C" w14:textId="77777777" w:rsidTr="009209BD">
        <w:trPr>
          <w:trHeight w:val="624"/>
        </w:trPr>
        <w:tc>
          <w:tcPr>
            <w:tcW w:w="2419" w:type="dxa"/>
          </w:tcPr>
          <w:p w14:paraId="0E1FAF08" w14:textId="77777777" w:rsidR="00105DB4"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Scenario</w:t>
            </w:r>
          </w:p>
        </w:tc>
        <w:tc>
          <w:tcPr>
            <w:tcW w:w="2419" w:type="dxa"/>
          </w:tcPr>
          <w:p w14:paraId="708A8A77" w14:textId="77777777" w:rsidR="00105DB4"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Events</w:t>
            </w:r>
          </w:p>
        </w:tc>
        <w:tc>
          <w:tcPr>
            <w:tcW w:w="2419" w:type="dxa"/>
          </w:tcPr>
          <w:p w14:paraId="0DEED8CA" w14:textId="77777777" w:rsidR="00105DB4"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Animal-years</w:t>
            </w:r>
          </w:p>
        </w:tc>
        <w:tc>
          <w:tcPr>
            <w:tcW w:w="2422" w:type="dxa"/>
          </w:tcPr>
          <w:p w14:paraId="1EFF840B" w14:textId="77777777" w:rsidR="00105DB4"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Incidence Rate (95% CI)</w:t>
            </w:r>
          </w:p>
        </w:tc>
      </w:tr>
      <w:tr w:rsidR="00105DB4" w:rsidRPr="009209BD" w14:paraId="4583F56C" w14:textId="77777777" w:rsidTr="009209BD">
        <w:trPr>
          <w:trHeight w:val="395"/>
        </w:trPr>
        <w:tc>
          <w:tcPr>
            <w:tcW w:w="2419" w:type="dxa"/>
          </w:tcPr>
          <w:p w14:paraId="0944799F" w14:textId="77777777" w:rsidR="00105DB4"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Reference</w:t>
            </w:r>
          </w:p>
        </w:tc>
        <w:tc>
          <w:tcPr>
            <w:tcW w:w="2419" w:type="dxa"/>
          </w:tcPr>
          <w:p w14:paraId="22FA83CF" w14:textId="77777777" w:rsidR="00105DB4"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22</w:t>
            </w:r>
          </w:p>
        </w:tc>
        <w:tc>
          <w:tcPr>
            <w:tcW w:w="2419" w:type="dxa"/>
          </w:tcPr>
          <w:p w14:paraId="7F9F54C4" w14:textId="77777777" w:rsidR="00105DB4"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1145.8</w:t>
            </w:r>
          </w:p>
        </w:tc>
        <w:tc>
          <w:tcPr>
            <w:tcW w:w="2422" w:type="dxa"/>
          </w:tcPr>
          <w:p w14:paraId="1E83E8BA" w14:textId="77777777" w:rsidR="00105DB4"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0.019 (0.012–0.029)</w:t>
            </w:r>
          </w:p>
        </w:tc>
      </w:tr>
      <w:tr w:rsidR="00105DB4" w:rsidRPr="009209BD" w14:paraId="7654F812" w14:textId="77777777" w:rsidTr="009209BD">
        <w:trPr>
          <w:trHeight w:val="395"/>
        </w:trPr>
        <w:tc>
          <w:tcPr>
            <w:tcW w:w="2419" w:type="dxa"/>
          </w:tcPr>
          <w:p w14:paraId="726AFF81" w14:textId="77777777" w:rsidR="00105DB4"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Best case*</w:t>
            </w:r>
          </w:p>
        </w:tc>
        <w:tc>
          <w:tcPr>
            <w:tcW w:w="2419" w:type="dxa"/>
          </w:tcPr>
          <w:p w14:paraId="0DD8FED0" w14:textId="77777777" w:rsidR="00105DB4"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22</w:t>
            </w:r>
          </w:p>
        </w:tc>
        <w:tc>
          <w:tcPr>
            <w:tcW w:w="2419" w:type="dxa"/>
          </w:tcPr>
          <w:p w14:paraId="58B42A48" w14:textId="77777777" w:rsidR="00105DB4"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1542.9</w:t>
            </w:r>
          </w:p>
        </w:tc>
        <w:tc>
          <w:tcPr>
            <w:tcW w:w="2422" w:type="dxa"/>
          </w:tcPr>
          <w:p w14:paraId="12C6F941" w14:textId="77777777" w:rsidR="00105DB4"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0.014 (0.008–0.021)</w:t>
            </w:r>
          </w:p>
        </w:tc>
      </w:tr>
      <w:tr w:rsidR="00105DB4" w:rsidRPr="009209BD" w14:paraId="640CF5FD" w14:textId="77777777" w:rsidTr="009209BD">
        <w:trPr>
          <w:trHeight w:val="387"/>
        </w:trPr>
        <w:tc>
          <w:tcPr>
            <w:tcW w:w="2419" w:type="dxa"/>
          </w:tcPr>
          <w:p w14:paraId="34BDB2FD" w14:textId="269710F9" w:rsidR="002824E5"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Worst case 1</w:t>
            </w:r>
            <w:r w:rsidR="002824E5" w:rsidRPr="009209BD">
              <w:rPr>
                <w:rFonts w:ascii="Times New Roman" w:hAnsi="Times New Roman" w:cs="Times New Roman"/>
                <w:sz w:val="24"/>
                <w:szCs w:val="24"/>
              </w:rPr>
              <w:t>**</w:t>
            </w:r>
          </w:p>
        </w:tc>
        <w:tc>
          <w:tcPr>
            <w:tcW w:w="2419" w:type="dxa"/>
          </w:tcPr>
          <w:p w14:paraId="6C8875D7" w14:textId="77777777" w:rsidR="00105DB4"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98</w:t>
            </w:r>
          </w:p>
        </w:tc>
        <w:tc>
          <w:tcPr>
            <w:tcW w:w="2419" w:type="dxa"/>
          </w:tcPr>
          <w:p w14:paraId="4A1DA274" w14:textId="77777777" w:rsidR="00105DB4"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1462.2</w:t>
            </w:r>
          </w:p>
        </w:tc>
        <w:tc>
          <w:tcPr>
            <w:tcW w:w="2422" w:type="dxa"/>
          </w:tcPr>
          <w:p w14:paraId="6DEE24F6" w14:textId="77777777" w:rsidR="00105DB4"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0.067 (0.054–0.081)</w:t>
            </w:r>
          </w:p>
        </w:tc>
      </w:tr>
      <w:tr w:rsidR="00105DB4" w:rsidRPr="009209BD" w14:paraId="7ED0CB54" w14:textId="77777777" w:rsidTr="009209BD">
        <w:trPr>
          <w:trHeight w:val="395"/>
        </w:trPr>
        <w:tc>
          <w:tcPr>
            <w:tcW w:w="2419" w:type="dxa"/>
          </w:tcPr>
          <w:p w14:paraId="6045D83B" w14:textId="0A95C4D9" w:rsidR="00105DB4"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Worst case 2</w:t>
            </w:r>
            <w:r w:rsidR="002824E5" w:rsidRPr="009209BD">
              <w:rPr>
                <w:rFonts w:ascii="Times New Roman" w:hAnsi="Times New Roman" w:cs="Times New Roman"/>
                <w:sz w:val="24"/>
                <w:szCs w:val="24"/>
              </w:rPr>
              <w:t>***</w:t>
            </w:r>
          </w:p>
        </w:tc>
        <w:tc>
          <w:tcPr>
            <w:tcW w:w="2419" w:type="dxa"/>
          </w:tcPr>
          <w:p w14:paraId="728529CB" w14:textId="77777777" w:rsidR="00105DB4"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874</w:t>
            </w:r>
          </w:p>
        </w:tc>
        <w:tc>
          <w:tcPr>
            <w:tcW w:w="2419" w:type="dxa"/>
          </w:tcPr>
          <w:p w14:paraId="79A15331" w14:textId="77777777" w:rsidR="00105DB4"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1462.2</w:t>
            </w:r>
          </w:p>
        </w:tc>
        <w:tc>
          <w:tcPr>
            <w:tcW w:w="2422" w:type="dxa"/>
          </w:tcPr>
          <w:p w14:paraId="3D018825" w14:textId="77777777" w:rsidR="00105DB4" w:rsidRPr="009209BD" w:rsidRDefault="00CF0EA3">
            <w:pPr>
              <w:rPr>
                <w:rFonts w:ascii="Times New Roman" w:hAnsi="Times New Roman" w:cs="Times New Roman"/>
                <w:sz w:val="24"/>
                <w:szCs w:val="24"/>
              </w:rPr>
            </w:pPr>
            <w:r w:rsidRPr="009209BD">
              <w:rPr>
                <w:rFonts w:ascii="Times New Roman" w:hAnsi="Times New Roman" w:cs="Times New Roman"/>
                <w:sz w:val="24"/>
                <w:szCs w:val="24"/>
              </w:rPr>
              <w:t>0.597 (0.558–0.638)</w:t>
            </w:r>
          </w:p>
        </w:tc>
      </w:tr>
      <w:tr w:rsidR="002824E5" w:rsidRPr="009209BD" w14:paraId="461200B7" w14:textId="77777777" w:rsidTr="002824E5">
        <w:trPr>
          <w:trHeight w:val="1803"/>
        </w:trPr>
        <w:tc>
          <w:tcPr>
            <w:tcW w:w="9679" w:type="dxa"/>
            <w:gridSpan w:val="4"/>
          </w:tcPr>
          <w:p w14:paraId="7D476C81" w14:textId="7B716D1A" w:rsidR="002824E5" w:rsidRPr="009209BD" w:rsidRDefault="002824E5" w:rsidP="00390E9F">
            <w:pPr>
              <w:spacing w:line="240" w:lineRule="auto"/>
              <w:rPr>
                <w:rFonts w:ascii="Times New Roman" w:hAnsi="Times New Roman" w:cs="Times New Roman"/>
                <w:sz w:val="24"/>
                <w:szCs w:val="24"/>
              </w:rPr>
            </w:pPr>
            <w:r w:rsidRPr="009209BD">
              <w:rPr>
                <w:rFonts w:ascii="Times New Roman" w:hAnsi="Times New Roman" w:cs="Times New Roman"/>
                <w:sz w:val="24"/>
                <w:szCs w:val="24"/>
              </w:rPr>
              <w:t xml:space="preserve"> Best case</w:t>
            </w:r>
            <w:r w:rsidR="006E5E76">
              <w:rPr>
                <w:rFonts w:ascii="Times New Roman" w:hAnsi="Times New Roman" w:cs="Times New Roman"/>
                <w:sz w:val="24"/>
                <w:szCs w:val="24"/>
              </w:rPr>
              <w:t>*</w:t>
            </w:r>
            <w:r w:rsidRPr="009209BD">
              <w:rPr>
                <w:rFonts w:ascii="Times New Roman" w:hAnsi="Times New Roman" w:cs="Times New Roman"/>
                <w:sz w:val="24"/>
                <w:szCs w:val="24"/>
              </w:rPr>
              <w:t xml:space="preserve"> assumes censored animals remained uninfected through study completion.</w:t>
            </w:r>
          </w:p>
          <w:p w14:paraId="381A98C9" w14:textId="38E7C514" w:rsidR="002824E5" w:rsidRPr="009209BD" w:rsidRDefault="002824E5" w:rsidP="00390E9F">
            <w:pPr>
              <w:spacing w:line="240" w:lineRule="auto"/>
              <w:rPr>
                <w:rFonts w:ascii="Times New Roman" w:hAnsi="Times New Roman" w:cs="Times New Roman"/>
                <w:sz w:val="24"/>
                <w:szCs w:val="24"/>
              </w:rPr>
            </w:pPr>
            <w:r w:rsidRPr="009209BD">
              <w:rPr>
                <w:rFonts w:ascii="Times New Roman" w:hAnsi="Times New Roman" w:cs="Times New Roman"/>
                <w:sz w:val="24"/>
                <w:szCs w:val="24"/>
              </w:rPr>
              <w:t xml:space="preserve">Worst case </w:t>
            </w:r>
            <w:r w:rsidR="006E5E76">
              <w:rPr>
                <w:rFonts w:ascii="Times New Roman" w:hAnsi="Times New Roman" w:cs="Times New Roman"/>
                <w:sz w:val="24"/>
                <w:szCs w:val="24"/>
              </w:rPr>
              <w:t>1**</w:t>
            </w:r>
            <w:r w:rsidRPr="009209BD">
              <w:rPr>
                <w:rFonts w:ascii="Times New Roman" w:hAnsi="Times New Roman" w:cs="Times New Roman"/>
                <w:sz w:val="24"/>
                <w:szCs w:val="24"/>
              </w:rPr>
              <w:t xml:space="preserve"> assumes infection among censored animals based on a baseline prevalence of 10.4% </w:t>
            </w:r>
            <w:sdt>
              <w:sdtPr>
                <w:rPr>
                  <w:rFonts w:ascii="Times New Roman" w:hAnsi="Times New Roman" w:cs="Times New Roman"/>
                  <w:color w:val="000000"/>
                  <w:sz w:val="24"/>
                  <w:szCs w:val="24"/>
                  <w:vertAlign w:val="superscript"/>
                </w:rPr>
                <w:tag w:val="MENDELEY_CITATION_v3_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"/>
                <w:id w:val="1563375261"/>
                <w:placeholder>
                  <w:docPart w:val="DefaultPlaceholder_-1854013440"/>
                </w:placeholder>
              </w:sdtPr>
              <w:sdtEndPr/>
              <w:sdtContent>
                <w:r w:rsidR="006E5E76" w:rsidRPr="006E5E76">
                  <w:rPr>
                    <w:rFonts w:ascii="Times New Roman" w:hAnsi="Times New Roman" w:cs="Times New Roman"/>
                    <w:color w:val="000000"/>
                    <w:sz w:val="24"/>
                    <w:szCs w:val="24"/>
                    <w:vertAlign w:val="superscript"/>
                  </w:rPr>
                  <w:t>2</w:t>
                </w:r>
              </w:sdtContent>
            </w:sdt>
          </w:p>
          <w:p w14:paraId="3238BF5C" w14:textId="66B7409E" w:rsidR="002824E5" w:rsidRPr="009209BD" w:rsidRDefault="002824E5" w:rsidP="00390E9F">
            <w:pPr>
              <w:spacing w:line="240" w:lineRule="auto"/>
              <w:rPr>
                <w:rFonts w:ascii="Times New Roman" w:hAnsi="Times New Roman" w:cs="Times New Roman"/>
                <w:sz w:val="24"/>
                <w:szCs w:val="24"/>
              </w:rPr>
            </w:pPr>
            <w:r w:rsidRPr="009209BD">
              <w:rPr>
                <w:rFonts w:ascii="Times New Roman" w:hAnsi="Times New Roman" w:cs="Times New Roman"/>
                <w:sz w:val="24"/>
                <w:szCs w:val="24"/>
              </w:rPr>
              <w:t>Worst-case 2</w:t>
            </w:r>
            <w:r w:rsidR="006E5E76">
              <w:rPr>
                <w:rFonts w:ascii="Times New Roman" w:hAnsi="Times New Roman" w:cs="Times New Roman"/>
                <w:sz w:val="24"/>
                <w:szCs w:val="24"/>
              </w:rPr>
              <w:t>***</w:t>
            </w:r>
            <w:r w:rsidRPr="009209BD">
              <w:rPr>
                <w:rFonts w:ascii="Times New Roman" w:hAnsi="Times New Roman" w:cs="Times New Roman"/>
                <w:sz w:val="24"/>
                <w:szCs w:val="24"/>
              </w:rPr>
              <w:t xml:space="preserve"> assumes that all censored animals became infected after dropout.</w:t>
            </w:r>
          </w:p>
        </w:tc>
      </w:tr>
    </w:tbl>
    <w:p w14:paraId="18067D59" w14:textId="00587617" w:rsidR="002F5F86" w:rsidRPr="009209BD" w:rsidRDefault="00CF0EA3" w:rsidP="002824E5">
      <w:pPr>
        <w:rPr>
          <w:rFonts w:ascii="Times New Roman" w:hAnsi="Times New Roman" w:cs="Times New Roman"/>
          <w:sz w:val="24"/>
          <w:szCs w:val="24"/>
        </w:rPr>
      </w:pPr>
      <w:r w:rsidRPr="009209BD">
        <w:rPr>
          <w:rFonts w:ascii="Times New Roman" w:hAnsi="Times New Roman" w:cs="Times New Roman"/>
          <w:sz w:val="24"/>
          <w:szCs w:val="24"/>
        </w:rPr>
        <w:br/>
      </w:r>
    </w:p>
    <w:p w14:paraId="2FEF0C2B" w14:textId="77777777" w:rsidR="009209BD" w:rsidRPr="009209BD" w:rsidRDefault="009209BD" w:rsidP="002824E5">
      <w:pPr>
        <w:rPr>
          <w:rFonts w:ascii="Times New Roman" w:hAnsi="Times New Roman" w:cs="Times New Roman"/>
          <w:b/>
          <w:sz w:val="24"/>
          <w:szCs w:val="24"/>
        </w:rPr>
      </w:pPr>
      <w:r w:rsidRPr="009209BD">
        <w:rPr>
          <w:rFonts w:ascii="Times New Roman" w:hAnsi="Times New Roman" w:cs="Times New Roman"/>
          <w:b/>
          <w:sz w:val="24"/>
          <w:szCs w:val="24"/>
        </w:rPr>
        <w:lastRenderedPageBreak/>
        <w:t xml:space="preserve">Sensitivity analysis assessing the impact of ELISA test performance </w:t>
      </w:r>
    </w:p>
    <w:p w14:paraId="00F2FC85" w14:textId="039EB228" w:rsidR="009209BD" w:rsidRPr="009209BD" w:rsidRDefault="009209BD" w:rsidP="002824E5">
      <w:pPr>
        <w:rPr>
          <w:rFonts w:ascii="Times New Roman" w:hAnsi="Times New Roman" w:cs="Times New Roman"/>
          <w:sz w:val="24"/>
          <w:szCs w:val="24"/>
        </w:rPr>
      </w:pPr>
      <w:r w:rsidRPr="009209BD">
        <w:rPr>
          <w:rFonts w:ascii="Times New Roman" w:hAnsi="Times New Roman" w:cs="Times New Roman"/>
          <w:sz w:val="24"/>
          <w:szCs w:val="24"/>
        </w:rPr>
        <w:t>Sensitivity analyses incorporating varying assumptions for ELISA sensitivity and specificity produced results largely consistent with the primary model. Increasing age and the presence of incident livestock cases within households remained significantly associated with human seroconversion across all scenarios, indicating robustness to potential outcome misclassification. Although the effect estimates for placenta removal attenuated and lost statistical significance at higher specificity values, the direction of association remained unchanged. Overall, these findings suggest that the main predictors were not materially influenced by diagnostic uncertainty</w:t>
      </w:r>
      <w:r w:rsidRPr="009209BD">
        <w:rPr>
          <w:rFonts w:ascii="Times New Roman" w:hAnsi="Times New Roman" w:cs="Times New Roman"/>
          <w:b/>
          <w:sz w:val="24"/>
          <w:szCs w:val="24"/>
        </w:rPr>
        <w:t xml:space="preserve"> </w:t>
      </w:r>
      <w:r w:rsidRPr="009209BD">
        <w:rPr>
          <w:rFonts w:ascii="Times New Roman" w:hAnsi="Times New Roman" w:cs="Times New Roman"/>
          <w:sz w:val="24"/>
          <w:szCs w:val="24"/>
        </w:rPr>
        <w:t>(</w:t>
      </w:r>
      <w:r w:rsidR="00825D50">
        <w:rPr>
          <w:rFonts w:ascii="Times New Roman" w:hAnsi="Times New Roman" w:cs="Times New Roman"/>
          <w:sz w:val="24"/>
          <w:szCs w:val="24"/>
        </w:rPr>
        <w:t>Table</w:t>
      </w:r>
      <w:r w:rsidRPr="009209BD">
        <w:rPr>
          <w:rFonts w:ascii="Times New Roman" w:hAnsi="Times New Roman" w:cs="Times New Roman"/>
          <w:sz w:val="24"/>
          <w:szCs w:val="24"/>
        </w:rPr>
        <w:t xml:space="preserve"> </w:t>
      </w:r>
      <w:r w:rsidR="00825D50">
        <w:rPr>
          <w:rFonts w:ascii="Times New Roman" w:hAnsi="Times New Roman" w:cs="Times New Roman"/>
          <w:sz w:val="24"/>
          <w:szCs w:val="24"/>
        </w:rPr>
        <w:t>S</w:t>
      </w:r>
      <w:r w:rsidRPr="009209BD">
        <w:rPr>
          <w:rFonts w:ascii="Times New Roman" w:hAnsi="Times New Roman" w:cs="Times New Roman"/>
          <w:sz w:val="24"/>
          <w:szCs w:val="24"/>
        </w:rPr>
        <w:t>3).</w:t>
      </w:r>
    </w:p>
    <w:p w14:paraId="1BA5E359" w14:textId="77777777" w:rsidR="009209BD" w:rsidRPr="009209BD" w:rsidRDefault="009209BD" w:rsidP="002824E5">
      <w:pPr>
        <w:rPr>
          <w:rFonts w:ascii="Times New Roman" w:hAnsi="Times New Roman" w:cs="Times New Roman"/>
          <w:sz w:val="24"/>
          <w:szCs w:val="24"/>
        </w:rPr>
      </w:pPr>
    </w:p>
    <w:p w14:paraId="49F1ADAC" w14:textId="2C775972" w:rsidR="009209BD" w:rsidRPr="006E5E76" w:rsidRDefault="009209BD" w:rsidP="002824E5">
      <w:pPr>
        <w:rPr>
          <w:rFonts w:ascii="Times New Roman" w:hAnsi="Times New Roman" w:cs="Times New Roman"/>
          <w:i/>
          <w:sz w:val="24"/>
          <w:szCs w:val="24"/>
        </w:rPr>
      </w:pPr>
      <w:r w:rsidRPr="006E5E76">
        <w:rPr>
          <w:rFonts w:ascii="Times New Roman" w:hAnsi="Times New Roman" w:cs="Times New Roman"/>
          <w:i/>
          <w:sz w:val="24"/>
          <w:szCs w:val="24"/>
        </w:rPr>
        <w:t xml:space="preserve">Table </w:t>
      </w:r>
      <w:r w:rsidR="006E5E76">
        <w:rPr>
          <w:rFonts w:ascii="Times New Roman" w:hAnsi="Times New Roman" w:cs="Times New Roman"/>
          <w:i/>
          <w:sz w:val="24"/>
          <w:szCs w:val="24"/>
        </w:rPr>
        <w:t>S</w:t>
      </w:r>
      <w:r w:rsidRPr="006E5E76">
        <w:rPr>
          <w:rFonts w:ascii="Times New Roman" w:hAnsi="Times New Roman" w:cs="Times New Roman"/>
          <w:i/>
          <w:sz w:val="24"/>
          <w:szCs w:val="24"/>
        </w:rPr>
        <w:t>3. Sensitivity analysis assessing the impact of ELISA test performance on predictors of human seroconversion</w:t>
      </w:r>
    </w:p>
    <w:tbl>
      <w:tblPr>
        <w:tblW w:w="1034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9"/>
        <w:gridCol w:w="2034"/>
        <w:gridCol w:w="1971"/>
        <w:gridCol w:w="1832"/>
        <w:gridCol w:w="1752"/>
      </w:tblGrid>
      <w:tr w:rsidR="005D4958" w:rsidRPr="005D4958" w14:paraId="120D7B69" w14:textId="77777777" w:rsidTr="006E5E76">
        <w:trPr>
          <w:trHeight w:val="742"/>
        </w:trPr>
        <w:tc>
          <w:tcPr>
            <w:tcW w:w="2759" w:type="dxa"/>
            <w:shd w:val="clear" w:color="auto" w:fill="auto"/>
            <w:noWrap/>
            <w:vAlign w:val="bottom"/>
            <w:hideMark/>
          </w:tcPr>
          <w:p w14:paraId="46F7737B" w14:textId="77777777"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Predictor</w:t>
            </w:r>
          </w:p>
        </w:tc>
        <w:tc>
          <w:tcPr>
            <w:tcW w:w="2034" w:type="dxa"/>
            <w:shd w:val="clear" w:color="auto" w:fill="auto"/>
            <w:noWrap/>
            <w:vAlign w:val="bottom"/>
            <w:hideMark/>
          </w:tcPr>
          <w:p w14:paraId="1E160EC7" w14:textId="77777777"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Primary model HR (95% CI)</w:t>
            </w:r>
          </w:p>
        </w:tc>
        <w:tc>
          <w:tcPr>
            <w:tcW w:w="1971" w:type="dxa"/>
            <w:shd w:val="clear" w:color="auto" w:fill="auto"/>
            <w:noWrap/>
            <w:vAlign w:val="bottom"/>
            <w:hideMark/>
          </w:tcPr>
          <w:p w14:paraId="4F419AA5" w14:textId="77777777"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 xml:space="preserve">Se = 0.95, </w:t>
            </w:r>
            <w:proofErr w:type="spellStart"/>
            <w:r w:rsidRPr="005D4958">
              <w:rPr>
                <w:rFonts w:ascii="Times New Roman" w:eastAsia="Times New Roman" w:hAnsi="Times New Roman" w:cs="Times New Roman"/>
                <w:color w:val="000000"/>
                <w:sz w:val="24"/>
                <w:szCs w:val="24"/>
                <w:lang w:val="en-KE" w:eastAsia="en-KE"/>
              </w:rPr>
              <w:t>Sp</w:t>
            </w:r>
            <w:proofErr w:type="spellEnd"/>
            <w:r w:rsidRPr="005D4958">
              <w:rPr>
                <w:rFonts w:ascii="Times New Roman" w:eastAsia="Times New Roman" w:hAnsi="Times New Roman" w:cs="Times New Roman"/>
                <w:color w:val="000000"/>
                <w:sz w:val="24"/>
                <w:szCs w:val="24"/>
                <w:lang w:val="en-KE" w:eastAsia="en-KE"/>
              </w:rPr>
              <w:t xml:space="preserve"> = 0.91 HR (95% CI)</w:t>
            </w:r>
          </w:p>
        </w:tc>
        <w:tc>
          <w:tcPr>
            <w:tcW w:w="1832" w:type="dxa"/>
            <w:shd w:val="clear" w:color="auto" w:fill="auto"/>
            <w:noWrap/>
            <w:vAlign w:val="bottom"/>
            <w:hideMark/>
          </w:tcPr>
          <w:p w14:paraId="22D6882E" w14:textId="77777777"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 xml:space="preserve">Se = 0.97, </w:t>
            </w:r>
            <w:proofErr w:type="spellStart"/>
            <w:r w:rsidRPr="005D4958">
              <w:rPr>
                <w:rFonts w:ascii="Times New Roman" w:eastAsia="Times New Roman" w:hAnsi="Times New Roman" w:cs="Times New Roman"/>
                <w:color w:val="000000"/>
                <w:sz w:val="24"/>
                <w:szCs w:val="24"/>
                <w:lang w:val="en-KE" w:eastAsia="en-KE"/>
              </w:rPr>
              <w:t>Sp</w:t>
            </w:r>
            <w:proofErr w:type="spellEnd"/>
            <w:r w:rsidRPr="005D4958">
              <w:rPr>
                <w:rFonts w:ascii="Times New Roman" w:eastAsia="Times New Roman" w:hAnsi="Times New Roman" w:cs="Times New Roman"/>
                <w:color w:val="000000"/>
                <w:sz w:val="24"/>
                <w:szCs w:val="24"/>
                <w:lang w:val="en-KE" w:eastAsia="en-KE"/>
              </w:rPr>
              <w:t xml:space="preserve"> = 0.93 HR (95% CI)</w:t>
            </w:r>
          </w:p>
        </w:tc>
        <w:tc>
          <w:tcPr>
            <w:tcW w:w="1752" w:type="dxa"/>
            <w:shd w:val="clear" w:color="auto" w:fill="auto"/>
            <w:noWrap/>
            <w:vAlign w:val="bottom"/>
            <w:hideMark/>
          </w:tcPr>
          <w:p w14:paraId="1B331731" w14:textId="77777777"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 xml:space="preserve">Se = 0.99, </w:t>
            </w:r>
            <w:proofErr w:type="spellStart"/>
            <w:r w:rsidRPr="005D4958">
              <w:rPr>
                <w:rFonts w:ascii="Times New Roman" w:eastAsia="Times New Roman" w:hAnsi="Times New Roman" w:cs="Times New Roman"/>
                <w:color w:val="000000"/>
                <w:sz w:val="24"/>
                <w:szCs w:val="24"/>
                <w:lang w:val="en-KE" w:eastAsia="en-KE"/>
              </w:rPr>
              <w:t>Sp</w:t>
            </w:r>
            <w:proofErr w:type="spellEnd"/>
            <w:r w:rsidRPr="005D4958">
              <w:rPr>
                <w:rFonts w:ascii="Times New Roman" w:eastAsia="Times New Roman" w:hAnsi="Times New Roman" w:cs="Times New Roman"/>
                <w:color w:val="000000"/>
                <w:sz w:val="24"/>
                <w:szCs w:val="24"/>
                <w:lang w:val="en-KE" w:eastAsia="en-KE"/>
              </w:rPr>
              <w:t xml:space="preserve"> = 0.95 HR (95% CI)</w:t>
            </w:r>
          </w:p>
        </w:tc>
      </w:tr>
      <w:tr w:rsidR="005D4958" w:rsidRPr="005D4958" w14:paraId="1DFD409C" w14:textId="77777777" w:rsidTr="006E5E76">
        <w:trPr>
          <w:trHeight w:val="554"/>
        </w:trPr>
        <w:tc>
          <w:tcPr>
            <w:tcW w:w="2759" w:type="dxa"/>
            <w:shd w:val="clear" w:color="auto" w:fill="auto"/>
            <w:noWrap/>
            <w:vAlign w:val="bottom"/>
            <w:hideMark/>
          </w:tcPr>
          <w:p w14:paraId="2A441EFF" w14:textId="77777777"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Age</w:t>
            </w:r>
          </w:p>
        </w:tc>
        <w:tc>
          <w:tcPr>
            <w:tcW w:w="2034" w:type="dxa"/>
            <w:shd w:val="clear" w:color="auto" w:fill="auto"/>
            <w:noWrap/>
            <w:vAlign w:val="bottom"/>
            <w:hideMark/>
          </w:tcPr>
          <w:p w14:paraId="1265EACA" w14:textId="77777777"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1.03 (1.01–1.04)</w:t>
            </w:r>
          </w:p>
        </w:tc>
        <w:tc>
          <w:tcPr>
            <w:tcW w:w="1971" w:type="dxa"/>
            <w:shd w:val="clear" w:color="auto" w:fill="auto"/>
            <w:noWrap/>
            <w:vAlign w:val="bottom"/>
            <w:hideMark/>
          </w:tcPr>
          <w:p w14:paraId="6AED0C2A" w14:textId="77777777"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1.02 (1.01–1.04)</w:t>
            </w:r>
          </w:p>
        </w:tc>
        <w:tc>
          <w:tcPr>
            <w:tcW w:w="1832" w:type="dxa"/>
            <w:shd w:val="clear" w:color="auto" w:fill="auto"/>
            <w:noWrap/>
            <w:vAlign w:val="bottom"/>
            <w:hideMark/>
          </w:tcPr>
          <w:p w14:paraId="22F89DB9" w14:textId="77777777"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1.02 (1.01–1.03)</w:t>
            </w:r>
          </w:p>
        </w:tc>
        <w:tc>
          <w:tcPr>
            <w:tcW w:w="1752" w:type="dxa"/>
            <w:shd w:val="clear" w:color="auto" w:fill="auto"/>
            <w:noWrap/>
            <w:vAlign w:val="bottom"/>
            <w:hideMark/>
          </w:tcPr>
          <w:p w14:paraId="36C77C6D" w14:textId="77777777"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1.02 (1.00–1.03)</w:t>
            </w:r>
          </w:p>
        </w:tc>
      </w:tr>
      <w:tr w:rsidR="005D4958" w:rsidRPr="005D4958" w14:paraId="27A0A0EB" w14:textId="77777777" w:rsidTr="006E5E76">
        <w:trPr>
          <w:trHeight w:val="554"/>
        </w:trPr>
        <w:tc>
          <w:tcPr>
            <w:tcW w:w="2759" w:type="dxa"/>
            <w:shd w:val="clear" w:color="auto" w:fill="auto"/>
            <w:noWrap/>
            <w:vAlign w:val="bottom"/>
            <w:hideMark/>
          </w:tcPr>
          <w:p w14:paraId="17A46070" w14:textId="77777777"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Removal of retained placenta</w:t>
            </w:r>
          </w:p>
        </w:tc>
        <w:tc>
          <w:tcPr>
            <w:tcW w:w="2034" w:type="dxa"/>
            <w:shd w:val="clear" w:color="auto" w:fill="auto"/>
            <w:noWrap/>
            <w:vAlign w:val="bottom"/>
            <w:hideMark/>
          </w:tcPr>
          <w:p w14:paraId="18147245" w14:textId="77777777"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3.32 (1.11–9.91)</w:t>
            </w:r>
          </w:p>
        </w:tc>
        <w:tc>
          <w:tcPr>
            <w:tcW w:w="1971" w:type="dxa"/>
            <w:shd w:val="clear" w:color="auto" w:fill="auto"/>
            <w:noWrap/>
            <w:vAlign w:val="bottom"/>
            <w:hideMark/>
          </w:tcPr>
          <w:p w14:paraId="637082C7" w14:textId="77777777"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1.98 (1.02–3.82)</w:t>
            </w:r>
          </w:p>
        </w:tc>
        <w:tc>
          <w:tcPr>
            <w:tcW w:w="1832" w:type="dxa"/>
            <w:shd w:val="clear" w:color="auto" w:fill="auto"/>
            <w:noWrap/>
            <w:vAlign w:val="bottom"/>
            <w:hideMark/>
          </w:tcPr>
          <w:p w14:paraId="6E55F198" w14:textId="77777777"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1.66 (0.89–3.09)</w:t>
            </w:r>
          </w:p>
        </w:tc>
        <w:tc>
          <w:tcPr>
            <w:tcW w:w="1752" w:type="dxa"/>
            <w:shd w:val="clear" w:color="auto" w:fill="auto"/>
            <w:noWrap/>
            <w:vAlign w:val="bottom"/>
            <w:hideMark/>
          </w:tcPr>
          <w:p w14:paraId="7222443C" w14:textId="77777777"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1.18 (0.60–2.29)</w:t>
            </w:r>
          </w:p>
        </w:tc>
      </w:tr>
      <w:tr w:rsidR="005D4958" w:rsidRPr="005D4958" w14:paraId="3F0F8A03" w14:textId="77777777" w:rsidTr="006E5E76">
        <w:trPr>
          <w:trHeight w:val="554"/>
        </w:trPr>
        <w:tc>
          <w:tcPr>
            <w:tcW w:w="2759" w:type="dxa"/>
            <w:shd w:val="clear" w:color="auto" w:fill="auto"/>
            <w:noWrap/>
            <w:vAlign w:val="bottom"/>
            <w:hideMark/>
          </w:tcPr>
          <w:p w14:paraId="584A193B" w14:textId="2E25578C"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 xml:space="preserve">Incident livestock case within </w:t>
            </w:r>
            <w:r w:rsidR="006E5E76">
              <w:rPr>
                <w:rFonts w:ascii="Times New Roman" w:eastAsia="Times New Roman" w:hAnsi="Times New Roman" w:cs="Times New Roman"/>
                <w:color w:val="000000"/>
                <w:sz w:val="24"/>
                <w:szCs w:val="24"/>
                <w:lang w:val="en-KE" w:eastAsia="en-KE"/>
              </w:rPr>
              <w:t xml:space="preserve">the </w:t>
            </w:r>
            <w:r w:rsidRPr="005D4958">
              <w:rPr>
                <w:rFonts w:ascii="Times New Roman" w:eastAsia="Times New Roman" w:hAnsi="Times New Roman" w:cs="Times New Roman"/>
                <w:color w:val="000000"/>
                <w:sz w:val="24"/>
                <w:szCs w:val="24"/>
                <w:lang w:val="en-KE" w:eastAsia="en-KE"/>
              </w:rPr>
              <w:t>household</w:t>
            </w:r>
          </w:p>
        </w:tc>
        <w:tc>
          <w:tcPr>
            <w:tcW w:w="2034" w:type="dxa"/>
            <w:shd w:val="clear" w:color="auto" w:fill="auto"/>
            <w:noWrap/>
            <w:vAlign w:val="bottom"/>
            <w:hideMark/>
          </w:tcPr>
          <w:p w14:paraId="2DB6DFAD" w14:textId="77777777"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3.97 (1.18–13.41)</w:t>
            </w:r>
          </w:p>
        </w:tc>
        <w:tc>
          <w:tcPr>
            <w:tcW w:w="1971" w:type="dxa"/>
            <w:shd w:val="clear" w:color="auto" w:fill="auto"/>
            <w:noWrap/>
            <w:vAlign w:val="bottom"/>
            <w:hideMark/>
          </w:tcPr>
          <w:p w14:paraId="5BAFB142" w14:textId="77777777"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4.20 (1.67–10.56)</w:t>
            </w:r>
          </w:p>
        </w:tc>
        <w:tc>
          <w:tcPr>
            <w:tcW w:w="1832" w:type="dxa"/>
            <w:shd w:val="clear" w:color="auto" w:fill="auto"/>
            <w:noWrap/>
            <w:vAlign w:val="bottom"/>
            <w:hideMark/>
          </w:tcPr>
          <w:p w14:paraId="7E3020C4" w14:textId="77777777"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4.20 (1.82–9.69)</w:t>
            </w:r>
          </w:p>
        </w:tc>
        <w:tc>
          <w:tcPr>
            <w:tcW w:w="1752" w:type="dxa"/>
            <w:shd w:val="clear" w:color="auto" w:fill="auto"/>
            <w:noWrap/>
            <w:vAlign w:val="bottom"/>
            <w:hideMark/>
          </w:tcPr>
          <w:p w14:paraId="1765FFB5" w14:textId="77777777"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r w:rsidRPr="005D4958">
              <w:rPr>
                <w:rFonts w:ascii="Times New Roman" w:eastAsia="Times New Roman" w:hAnsi="Times New Roman" w:cs="Times New Roman"/>
                <w:color w:val="000000"/>
                <w:sz w:val="24"/>
                <w:szCs w:val="24"/>
                <w:lang w:val="en-KE" w:eastAsia="en-KE"/>
              </w:rPr>
              <w:t>4.13 (1.93–8.87)</w:t>
            </w:r>
          </w:p>
        </w:tc>
      </w:tr>
      <w:tr w:rsidR="005D4958" w:rsidRPr="005D4958" w14:paraId="7B63A3CE" w14:textId="77777777" w:rsidTr="006E5E76">
        <w:trPr>
          <w:trHeight w:val="554"/>
        </w:trPr>
        <w:tc>
          <w:tcPr>
            <w:tcW w:w="10348" w:type="dxa"/>
            <w:gridSpan w:val="5"/>
            <w:shd w:val="clear" w:color="auto" w:fill="auto"/>
            <w:noWrap/>
            <w:vAlign w:val="bottom"/>
          </w:tcPr>
          <w:p w14:paraId="32B8CFA5" w14:textId="048C2FE0" w:rsidR="005D4958" w:rsidRPr="006E5E76" w:rsidRDefault="005D4958" w:rsidP="005D4958">
            <w:pPr>
              <w:spacing w:after="0" w:line="240" w:lineRule="auto"/>
              <w:rPr>
                <w:rFonts w:ascii="Times New Roman" w:eastAsia="Times New Roman" w:hAnsi="Times New Roman" w:cs="Times New Roman"/>
                <w:color w:val="000000"/>
                <w:sz w:val="24"/>
                <w:szCs w:val="24"/>
                <w:lang w:eastAsia="en-KE"/>
              </w:rPr>
            </w:pPr>
            <w:r w:rsidRPr="006E5E76">
              <w:rPr>
                <w:rFonts w:ascii="Times New Roman" w:eastAsia="Times New Roman" w:hAnsi="Times New Roman" w:cs="Times New Roman"/>
                <w:bCs/>
                <w:color w:val="000000"/>
                <w:sz w:val="24"/>
                <w:szCs w:val="24"/>
                <w:lang w:eastAsia="en-KE"/>
              </w:rPr>
              <w:t>HR =</w:t>
            </w:r>
            <w:r w:rsidRPr="006E5E76">
              <w:rPr>
                <w:rFonts w:ascii="Times New Roman" w:eastAsia="Times New Roman" w:hAnsi="Times New Roman" w:cs="Times New Roman"/>
                <w:color w:val="000000"/>
                <w:sz w:val="24"/>
                <w:szCs w:val="24"/>
                <w:lang w:eastAsia="en-KE"/>
              </w:rPr>
              <w:t xml:space="preserve"> </w:t>
            </w:r>
            <w:r w:rsidR="006E5E76" w:rsidRPr="006E5E76">
              <w:rPr>
                <w:rFonts w:ascii="Times New Roman" w:eastAsia="Times New Roman" w:hAnsi="Times New Roman" w:cs="Times New Roman"/>
                <w:color w:val="000000"/>
                <w:sz w:val="24"/>
                <w:szCs w:val="24"/>
                <w:lang w:eastAsia="en-KE"/>
              </w:rPr>
              <w:t>H</w:t>
            </w:r>
            <w:r w:rsidRPr="006E5E76">
              <w:rPr>
                <w:rFonts w:ascii="Times New Roman" w:eastAsia="Times New Roman" w:hAnsi="Times New Roman" w:cs="Times New Roman"/>
                <w:color w:val="000000"/>
                <w:sz w:val="24"/>
                <w:szCs w:val="24"/>
                <w:lang w:eastAsia="en-KE"/>
              </w:rPr>
              <w:t xml:space="preserve">azard </w:t>
            </w:r>
            <w:r w:rsidR="006E5E76" w:rsidRPr="006E5E76">
              <w:rPr>
                <w:rFonts w:ascii="Times New Roman" w:eastAsia="Times New Roman" w:hAnsi="Times New Roman" w:cs="Times New Roman"/>
                <w:color w:val="000000"/>
                <w:sz w:val="24"/>
                <w:szCs w:val="24"/>
                <w:lang w:eastAsia="en-KE"/>
              </w:rPr>
              <w:t>R</w:t>
            </w:r>
            <w:r w:rsidRPr="006E5E76">
              <w:rPr>
                <w:rFonts w:ascii="Times New Roman" w:eastAsia="Times New Roman" w:hAnsi="Times New Roman" w:cs="Times New Roman"/>
                <w:color w:val="000000"/>
                <w:sz w:val="24"/>
                <w:szCs w:val="24"/>
                <w:lang w:eastAsia="en-KE"/>
              </w:rPr>
              <w:t>atio</w:t>
            </w:r>
          </w:p>
          <w:p w14:paraId="5140C914" w14:textId="23F38E29" w:rsidR="005D4958" w:rsidRPr="006E5E76" w:rsidRDefault="005D4958" w:rsidP="005D4958">
            <w:pPr>
              <w:spacing w:after="0" w:line="240" w:lineRule="auto"/>
              <w:rPr>
                <w:rFonts w:ascii="Times New Roman" w:eastAsia="Times New Roman" w:hAnsi="Times New Roman" w:cs="Times New Roman"/>
                <w:color w:val="000000"/>
                <w:sz w:val="24"/>
                <w:szCs w:val="24"/>
                <w:lang w:eastAsia="en-KE"/>
              </w:rPr>
            </w:pPr>
            <w:r w:rsidRPr="006E5E76">
              <w:rPr>
                <w:rFonts w:ascii="Times New Roman" w:eastAsia="Times New Roman" w:hAnsi="Times New Roman" w:cs="Times New Roman"/>
                <w:bCs/>
                <w:color w:val="000000"/>
                <w:sz w:val="24"/>
                <w:szCs w:val="24"/>
                <w:lang w:eastAsia="en-KE"/>
              </w:rPr>
              <w:t xml:space="preserve">CI = </w:t>
            </w:r>
            <w:r w:rsidR="006E5E76" w:rsidRPr="006E5E76">
              <w:rPr>
                <w:rFonts w:ascii="Times New Roman" w:eastAsia="Times New Roman" w:hAnsi="Times New Roman" w:cs="Times New Roman"/>
                <w:bCs/>
                <w:color w:val="000000"/>
                <w:sz w:val="24"/>
                <w:szCs w:val="24"/>
                <w:lang w:eastAsia="en-KE"/>
              </w:rPr>
              <w:t>C</w:t>
            </w:r>
            <w:r w:rsidRPr="006E5E76">
              <w:rPr>
                <w:rFonts w:ascii="Times New Roman" w:eastAsia="Times New Roman" w:hAnsi="Times New Roman" w:cs="Times New Roman"/>
                <w:color w:val="000000"/>
                <w:sz w:val="24"/>
                <w:szCs w:val="24"/>
                <w:lang w:eastAsia="en-KE"/>
              </w:rPr>
              <w:t xml:space="preserve">onfidence </w:t>
            </w:r>
            <w:r w:rsidR="006E5E76" w:rsidRPr="006E5E76">
              <w:rPr>
                <w:rFonts w:ascii="Times New Roman" w:eastAsia="Times New Roman" w:hAnsi="Times New Roman" w:cs="Times New Roman"/>
                <w:color w:val="000000"/>
                <w:sz w:val="24"/>
                <w:szCs w:val="24"/>
                <w:lang w:eastAsia="en-KE"/>
              </w:rPr>
              <w:t>I</w:t>
            </w:r>
            <w:r w:rsidRPr="006E5E76">
              <w:rPr>
                <w:rFonts w:ascii="Times New Roman" w:eastAsia="Times New Roman" w:hAnsi="Times New Roman" w:cs="Times New Roman"/>
                <w:color w:val="000000"/>
                <w:sz w:val="24"/>
                <w:szCs w:val="24"/>
                <w:lang w:eastAsia="en-KE"/>
              </w:rPr>
              <w:t>nterval</w:t>
            </w:r>
          </w:p>
          <w:p w14:paraId="31084049" w14:textId="3A8113C3" w:rsidR="005D4958" w:rsidRPr="006E5E76" w:rsidRDefault="005D4958" w:rsidP="005D4958">
            <w:pPr>
              <w:spacing w:after="0" w:line="240" w:lineRule="auto"/>
              <w:rPr>
                <w:rFonts w:ascii="Times New Roman" w:eastAsia="Times New Roman" w:hAnsi="Times New Roman" w:cs="Times New Roman"/>
                <w:color w:val="000000"/>
                <w:sz w:val="24"/>
                <w:szCs w:val="24"/>
                <w:lang w:eastAsia="en-KE"/>
              </w:rPr>
            </w:pPr>
            <w:r w:rsidRPr="006E5E76">
              <w:rPr>
                <w:rFonts w:ascii="Times New Roman" w:eastAsia="Times New Roman" w:hAnsi="Times New Roman" w:cs="Times New Roman"/>
                <w:bCs/>
                <w:color w:val="000000"/>
                <w:sz w:val="24"/>
                <w:szCs w:val="24"/>
                <w:lang w:eastAsia="en-KE"/>
              </w:rPr>
              <w:t xml:space="preserve">Se = </w:t>
            </w:r>
            <w:r w:rsidR="006E5E76" w:rsidRPr="006E5E76">
              <w:rPr>
                <w:rFonts w:ascii="Times New Roman" w:eastAsia="Times New Roman" w:hAnsi="Times New Roman" w:cs="Times New Roman"/>
                <w:bCs/>
                <w:color w:val="000000"/>
                <w:sz w:val="24"/>
                <w:szCs w:val="24"/>
                <w:lang w:eastAsia="en-KE"/>
              </w:rPr>
              <w:t>S</w:t>
            </w:r>
            <w:r w:rsidRPr="006E5E76">
              <w:rPr>
                <w:rFonts w:ascii="Times New Roman" w:eastAsia="Times New Roman" w:hAnsi="Times New Roman" w:cs="Times New Roman"/>
                <w:color w:val="000000"/>
                <w:sz w:val="24"/>
                <w:szCs w:val="24"/>
                <w:lang w:eastAsia="en-KE"/>
              </w:rPr>
              <w:t>ensitivity</w:t>
            </w:r>
          </w:p>
          <w:p w14:paraId="18366F97" w14:textId="1BB76536" w:rsidR="005D4958" w:rsidRPr="005D4958" w:rsidRDefault="005D4958" w:rsidP="005D4958">
            <w:pPr>
              <w:spacing w:after="0" w:line="240" w:lineRule="auto"/>
              <w:rPr>
                <w:rFonts w:ascii="Times New Roman" w:eastAsia="Times New Roman" w:hAnsi="Times New Roman" w:cs="Times New Roman"/>
                <w:color w:val="000000"/>
                <w:sz w:val="24"/>
                <w:szCs w:val="24"/>
                <w:lang w:val="en-KE" w:eastAsia="en-KE"/>
              </w:rPr>
            </w:pPr>
            <w:proofErr w:type="spellStart"/>
            <w:r w:rsidRPr="006E5E76">
              <w:rPr>
                <w:rFonts w:ascii="Times New Roman" w:eastAsia="Times New Roman" w:hAnsi="Times New Roman" w:cs="Times New Roman"/>
                <w:bCs/>
                <w:color w:val="000000"/>
                <w:sz w:val="24"/>
                <w:szCs w:val="24"/>
                <w:lang w:eastAsia="en-KE"/>
              </w:rPr>
              <w:t>Sp</w:t>
            </w:r>
            <w:proofErr w:type="spellEnd"/>
            <w:r w:rsidRPr="006E5E76">
              <w:rPr>
                <w:rFonts w:ascii="Times New Roman" w:eastAsia="Times New Roman" w:hAnsi="Times New Roman" w:cs="Times New Roman"/>
                <w:bCs/>
                <w:color w:val="000000"/>
                <w:sz w:val="24"/>
                <w:szCs w:val="24"/>
                <w:lang w:eastAsia="en-KE"/>
              </w:rPr>
              <w:t xml:space="preserve"> = </w:t>
            </w:r>
            <w:r w:rsidR="006E5E76" w:rsidRPr="006E5E76">
              <w:rPr>
                <w:rFonts w:ascii="Times New Roman" w:eastAsia="Times New Roman" w:hAnsi="Times New Roman" w:cs="Times New Roman"/>
                <w:bCs/>
                <w:color w:val="000000"/>
                <w:sz w:val="24"/>
                <w:szCs w:val="24"/>
                <w:lang w:eastAsia="en-KE"/>
              </w:rPr>
              <w:t>S</w:t>
            </w:r>
            <w:r w:rsidRPr="006E5E76">
              <w:rPr>
                <w:rFonts w:ascii="Times New Roman" w:eastAsia="Times New Roman" w:hAnsi="Times New Roman" w:cs="Times New Roman"/>
                <w:color w:val="000000"/>
                <w:sz w:val="24"/>
                <w:szCs w:val="24"/>
                <w:lang w:eastAsia="en-KE"/>
              </w:rPr>
              <w:t>pecificity.</w:t>
            </w:r>
          </w:p>
        </w:tc>
      </w:tr>
    </w:tbl>
    <w:p w14:paraId="43D985A0" w14:textId="77777777" w:rsidR="009209BD" w:rsidRPr="009209BD" w:rsidRDefault="009209BD" w:rsidP="002824E5">
      <w:pPr>
        <w:rPr>
          <w:rFonts w:ascii="Times New Roman" w:hAnsi="Times New Roman" w:cs="Times New Roman"/>
          <w:sz w:val="24"/>
          <w:szCs w:val="24"/>
        </w:rPr>
      </w:pPr>
    </w:p>
    <w:p w14:paraId="1A172AFE" w14:textId="4781D216" w:rsidR="009209BD" w:rsidRDefault="006E5E76" w:rsidP="002824E5">
      <w:pPr>
        <w:rPr>
          <w:rFonts w:ascii="Times New Roman" w:hAnsi="Times New Roman" w:cs="Times New Roman"/>
          <w:b/>
          <w:sz w:val="24"/>
          <w:szCs w:val="24"/>
        </w:rPr>
      </w:pPr>
      <w:r>
        <w:rPr>
          <w:rFonts w:ascii="Times New Roman" w:hAnsi="Times New Roman" w:cs="Times New Roman"/>
          <w:b/>
          <w:sz w:val="24"/>
          <w:szCs w:val="24"/>
        </w:rPr>
        <w:t>References</w:t>
      </w:r>
    </w:p>
    <w:sdt>
      <w:sdtPr>
        <w:rPr>
          <w:rFonts w:ascii="Times New Roman" w:hAnsi="Times New Roman" w:cs="Times New Roman"/>
          <w:b/>
          <w:color w:val="000000"/>
          <w:sz w:val="24"/>
          <w:szCs w:val="24"/>
        </w:rPr>
        <w:tag w:val="MENDELEY_BIBLIOGRAPHY"/>
        <w:id w:val="712933134"/>
        <w:placeholder>
          <w:docPart w:val="DefaultPlaceholder_-1854013440"/>
        </w:placeholder>
      </w:sdtPr>
      <w:sdtEndPr/>
      <w:sdtContent>
        <w:p w14:paraId="12877873" w14:textId="77777777" w:rsidR="006E5E76" w:rsidRPr="006E5E76" w:rsidRDefault="006E5E76">
          <w:pPr>
            <w:autoSpaceDE w:val="0"/>
            <w:autoSpaceDN w:val="0"/>
            <w:ind w:hanging="640"/>
            <w:divId w:val="1151940816"/>
            <w:rPr>
              <w:rFonts w:ascii="Times New Roman" w:eastAsia="Times New Roman" w:hAnsi="Times New Roman" w:cs="Times New Roman"/>
              <w:color w:val="000000"/>
              <w:sz w:val="24"/>
              <w:szCs w:val="24"/>
            </w:rPr>
          </w:pPr>
          <w:r w:rsidRPr="006E5E76">
            <w:rPr>
              <w:rFonts w:ascii="Times New Roman" w:eastAsia="Times New Roman" w:hAnsi="Times New Roman" w:cs="Times New Roman"/>
              <w:b/>
              <w:color w:val="000000"/>
              <w:sz w:val="24"/>
            </w:rPr>
            <w:t>1.</w:t>
          </w:r>
          <w:r w:rsidRPr="006E5E76">
            <w:rPr>
              <w:rFonts w:ascii="Times New Roman" w:eastAsia="Times New Roman" w:hAnsi="Times New Roman" w:cs="Times New Roman"/>
              <w:b/>
              <w:color w:val="000000"/>
              <w:sz w:val="24"/>
            </w:rPr>
            <w:tab/>
          </w:r>
          <w:r w:rsidRPr="006E5E76">
            <w:rPr>
              <w:rFonts w:ascii="Times New Roman" w:eastAsia="Times New Roman" w:hAnsi="Times New Roman" w:cs="Times New Roman"/>
              <w:color w:val="000000"/>
              <w:sz w:val="24"/>
            </w:rPr>
            <w:t xml:space="preserve">Schoenfeld, D. Partial residuals for the proportional </w:t>
          </w:r>
          <w:proofErr w:type="gramStart"/>
          <w:r w:rsidRPr="006E5E76">
            <w:rPr>
              <w:rFonts w:ascii="Times New Roman" w:eastAsia="Times New Roman" w:hAnsi="Times New Roman" w:cs="Times New Roman"/>
              <w:color w:val="000000"/>
              <w:sz w:val="24"/>
            </w:rPr>
            <w:t>hazards</w:t>
          </w:r>
          <w:proofErr w:type="gramEnd"/>
          <w:r w:rsidRPr="006E5E76">
            <w:rPr>
              <w:rFonts w:ascii="Times New Roman" w:eastAsia="Times New Roman" w:hAnsi="Times New Roman" w:cs="Times New Roman"/>
              <w:color w:val="000000"/>
              <w:sz w:val="24"/>
            </w:rPr>
            <w:t xml:space="preserve"> regression model. </w:t>
          </w:r>
          <w:proofErr w:type="spellStart"/>
          <w:r w:rsidRPr="006E5E76">
            <w:rPr>
              <w:rFonts w:ascii="Times New Roman" w:eastAsia="Times New Roman" w:hAnsi="Times New Roman" w:cs="Times New Roman"/>
              <w:i/>
              <w:iCs/>
              <w:color w:val="000000"/>
              <w:sz w:val="24"/>
            </w:rPr>
            <w:t>Biometrika</w:t>
          </w:r>
          <w:proofErr w:type="spellEnd"/>
          <w:r w:rsidRPr="006E5E76">
            <w:rPr>
              <w:rFonts w:ascii="Times New Roman" w:eastAsia="Times New Roman" w:hAnsi="Times New Roman" w:cs="Times New Roman"/>
              <w:color w:val="000000"/>
              <w:sz w:val="24"/>
            </w:rPr>
            <w:t xml:space="preserve"> </w:t>
          </w:r>
          <w:r w:rsidRPr="006E5E76">
            <w:rPr>
              <w:rFonts w:ascii="Times New Roman" w:eastAsia="Times New Roman" w:hAnsi="Times New Roman" w:cs="Times New Roman"/>
              <w:bCs/>
              <w:color w:val="000000"/>
              <w:sz w:val="24"/>
            </w:rPr>
            <w:t>69</w:t>
          </w:r>
          <w:r w:rsidRPr="006E5E76">
            <w:rPr>
              <w:rFonts w:ascii="Times New Roman" w:eastAsia="Times New Roman" w:hAnsi="Times New Roman" w:cs="Times New Roman"/>
              <w:color w:val="000000"/>
              <w:sz w:val="24"/>
            </w:rPr>
            <w:t>, 239–241 (1982).</w:t>
          </w:r>
        </w:p>
        <w:p w14:paraId="72248F1E" w14:textId="77777777" w:rsidR="006E5E76" w:rsidRPr="006E5E76" w:rsidRDefault="006E5E76">
          <w:pPr>
            <w:autoSpaceDE w:val="0"/>
            <w:autoSpaceDN w:val="0"/>
            <w:ind w:hanging="640"/>
            <w:divId w:val="588002809"/>
            <w:rPr>
              <w:rFonts w:ascii="Times New Roman" w:eastAsia="Times New Roman" w:hAnsi="Times New Roman" w:cs="Times New Roman"/>
              <w:color w:val="000000"/>
              <w:sz w:val="24"/>
            </w:rPr>
          </w:pPr>
          <w:r w:rsidRPr="006E5E76">
            <w:rPr>
              <w:rFonts w:ascii="Times New Roman" w:eastAsia="Times New Roman" w:hAnsi="Times New Roman" w:cs="Times New Roman"/>
              <w:color w:val="000000"/>
              <w:sz w:val="24"/>
            </w:rPr>
            <w:t>2.</w:t>
          </w:r>
          <w:r w:rsidRPr="006E5E76">
            <w:rPr>
              <w:rFonts w:ascii="Times New Roman" w:eastAsia="Times New Roman" w:hAnsi="Times New Roman" w:cs="Times New Roman"/>
              <w:color w:val="000000"/>
              <w:sz w:val="24"/>
            </w:rPr>
            <w:tab/>
            <w:t xml:space="preserve">Mwatondo, A. </w:t>
          </w:r>
          <w:r w:rsidRPr="006E5E76">
            <w:rPr>
              <w:rFonts w:ascii="Times New Roman" w:eastAsia="Times New Roman" w:hAnsi="Times New Roman" w:cs="Times New Roman"/>
              <w:i/>
              <w:iCs/>
              <w:color w:val="000000"/>
              <w:sz w:val="24"/>
            </w:rPr>
            <w:t>et al.</w:t>
          </w:r>
          <w:r w:rsidRPr="006E5E76">
            <w:rPr>
              <w:rFonts w:ascii="Times New Roman" w:eastAsia="Times New Roman" w:hAnsi="Times New Roman" w:cs="Times New Roman"/>
              <w:color w:val="000000"/>
              <w:sz w:val="24"/>
            </w:rPr>
            <w:t xml:space="preserve"> Seroprevalence and related risk factors of Brucella spp. in livestock and humans in </w:t>
          </w:r>
          <w:proofErr w:type="spellStart"/>
          <w:r w:rsidRPr="006E5E76">
            <w:rPr>
              <w:rFonts w:ascii="Times New Roman" w:eastAsia="Times New Roman" w:hAnsi="Times New Roman" w:cs="Times New Roman"/>
              <w:color w:val="000000"/>
              <w:sz w:val="24"/>
            </w:rPr>
            <w:t>Garbatula</w:t>
          </w:r>
          <w:proofErr w:type="spellEnd"/>
          <w:r w:rsidRPr="006E5E76">
            <w:rPr>
              <w:rFonts w:ascii="Times New Roman" w:eastAsia="Times New Roman" w:hAnsi="Times New Roman" w:cs="Times New Roman"/>
              <w:color w:val="000000"/>
              <w:sz w:val="24"/>
            </w:rPr>
            <w:t xml:space="preserve"> subcounty, Isiolo county, Kenya. </w:t>
          </w:r>
          <w:proofErr w:type="spellStart"/>
          <w:r w:rsidRPr="006E5E76">
            <w:rPr>
              <w:rFonts w:ascii="Times New Roman" w:eastAsia="Times New Roman" w:hAnsi="Times New Roman" w:cs="Times New Roman"/>
              <w:i/>
              <w:iCs/>
              <w:color w:val="000000"/>
              <w:sz w:val="24"/>
            </w:rPr>
            <w:t>PLoS</w:t>
          </w:r>
          <w:proofErr w:type="spellEnd"/>
          <w:r w:rsidRPr="006E5E76">
            <w:rPr>
              <w:rFonts w:ascii="Times New Roman" w:eastAsia="Times New Roman" w:hAnsi="Times New Roman" w:cs="Times New Roman"/>
              <w:i/>
              <w:iCs/>
              <w:color w:val="000000"/>
              <w:sz w:val="24"/>
            </w:rPr>
            <w:t xml:space="preserve"> </w:t>
          </w:r>
          <w:proofErr w:type="spellStart"/>
          <w:r w:rsidRPr="006E5E76">
            <w:rPr>
              <w:rFonts w:ascii="Times New Roman" w:eastAsia="Times New Roman" w:hAnsi="Times New Roman" w:cs="Times New Roman"/>
              <w:i/>
              <w:iCs/>
              <w:color w:val="000000"/>
              <w:sz w:val="24"/>
            </w:rPr>
            <w:t>Negl</w:t>
          </w:r>
          <w:proofErr w:type="spellEnd"/>
          <w:r w:rsidRPr="006E5E76">
            <w:rPr>
              <w:rFonts w:ascii="Times New Roman" w:eastAsia="Times New Roman" w:hAnsi="Times New Roman" w:cs="Times New Roman"/>
              <w:i/>
              <w:iCs/>
              <w:color w:val="000000"/>
              <w:sz w:val="24"/>
            </w:rPr>
            <w:t>. Trop. Dis.</w:t>
          </w:r>
          <w:r w:rsidRPr="006E5E76">
            <w:rPr>
              <w:rFonts w:ascii="Times New Roman" w:eastAsia="Times New Roman" w:hAnsi="Times New Roman" w:cs="Times New Roman"/>
              <w:color w:val="000000"/>
              <w:sz w:val="24"/>
            </w:rPr>
            <w:t xml:space="preserve"> </w:t>
          </w:r>
          <w:r w:rsidRPr="006E5E76">
            <w:rPr>
              <w:rFonts w:ascii="Times New Roman" w:eastAsia="Times New Roman" w:hAnsi="Times New Roman" w:cs="Times New Roman"/>
              <w:bCs/>
              <w:color w:val="000000"/>
              <w:sz w:val="24"/>
            </w:rPr>
            <w:t>17</w:t>
          </w:r>
          <w:r w:rsidRPr="006E5E76">
            <w:rPr>
              <w:rFonts w:ascii="Times New Roman" w:eastAsia="Times New Roman" w:hAnsi="Times New Roman" w:cs="Times New Roman"/>
              <w:color w:val="000000"/>
              <w:sz w:val="24"/>
            </w:rPr>
            <w:t>, e0011682 (2023).</w:t>
          </w:r>
        </w:p>
        <w:p w14:paraId="5A656D5B" w14:textId="7F936CB4" w:rsidR="006E5E76" w:rsidRPr="009209BD" w:rsidRDefault="006E5E76" w:rsidP="002824E5">
          <w:pPr>
            <w:rPr>
              <w:rFonts w:ascii="Times New Roman" w:hAnsi="Times New Roman" w:cs="Times New Roman"/>
              <w:b/>
              <w:sz w:val="24"/>
              <w:szCs w:val="24"/>
            </w:rPr>
          </w:pPr>
          <w:r w:rsidRPr="006E5E76">
            <w:rPr>
              <w:rFonts w:ascii="Times New Roman" w:eastAsia="Times New Roman" w:hAnsi="Times New Roman" w:cs="Times New Roman"/>
              <w:b/>
              <w:color w:val="000000"/>
              <w:sz w:val="24"/>
            </w:rPr>
            <w:t> </w:t>
          </w:r>
        </w:p>
      </w:sdtContent>
    </w:sdt>
    <w:sectPr w:rsidR="006E5E76" w:rsidRPr="009209BD" w:rsidSect="005D495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6143BCA"/>
    <w:multiLevelType w:val="hybridMultilevel"/>
    <w:tmpl w:val="D96463A4"/>
    <w:lvl w:ilvl="0" w:tplc="33D600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3625F3"/>
    <w:multiLevelType w:val="multilevel"/>
    <w:tmpl w:val="3E9E8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5DB4"/>
    <w:rsid w:val="0015074B"/>
    <w:rsid w:val="001F0E55"/>
    <w:rsid w:val="00237589"/>
    <w:rsid w:val="002533A0"/>
    <w:rsid w:val="002824E5"/>
    <w:rsid w:val="0029639D"/>
    <w:rsid w:val="002A1F9D"/>
    <w:rsid w:val="002F5F86"/>
    <w:rsid w:val="00326F90"/>
    <w:rsid w:val="00390E9F"/>
    <w:rsid w:val="00516DB3"/>
    <w:rsid w:val="005D4958"/>
    <w:rsid w:val="006E5E76"/>
    <w:rsid w:val="007A41A0"/>
    <w:rsid w:val="00825D50"/>
    <w:rsid w:val="009209BD"/>
    <w:rsid w:val="00930049"/>
    <w:rsid w:val="00AA1D8D"/>
    <w:rsid w:val="00B47730"/>
    <w:rsid w:val="00BD2686"/>
    <w:rsid w:val="00C712C5"/>
    <w:rsid w:val="00CB0664"/>
    <w:rsid w:val="00CF0EA3"/>
    <w:rsid w:val="00DF4EE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FDD4D7"/>
  <w14:defaultImageDpi w14:val="300"/>
  <w15:docId w15:val="{8D146BC3-9221-4D58-BEA9-5BB9FCEFE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6E5E76"/>
    <w:rPr>
      <w:color w:val="808080"/>
    </w:rPr>
  </w:style>
  <w:style w:type="paragraph" w:styleId="NormalWeb">
    <w:name w:val="Normal (Web)"/>
    <w:basedOn w:val="Normal"/>
    <w:uiPriority w:val="99"/>
    <w:semiHidden/>
    <w:unhideWhenUsed/>
    <w:rsid w:val="001F0E55"/>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281119">
      <w:bodyDiv w:val="1"/>
      <w:marLeft w:val="0"/>
      <w:marRight w:val="0"/>
      <w:marTop w:val="0"/>
      <w:marBottom w:val="0"/>
      <w:divBdr>
        <w:top w:val="none" w:sz="0" w:space="0" w:color="auto"/>
        <w:left w:val="none" w:sz="0" w:space="0" w:color="auto"/>
        <w:bottom w:val="none" w:sz="0" w:space="0" w:color="auto"/>
        <w:right w:val="none" w:sz="0" w:space="0" w:color="auto"/>
      </w:divBdr>
    </w:div>
    <w:div w:id="330330298">
      <w:bodyDiv w:val="1"/>
      <w:marLeft w:val="0"/>
      <w:marRight w:val="0"/>
      <w:marTop w:val="0"/>
      <w:marBottom w:val="0"/>
      <w:divBdr>
        <w:top w:val="none" w:sz="0" w:space="0" w:color="auto"/>
        <w:left w:val="none" w:sz="0" w:space="0" w:color="auto"/>
        <w:bottom w:val="none" w:sz="0" w:space="0" w:color="auto"/>
        <w:right w:val="none" w:sz="0" w:space="0" w:color="auto"/>
      </w:divBdr>
    </w:div>
    <w:div w:id="375468496">
      <w:bodyDiv w:val="1"/>
      <w:marLeft w:val="0"/>
      <w:marRight w:val="0"/>
      <w:marTop w:val="0"/>
      <w:marBottom w:val="0"/>
      <w:divBdr>
        <w:top w:val="none" w:sz="0" w:space="0" w:color="auto"/>
        <w:left w:val="none" w:sz="0" w:space="0" w:color="auto"/>
        <w:bottom w:val="none" w:sz="0" w:space="0" w:color="auto"/>
        <w:right w:val="none" w:sz="0" w:space="0" w:color="auto"/>
      </w:divBdr>
      <w:divsChild>
        <w:div w:id="1151940816">
          <w:marLeft w:val="640"/>
          <w:marRight w:val="0"/>
          <w:marTop w:val="0"/>
          <w:marBottom w:val="0"/>
          <w:divBdr>
            <w:top w:val="none" w:sz="0" w:space="0" w:color="auto"/>
            <w:left w:val="none" w:sz="0" w:space="0" w:color="auto"/>
            <w:bottom w:val="none" w:sz="0" w:space="0" w:color="auto"/>
            <w:right w:val="none" w:sz="0" w:space="0" w:color="auto"/>
          </w:divBdr>
        </w:div>
        <w:div w:id="588002809">
          <w:marLeft w:val="640"/>
          <w:marRight w:val="0"/>
          <w:marTop w:val="0"/>
          <w:marBottom w:val="0"/>
          <w:divBdr>
            <w:top w:val="none" w:sz="0" w:space="0" w:color="auto"/>
            <w:left w:val="none" w:sz="0" w:space="0" w:color="auto"/>
            <w:bottom w:val="none" w:sz="0" w:space="0" w:color="auto"/>
            <w:right w:val="none" w:sz="0" w:space="0" w:color="auto"/>
          </w:divBdr>
        </w:div>
      </w:divsChild>
    </w:div>
    <w:div w:id="623729397">
      <w:bodyDiv w:val="1"/>
      <w:marLeft w:val="0"/>
      <w:marRight w:val="0"/>
      <w:marTop w:val="0"/>
      <w:marBottom w:val="0"/>
      <w:divBdr>
        <w:top w:val="none" w:sz="0" w:space="0" w:color="auto"/>
        <w:left w:val="none" w:sz="0" w:space="0" w:color="auto"/>
        <w:bottom w:val="none" w:sz="0" w:space="0" w:color="auto"/>
        <w:right w:val="none" w:sz="0" w:space="0" w:color="auto"/>
      </w:divBdr>
    </w:div>
    <w:div w:id="8008042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EEBFD1DC-2420-459E-AC5D-EE1395678CF9}"/>
      </w:docPartPr>
      <w:docPartBody>
        <w:p w:rsidR="006466B5" w:rsidRDefault="00715E7F">
          <w:r w:rsidRPr="00743C8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E7F"/>
    <w:rsid w:val="006466B5"/>
    <w:rsid w:val="00715E7F"/>
    <w:rsid w:val="00755370"/>
    <w:rsid w:val="00F51117"/>
    <w:rsid w:val="00F53F3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KE" w:eastAsia="en-K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5E7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043879-AAC3-462B-839C-2C9ADBBF77FA}">
  <we:reference id="wa104382081" version="1.55.1.0" store="en-US" storeType="OMEX"/>
  <we:alternateReferences>
    <we:reference id="wa104382081" version="1.55.1.0" store="en-US" storeType="OMEX"/>
  </we:alternateReferences>
  <we:properties>
    <we:property name="MENDELEY_CITATIONS" value="[{&quot;citationID&quot;:&quot;MENDELEY_CITATION_817175b2-b2a9-4fdb-92ea-2134f985734c&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&quot;,&quot;citationItems&quot;:[{&quot;id&quot;:&quot;3b2f00d3-f45c-3256-a8bf-ad90c1c64c73&quot;,&quot;itemData&quot;:{&quot;type&quot;:&quot;article-journal&quot;,&quot;id&quot;:&quot;3b2f00d3-f45c-3256-a8bf-ad90c1c64c73&quot;,&quot;title&quot;:&quot;Partial residuals for the proportional hazards regression model&quot;,&quot;author&quot;:[{&quot;family&quot;:&quot;Schoenfeld&quot;,&quot;given&quot;:&quot;David&quot;,&quot;parse-names&quot;:false,&quot;dropping-particle&quot;:&quot;&quot;,&quot;non-dropping-particle&quot;:&quot;&quot;}],&quot;container-title&quot;:&quot;Biometrika&quot;,&quot;container-title-short&quot;:&quot;Biometrika&quot;,&quot;accessed&quot;:{&quot;date-parts&quot;:[[2026,2,8]]},&quot;DOI&quot;:&quot;10.1093/biomet/69.1.239&quot;,&quot;ISSN&quot;:&quot;00063444&quot;,&quot;URL&quot;:&quot;https://dx.doi.org/10.1093/biomet/69.1.239&quot;,&quot;issued&quot;:{&quot;date-parts&quot;:[[1982,4,1]]},&quot;page&quot;:&quot;239-241&quot;,&quot;abstract&quot;:&quot;Residuals are defined for the proportional hazards regression model introduced by Cox (1972). These residuals can be plotted against time to test the proportional hazards assumption. Histograms of these residuals can be used to examine fit and detect outlying covariate values. © 1982 Biometrika Trust.&quot;,&quot;publisher&quot;:&quot;Oxford Academic&quot;,&quot;issue&quot;:&quot;1&quot;,&quot;volume&quot;:&quot;69&quot;},&quot;isTemporary&quot;:false}]},{&quot;citationID&quot;:&quot;MENDELEY_CITATION_2eaf034a-0696-4f9f-af5e-ecf37edd2b4b&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&quot;,&quot;citationItems&quot;:[{&quot;id&quot;:&quot;0ee6e826-73c1-369f-84ea-030613fec509&quot;,&quot;itemData&quot;:{&quot;type&quot;:&quot;article-journal&quot;,&quot;id&quot;:&quot;0ee6e826-73c1-369f-84ea-030613fec509&quot;,&quot;title&quot;:&quot;Seroprevalence and related risk factors of Brucella spp. in livestock and humans in Garbatula subcounty, Isiolo county, Kenya&quot;,&quot;author&quot;:[{&quot;family&quot;:&quot;Mwatondo&quot;,&quot;given&quot;:&quot;Athman&quot;,&quot;parse-names&quot;:false,&quot;dropping-particle&quot;:&quot;&quot;,&quot;non-dropping-particle&quot;:&quot;&quot;},{&quot;family&quot;:&quot;Muturi&quot;,&quot;given&quot;:&quot;Mathew&quot;,&quot;parse-names&quot;:false,&quot;dropping-particle&quot;:&quot;&quot;,&quot;non-dropping-particle&quot;:&quot;&quot;},{&quot;family&quot;:&quot;Akoko&quot;,&quot;given&quot;:&quot;James&quot;,&quot;parse-names&quot;:false,&quot;dropping-particle&quot;:&quot;&quot;,&quot;non-dropping-particle&quot;:&quot;&quot;},{&quot;family&quot;:&quot;Nyamota&quot;,&quot;given&quot;:&quot;Richard&quot;,&quot;parse-names&quot;:false,&quot;dropping-particle&quot;:&quot;&quot;,&quot;non-dropping-particle&quot;:&quot;&quot;},{&quot;family&quot;:&quot;Nthiwa&quot;,&quot;given&quot;:&quot;Daniel&quot;,&quot;parse-names&quot;:false,&quot;dropping-particle&quot;:&quot;&quot;,&quot;non-dropping-particle&quot;:&quot;&quot;},{&quot;family&quot;:&quot;Maina&quot;,&quot;given&quot;:&quot;Josphat&quot;,&quot;parse-names&quot;:false,&quot;dropping-particle&quot;:&quot;&quot;,&quot;non-dropping-particle&quot;:&quot;&quot;},{&quot;family&quot;:&quot;Omolo&quot;,&quot;given&quot;:&quot;Jack&quot;,&quot;parse-names&quot;:false,&quot;dropping-particle&quot;:&quot;&quot;,&quot;non-dropping-particle&quot;:&quot;&quot;},{&quot;family&quot;:&quot;Gichuhi&quot;,&quot;given&quot;:&quot;Stephen&quot;,&quot;parse-names&quot;:false,&quot;dropping-particle&quot;:&quot;&quot;,&quot;non-dropping-particle&quot;:&quot;&quot;},{&quot;family&quot;:&quot;Mureithi&quot;,&quot;given&quot;:&quot;Marianne W.&quot;,&quot;parse-names&quot;:false,&quot;dropping-particle&quot;:&quot;&quot;,&quot;non-dropping-particle&quot;:&quot;&quot;},{&quot;family&quot;:&quot;Bett&quot;,&quot;given&quot;:&quot;Bernard&quot;,&quot;parse-names&quot;:false,&quot;dropping-particle&quot;:&quot;&quot;,&quot;non-dropping-particle&quot;:&quot;&quot;}],&quot;container-title&quot;:&quot;PLOS Neglected Tropical Diseases&quot;,&quot;container-title-short&quot;:&quot;PLoS Negl. Trop. Dis.&quot;,&quot;accessed&quot;:{&quot;date-parts&quot;:[[2024,11,25]]},&quot;DOI&quot;:&quot;10.1371/JOURNAL.PNTD.0011682&quot;,&quot;ISSN&quot;:&quot;1935-2735&quot;,&quot;PMID&quot;:&quot;37844102&quot;,&quot;URL&quot;:&quot;https://journals.plos.org/plosntds/article?id=10.1371/journal.pntd.0011682&quot;,&quot;issued&quot;:{&quot;date-parts&quot;:[[2023,10,1]]},&quot;page&quot;:&quot;e0011682&quot;,&quot;abstract&quot;:&quot;Background Brucellosis is a neglected zoonotic disease that affects both animals and humans, causing debilitating illness in humans and socio-economic losses in livestock-keeping households globally. The disease is endemic in many developing countries, including Kenya, but measures to prevent and control the disease are often inadequate among high-risk populations. This study aimed to investigate the human and livestock seroprevalence of brucellosis and associated risk factors of Brucella spp. in a pastoralist region of northern Kenya.   Methods A cross-sectional survey was conducted using a two-stage cluster sampling method to select households, livestock, and humans for sampling. Blood samples were collected from 683 humans and 2157 animals, and Brucella immunoglobulin G (IgG) antibodies were detected using enzyme-linked immunosorbent assays. A structured questionnaire was used to collect data on potential risk factors associated with human and animal exposures. Risk factors associated with Brucella spp. exposures in humans and livestock were identified using Multivariate logistic regression.   Results The results indicated an overall livestock Brucella spp. seroprevalence of 10.4% (95% Confidence Interval (CI): 9.2–11.7). Camels had the highest exposure rates at 19.6% (95% CI: 12.4–27.3), followed by goats at 13.2% (95% CI: 9.3–17.1), cattle at 13.1% (95% CI: 11.1–15.3) and sheep at 5.4% (95% CI: 4.0–6.9). The herd-level seroprevalence was 51.7% (95% CI: 47.9–55.7). Adult animals (Adjusted Odds Ratio (aOR) = 2.3, CI: 1.3–4.0), female animals (aOR = 1.7, CI: 1.1–2.6), and large herd sizes (aOR = 2.3, CI: 1.3–4.0) were significantly associated with anti-brucella antibody detection while sheep had significantly lower odds of Brucella spp. exposure compared to cattle (aOR = 1.3, CI: 0.8–2.1) and camels (aOR = 2.4, CI: 1.2–4.8). Human individual and household seroprevalences were 54.0% (95% CI: 50.2–58.0) and 86.4% (95% CI: 84.0–89.0), respectively. Significant risk factors associated with human seropositivity included being male (aOR = 2.1, CI:1.3–3.2), residing in Sericho ward (aOR = 1.6, CI:1.1–2.5) and having no formal education (aOR = 3.0, CI:1.5–5.9). There was a strong correlation between human seropositivity and herd exposure (aOR = 1.6, CI:1.2–2.3).   Conclusions The study provides evidence of high human and livestock exposures to Brucella spp. and identifies important risk factors associated with disease spread. These findings emphasize the need for targeted prevention and control measures to curb the spread of brucellosis and implement a One Health surveillance to ensure early detection of the disease in Isiolo County, Northern Kenya.&quot;,&quot;publisher&quot;:&quot;Public Library of Science&quot;,&quot;issue&quot;:&quot;10&quot;,&quot;volume&quot;:&quot;17&quot;},&quot;isTemporary&quot;:false}]},{&quot;citationID&quot;:&quot;MENDELEY_CITATION_f42df1be-364d-4cdf-a3c1-00260bf5e0cd&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&quot;,&quot;citationItems&quot;:[{&quot;id&quot;:&quot;0ee6e826-73c1-369f-84ea-030613fec509&quot;,&quot;itemData&quot;:{&quot;type&quot;:&quot;article-journal&quot;,&quot;id&quot;:&quot;0ee6e826-73c1-369f-84ea-030613fec509&quot;,&quot;title&quot;:&quot;Seroprevalence and related risk factors of Brucella spp. in livestock and humans in Garbatula subcounty, Isiolo county, Kenya&quot;,&quot;author&quot;:[{&quot;family&quot;:&quot;Mwatondo&quot;,&quot;given&quot;:&quot;Athman&quot;,&quot;parse-names&quot;:false,&quot;dropping-particle&quot;:&quot;&quot;,&quot;non-dropping-particle&quot;:&quot;&quot;},{&quot;family&quot;:&quot;Muturi&quot;,&quot;given&quot;:&quot;Mathew&quot;,&quot;parse-names&quot;:false,&quot;dropping-particle&quot;:&quot;&quot;,&quot;non-dropping-particle&quot;:&quot;&quot;},{&quot;family&quot;:&quot;Akoko&quot;,&quot;given&quot;:&quot;James&quot;,&quot;parse-names&quot;:false,&quot;dropping-particle&quot;:&quot;&quot;,&quot;non-dropping-particle&quot;:&quot;&quot;},{&quot;family&quot;:&quot;Nyamota&quot;,&quot;given&quot;:&quot;Richard&quot;,&quot;parse-names&quot;:false,&quot;dropping-particle&quot;:&quot;&quot;,&quot;non-dropping-particle&quot;:&quot;&quot;},{&quot;family&quot;:&quot;Nthiwa&quot;,&quot;given&quot;:&quot;Daniel&quot;,&quot;parse-names&quot;:false,&quot;dropping-particle&quot;:&quot;&quot;,&quot;non-dropping-particle&quot;:&quot;&quot;},{&quot;family&quot;:&quot;Maina&quot;,&quot;given&quot;:&quot;Josphat&quot;,&quot;parse-names&quot;:false,&quot;dropping-particle&quot;:&quot;&quot;,&quot;non-dropping-particle&quot;:&quot;&quot;},{&quot;family&quot;:&quot;Omolo&quot;,&quot;given&quot;:&quot;Jack&quot;,&quot;parse-names&quot;:false,&quot;dropping-particle&quot;:&quot;&quot;,&quot;non-dropping-particle&quot;:&quot;&quot;},{&quot;family&quot;:&quot;Gichuhi&quot;,&quot;given&quot;:&quot;Stephen&quot;,&quot;parse-names&quot;:false,&quot;dropping-particle&quot;:&quot;&quot;,&quot;non-dropping-particle&quot;:&quot;&quot;},{&quot;family&quot;:&quot;Mureithi&quot;,&quot;given&quot;:&quot;Marianne W.&quot;,&quot;parse-names&quot;:false,&quot;dropping-particle&quot;:&quot;&quot;,&quot;non-dropping-particle&quot;:&quot;&quot;},{&quot;family&quot;:&quot;Bett&quot;,&quot;given&quot;:&quot;Bernard&quot;,&quot;parse-names&quot;:false,&quot;dropping-particle&quot;:&quot;&quot;,&quot;non-dropping-particle&quot;:&quot;&quot;}],&quot;container-title&quot;:&quot;PLOS Neglected Tropical Diseases&quot;,&quot;container-title-short&quot;:&quot;PLoS Negl. Trop. Dis.&quot;,&quot;accessed&quot;:{&quot;date-parts&quot;:[[2024,11,25]]},&quot;DOI&quot;:&quot;10.1371/JOURNAL.PNTD.0011682&quot;,&quot;ISSN&quot;:&quot;1935-2735&quot;,&quot;PMID&quot;:&quot;37844102&quot;,&quot;URL&quot;:&quot;https://journals.plos.org/plosntds/article?id=10.1371/journal.pntd.0011682&quot;,&quot;issued&quot;:{&quot;date-parts&quot;:[[2023,10,1]]},&quot;page&quot;:&quot;e0011682&quot;,&quot;abstract&quot;:&quot;Background Brucellosis is a neglected zoonotic disease that affects both animals and humans, causing debilitating illness in humans and socio-economic losses in livestock-keeping households globally. The disease is endemic in many developing countries, including Kenya, but measures to prevent and control the disease are often inadequate among high-risk populations. This study aimed to investigate the human and livestock seroprevalence of brucellosis and associated risk factors of Brucella spp. in a pastoralist region of northern Kenya.   Methods A cross-sectional survey was conducted using a two-stage cluster sampling method to select households, livestock, and humans for sampling. Blood samples were collected from 683 humans and 2157 animals, and Brucella immunoglobulin G (IgG) antibodies were detected using enzyme-linked immunosorbent assays. A structured questionnaire was used to collect data on potential risk factors associated with human and animal exposures. Risk factors associated with Brucella spp. exposures in humans and livestock were identified using Multivariate logistic regression.   Results The results indicated an overall livestock Brucella spp. seroprevalence of 10.4% (95% Confidence Interval (CI): 9.2–11.7). Camels had the highest exposure rates at 19.6% (95% CI: 12.4–27.3), followed by goats at 13.2% (95% CI: 9.3–17.1), cattle at 13.1% (95% CI: 11.1–15.3) and sheep at 5.4% (95% CI: 4.0–6.9). The herd-level seroprevalence was 51.7% (95% CI: 47.9–55.7). Adult animals (Adjusted Odds Ratio (aOR) = 2.3, CI: 1.3–4.0), female animals (aOR = 1.7, CI: 1.1–2.6), and large herd sizes (aOR = 2.3, CI: 1.3–4.0) were significantly associated with anti-brucella antibody detection while sheep had significantly lower odds of Brucella spp. exposure compared to cattle (aOR = 1.3, CI: 0.8–2.1) and camels (aOR = 2.4, CI: 1.2–4.8). Human individual and household seroprevalences were 54.0% (95% CI: 50.2–58.0) and 86.4% (95% CI: 84.0–89.0), respectively. Significant risk factors associated with human seropositivity included being male (aOR = 2.1, CI:1.3–3.2), residing in Sericho ward (aOR = 1.6, CI:1.1–2.5) and having no formal education (aOR = 3.0, CI:1.5–5.9). There was a strong correlation between human seropositivity and herd exposure (aOR = 1.6, CI:1.2–2.3).   Conclusions The study provides evidence of high human and livestock exposures to Brucella spp. and identifies important risk factors associated with disease spread. These findings emphasize the need for targeted prevention and control measures to curb the spread of brucellosis and implement a One Health surveillance to ensure early detection of the disease in Isiolo County, Northern Kenya.&quot;,&quot;publisher&quot;:&quot;Public Library of Science&quot;,&quot;issue&quot;:&quot;10&quot;,&quot;volume&quot;:&quot;17&quot;},&quot;isTemporary&quot;:false}]}]"/>
    <we:property name="MENDELEY_CITATIONS_STYLE" value="{&quot;id&quot;:&quot;https://www.zotero.org/styles/nature&quot;,&quot;title&quot;:&quot;Nature&quot;,&quot;format&quot;:&quot;numeric&quot;,&quot;defaultLocale&quot;:&quot;en-GB&quot;,&quot;isLocaleCodeValid&quot;:true}"/>
    <we:property name="MENDELEY_CITATIONS_LOCALE_CODE" value="&quot;en-GB&quot;"/>
    <we:property name="MENDELEY_BIBLIOGRAPHY_IS_DIRTY" value="false"/>
    <we:property name="MENDELEY_BIBLIOGRAPHY_LAST_MODIFIED" value="1770562341400"/>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26194-2C7F-46BA-AF14-6F57D1DC2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Pages>
  <Words>817</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Athman Mwatondo</cp:lastModifiedBy>
  <cp:revision>8</cp:revision>
  <dcterms:created xsi:type="dcterms:W3CDTF">2026-02-05T09:46:00Z</dcterms:created>
  <dcterms:modified xsi:type="dcterms:W3CDTF">2026-02-09T08:19:00Z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1e8079c2-c040-4158-b3e7-b98d20289f39</vt:lpwstr>
  </property>
</Properties>
</file>