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5CC74">
      <w:pPr>
        <w:jc w:val="center"/>
        <w:rPr>
          <w:rFonts w:ascii="Times New Roman" w:hAnsi="Times New Roman" w:cs="Times New Roman"/>
          <w:b/>
          <w:bCs/>
          <w:sz w:val="32"/>
          <w:szCs w:val="36"/>
        </w:rPr>
      </w:pPr>
      <w:r>
        <w:rPr>
          <w:rFonts w:ascii="Times New Roman" w:hAnsi="Times New Roman" w:cs="Times New Roman"/>
          <w:b/>
          <w:bCs/>
          <w:sz w:val="32"/>
          <w:szCs w:val="36"/>
        </w:rPr>
        <w:t>Supplementary Materials</w:t>
      </w:r>
    </w:p>
    <w:p w14:paraId="00959940">
      <w:pPr>
        <w:rPr>
          <w:rFonts w:hint="eastAsia" w:ascii="Times New Roman" w:hAnsi="Times New Roman" w:cs="Times New Roman"/>
          <w:b/>
          <w:bCs/>
          <w:sz w:val="24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Table S1 intratumor radiomics features and their weights screened by elastic-logistic</w:t>
      </w:r>
    </w:p>
    <w:tbl>
      <w:tblPr>
        <w:tblW w:w="61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4192"/>
        <w:gridCol w:w="1962"/>
      </w:tblGrid>
      <w:tr w14:paraId="7859E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419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/>
            <w:noWrap/>
            <w:vAlign w:val="center"/>
          </w:tcPr>
          <w:p w14:paraId="65D3A6BE">
            <w:pPr>
              <w:snapToGrid w:val="0"/>
              <w:jc w:val="center"/>
              <w:rPr>
                <w:rFonts w:hint="eastAsia" w:ascii="Times New Roman" w:hAnsi="Times New Roman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0"/>
                <w:szCs w:val="20"/>
                <w:lang w:val="en-US" w:eastAsia="zh-CN"/>
              </w:rPr>
              <w:t>Features</w:t>
            </w:r>
          </w:p>
        </w:tc>
        <w:tc>
          <w:tcPr>
            <w:tcW w:w="196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/>
            <w:noWrap/>
            <w:vAlign w:val="center"/>
          </w:tcPr>
          <w:p w14:paraId="537444C9">
            <w:pPr>
              <w:snapToGrid w:val="0"/>
              <w:jc w:val="center"/>
              <w:rPr>
                <w:rFonts w:hint="eastAsia" w:ascii="Times New Roman" w:hAnsi="Times New Roman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0"/>
                <w:szCs w:val="20"/>
                <w:lang w:val="en-US" w:eastAsia="zh-CN"/>
              </w:rPr>
              <w:t>Coefficient</w:t>
            </w:r>
          </w:p>
        </w:tc>
      </w:tr>
      <w:tr w14:paraId="1F37D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D32E39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Perit.4_wavelet.HLL_firstorder_Skewness</w:t>
            </w:r>
          </w:p>
        </w:tc>
        <w:tc>
          <w:tcPr>
            <w:tcW w:w="196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BED99D7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-0.385381652</w:t>
            </w:r>
          </w:p>
        </w:tc>
      </w:tr>
      <w:tr w14:paraId="5B2A6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28B35B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Perit.4_squareroot_ngtdm_Strength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53ABE6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-0.236739944</w:t>
            </w:r>
          </w:p>
        </w:tc>
      </w:tr>
      <w:tr w14:paraId="7993A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A2371B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Perit.4_wavelet.LLH_firstorder_Median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CE0F07D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-0.213784608</w:t>
            </w:r>
          </w:p>
        </w:tc>
      </w:tr>
      <w:tr w14:paraId="7125C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00818EE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Perit.4_square_glcm_MaximumProbability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69CD91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-0.099169164</w:t>
            </w:r>
          </w:p>
        </w:tc>
      </w:tr>
      <w:tr w14:paraId="068C0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D6D4EF2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Perit.4_wavelet.LHL_glcm_Imc1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E7ECF7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-0.075639514</w:t>
            </w:r>
          </w:p>
        </w:tc>
      </w:tr>
      <w:tr w14:paraId="497FA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D702BBC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Perit.4_wavelet.HLL_firstorder_Mean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B1D4F00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0.112972077461954</w:t>
            </w:r>
          </w:p>
        </w:tc>
      </w:tr>
      <w:tr w14:paraId="089F6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ECEE81C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Perit.4_wavelet.HLL_glszm_ZoneEntropy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EF4D8E3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0.241328985117491</w:t>
            </w:r>
          </w:p>
        </w:tc>
      </w:tr>
      <w:tr w14:paraId="0C9D4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37CA8A2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Perit.4_wavelet.LHL_glcm_Idmn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5517071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0.311076225339001</w:t>
            </w:r>
          </w:p>
        </w:tc>
      </w:tr>
      <w:tr w14:paraId="6FC93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60AFFE1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Perit.4_wavelet.HLL_glcm_ClusterShade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D5DCDC8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0.329446026180256</w:t>
            </w:r>
          </w:p>
        </w:tc>
      </w:tr>
      <w:tr w14:paraId="48E49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4133110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Perit.4_wavelet.LHH_glcm_ClusterShade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71F5A8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0.393625452622759</w:t>
            </w:r>
          </w:p>
        </w:tc>
      </w:tr>
      <w:tr w14:paraId="30B81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FC82D7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Perit.4_wavelet.HLH_glcm_Imc1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4BAC668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0.49321897723929</w:t>
            </w:r>
          </w:p>
        </w:tc>
      </w:tr>
      <w:tr w14:paraId="25A55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/>
            <w:vAlign w:val="center"/>
          </w:tcPr>
          <w:p w14:paraId="62F6904B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Perit.4_wavelet.HLH_glcm_ClusterShade</w:t>
            </w:r>
          </w:p>
        </w:tc>
        <w:tc>
          <w:tcPr>
            <w:tcW w:w="196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/>
            <w:vAlign w:val="center"/>
          </w:tcPr>
          <w:p w14:paraId="32784A8B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0.546104989593012</w:t>
            </w:r>
          </w:p>
        </w:tc>
      </w:tr>
    </w:tbl>
    <w:p w14:paraId="785EAED9">
      <w:pPr>
        <w:jc w:val="both"/>
        <w:rPr>
          <w:rFonts w:ascii="Times New Roman" w:hAnsi="Times New Roman" w:cs="Times New Roman"/>
          <w:b/>
          <w:bCs/>
          <w:sz w:val="24"/>
        </w:rPr>
      </w:pPr>
    </w:p>
    <w:p w14:paraId="714E4C9A">
      <w:pPr>
        <w:jc w:val="both"/>
        <w:rPr>
          <w:rFonts w:ascii="Times New Roman" w:hAnsi="Times New Roman" w:cs="Times New Roman"/>
          <w:b/>
          <w:bCs/>
          <w:sz w:val="24"/>
        </w:rPr>
      </w:pPr>
    </w:p>
    <w:p w14:paraId="43637A76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Table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S2</w:t>
      </w:r>
      <w:r>
        <w:rPr>
          <w:rFonts w:ascii="Times New Roman" w:hAnsi="Times New Roman" w:cs="Times New Roman"/>
          <w:b/>
          <w:bCs/>
          <w:sz w:val="24"/>
        </w:rPr>
        <w:t xml:space="preserve"> intratumoral fusion with a peritumoral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4</w:t>
      </w:r>
      <w:r>
        <w:rPr>
          <w:rFonts w:ascii="Times New Roman" w:hAnsi="Times New Roman" w:cs="Times New Roman"/>
          <w:b/>
          <w:bCs/>
          <w:sz w:val="24"/>
        </w:rPr>
        <w:t>mm radiomics features and their weights screened by elastic-logistic</w:t>
      </w:r>
    </w:p>
    <w:tbl>
      <w:tblPr>
        <w:tblW w:w="62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4192"/>
        <w:gridCol w:w="2062"/>
      </w:tblGrid>
      <w:tr w14:paraId="21EEA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419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/>
            <w:noWrap/>
            <w:vAlign w:val="center"/>
          </w:tcPr>
          <w:p w14:paraId="37C020E8">
            <w:pPr>
              <w:snapToGrid w:val="0"/>
              <w:jc w:val="center"/>
              <w:rPr>
                <w:rFonts w:hint="eastAsia" w:ascii="Times New Roman" w:hAnsi="Times New Roman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0"/>
                <w:szCs w:val="20"/>
                <w:lang w:val="en-US" w:eastAsia="zh-CN"/>
              </w:rPr>
              <w:t>Features</w:t>
            </w:r>
          </w:p>
        </w:tc>
        <w:tc>
          <w:tcPr>
            <w:tcW w:w="2062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/>
            <w:noWrap/>
            <w:vAlign w:val="center"/>
          </w:tcPr>
          <w:p w14:paraId="64597CE4">
            <w:pPr>
              <w:snapToGrid w:val="0"/>
              <w:jc w:val="center"/>
              <w:rPr>
                <w:rFonts w:hint="eastAsia" w:ascii="Times New Roman" w:hAnsi="Times New Roman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0"/>
                <w:szCs w:val="20"/>
                <w:lang w:val="en-US" w:eastAsia="zh-CN"/>
              </w:rPr>
              <w:t>Coefficient</w:t>
            </w:r>
          </w:p>
        </w:tc>
      </w:tr>
      <w:tr w14:paraId="19187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1185144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wavelet.LLL_glcm_JointEnergy</w:t>
            </w:r>
          </w:p>
        </w:tc>
        <w:tc>
          <w:tcPr>
            <w:tcW w:w="206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6F00B0E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-0.194651922</w:t>
            </w:r>
          </w:p>
        </w:tc>
      </w:tr>
      <w:tr w14:paraId="60336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CACE6F1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wavelet.LHL_firstorder_Mean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8E8F5C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-0.152368604</w:t>
            </w:r>
          </w:p>
        </w:tc>
      </w:tr>
      <w:tr w14:paraId="25372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B41202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wavelet.HHL_glcm_MCC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4E13A94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-0.104933102</w:t>
            </w:r>
          </w:p>
        </w:tc>
      </w:tr>
      <w:tr w14:paraId="2C4D1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F10066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square_gldm_LargeDependenceHighGrayLevelEmphasis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459050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-0.09555102</w:t>
            </w:r>
          </w:p>
        </w:tc>
      </w:tr>
      <w:tr w14:paraId="542EE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17A18B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Perit.4_square_glcm_MaximumProbability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E62296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-0.092928626</w:t>
            </w:r>
          </w:p>
        </w:tc>
      </w:tr>
      <w:tr w14:paraId="1BF7D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6885CC3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wavelet.HLL_glcm_MCC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AA2B75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-0.067780397</w:t>
            </w:r>
          </w:p>
        </w:tc>
      </w:tr>
      <w:tr w14:paraId="78F93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482920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wavelet.HLL_gldm_SmallDependenceLowGrayLevelEmphasis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DA2583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-0.034757313</w:t>
            </w:r>
          </w:p>
        </w:tc>
      </w:tr>
      <w:tr w14:paraId="210F4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49403E4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wavelet.HLH_glcm_MCC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DC1D24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-0.002559394</w:t>
            </w:r>
          </w:p>
        </w:tc>
      </w:tr>
      <w:tr w14:paraId="01E37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EBA5CDA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wavelet.LHH_firstorder_Mean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79A073C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0.0180766677808925</w:t>
            </w:r>
          </w:p>
        </w:tc>
      </w:tr>
      <w:tr w14:paraId="25C2C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628C9E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wavelet.HHH_glszm_SmallAreaLowGrayLevelEmphasis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A1D8B4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0.0696682635390315</w:t>
            </w:r>
          </w:p>
        </w:tc>
      </w:tr>
      <w:tr w14:paraId="03982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07DB4F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Perit.4_wavelet.HLL_glszm_ZoneEntropy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E07582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0.0837405393094703</w:t>
            </w:r>
          </w:p>
        </w:tc>
      </w:tr>
      <w:tr w14:paraId="747E7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84F0A6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Perit.4_wavelet.HLH_glcm_Imc1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3E9DDA6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0.0846294437941496</w:t>
            </w:r>
          </w:p>
        </w:tc>
      </w:tr>
      <w:tr w14:paraId="59B68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BBA80B0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wavelet.HLL_glcm_Correlation</w:t>
            </w:r>
          </w:p>
        </w:tc>
        <w:tc>
          <w:tcPr>
            <w:tcW w:w="206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1B751D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0.0923176277015778</w:t>
            </w:r>
          </w:p>
        </w:tc>
      </w:tr>
      <w:tr w14:paraId="0B2F7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419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/>
            <w:vAlign w:val="center"/>
          </w:tcPr>
          <w:p w14:paraId="40FB3A7F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wavelet.HLL_firstorder_Skewness</w:t>
            </w:r>
          </w:p>
        </w:tc>
        <w:tc>
          <w:tcPr>
            <w:tcW w:w="206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/>
            <w:vAlign w:val="center"/>
          </w:tcPr>
          <w:p w14:paraId="6AD54E33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0.16640812956518</w:t>
            </w:r>
          </w:p>
        </w:tc>
      </w:tr>
    </w:tbl>
    <w:p w14:paraId="4487BCC7">
      <w:pPr>
        <w:rPr>
          <w:rFonts w:ascii="Times New Roman" w:hAnsi="Times New Roman" w:cs="Times New Roman"/>
          <w:b/>
          <w:bCs/>
          <w:sz w:val="24"/>
        </w:rPr>
      </w:pPr>
    </w:p>
    <w:p w14:paraId="53E18427">
      <w:pPr>
        <w:jc w:val="both"/>
        <w:rPr>
          <w:rFonts w:ascii="Times New Roman" w:hAnsi="Times New Roman" w:cs="Times New Roman"/>
          <w:b/>
          <w:bCs/>
          <w:sz w:val="24"/>
        </w:rPr>
      </w:pPr>
    </w:p>
    <w:p w14:paraId="730DE4D6">
      <w:pPr>
        <w:jc w:val="both"/>
        <w:rPr>
          <w:rFonts w:hint="eastAsia" w:ascii="Times New Roman" w:hAnsi="Times New Roman" w:cs="Times New Roman"/>
          <w:b/>
          <w:bCs/>
          <w:sz w:val="24"/>
        </w:rPr>
      </w:pPr>
    </w:p>
    <w:p w14:paraId="304C1C63">
      <w:pPr>
        <w:jc w:val="both"/>
        <w:rPr>
          <w:rFonts w:hint="eastAsia" w:ascii="Times New Roman" w:hAnsi="Times New Roman" w:cs="Times New Roman"/>
          <w:b/>
          <w:bCs/>
          <w:sz w:val="24"/>
        </w:rPr>
      </w:pPr>
    </w:p>
    <w:p w14:paraId="4574D8E8">
      <w:pPr>
        <w:jc w:val="both"/>
        <w:rPr>
          <w:rFonts w:hint="eastAsia" w:ascii="Times New Roman" w:hAnsi="Times New Roman" w:cs="Times New Roman"/>
          <w:b/>
          <w:bCs/>
          <w:sz w:val="24"/>
        </w:rPr>
      </w:pPr>
    </w:p>
    <w:p w14:paraId="412766DE">
      <w:pPr>
        <w:jc w:val="both"/>
        <w:rPr>
          <w:rFonts w:hint="eastAsia" w:ascii="Times New Roman" w:hAnsi="Times New Roman" w:cs="Times New Roman"/>
          <w:b/>
          <w:bCs/>
          <w:sz w:val="24"/>
        </w:rPr>
      </w:pPr>
    </w:p>
    <w:p w14:paraId="14FCE2CF">
      <w:pPr>
        <w:jc w:val="both"/>
        <w:rPr>
          <w:rFonts w:hint="eastAsia"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</w:rPr>
        <w:t>Table S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Habitat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radiomics features and their weights screened by elastic-logistic</w:t>
      </w:r>
    </w:p>
    <w:tbl>
      <w:tblPr>
        <w:tblW w:w="849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45" w:type="dxa"/>
          <w:left w:w="96" w:type="dxa"/>
          <w:bottom w:w="45" w:type="dxa"/>
          <w:right w:w="96" w:type="dxa"/>
        </w:tblCellMar>
      </w:tblPr>
      <w:tblGrid>
        <w:gridCol w:w="6047"/>
        <w:gridCol w:w="2449"/>
      </w:tblGrid>
      <w:tr w14:paraId="7EB08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tblHeader/>
          <w:jc w:val="center"/>
        </w:trPr>
        <w:tc>
          <w:tcPr>
            <w:tcW w:w="6047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/>
            <w:noWrap/>
            <w:vAlign w:val="center"/>
          </w:tcPr>
          <w:p w14:paraId="18BEFB23">
            <w:pPr>
              <w:snapToGrid w:val="0"/>
              <w:jc w:val="center"/>
              <w:rPr>
                <w:rFonts w:hint="eastAsia" w:ascii="Times New Roman" w:hAnsi="Times New Roman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0"/>
                <w:szCs w:val="20"/>
                <w:lang w:val="en-US" w:eastAsia="zh-CN"/>
              </w:rPr>
              <w:t>Features</w:t>
            </w:r>
          </w:p>
        </w:tc>
        <w:tc>
          <w:tcPr>
            <w:tcW w:w="2449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shd w:val="clear"/>
            <w:noWrap/>
            <w:vAlign w:val="center"/>
          </w:tcPr>
          <w:p w14:paraId="6106B8C4">
            <w:pPr>
              <w:snapToGrid w:val="0"/>
              <w:jc w:val="center"/>
              <w:rPr>
                <w:rFonts w:hint="eastAsia" w:ascii="Times New Roman" w:hAnsi="Times New Roman" w:cs="Times New Roman"/>
                <w:b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 w:val="20"/>
                <w:szCs w:val="20"/>
                <w:lang w:val="en-US" w:eastAsia="zh-CN"/>
              </w:rPr>
              <w:t>Coefficient</w:t>
            </w:r>
          </w:p>
        </w:tc>
      </w:tr>
      <w:tr w14:paraId="62CB5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6047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D6CD00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Label1_square_ngtdm_Coarseness</w:t>
            </w:r>
          </w:p>
        </w:tc>
        <w:tc>
          <w:tcPr>
            <w:tcW w:w="244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3708FD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-0.188314402</w:t>
            </w:r>
          </w:p>
        </w:tc>
      </w:tr>
      <w:tr w14:paraId="719BC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FE2801E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Label2_wavelet.HLL_glcm_ClusterProminence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C72BD6E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-0.118171899</w:t>
            </w:r>
          </w:p>
        </w:tc>
      </w:tr>
      <w:tr w14:paraId="21427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793A69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Label2_wavelet.HHH_glcm_ClusterProminence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4A625B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-0.111227601</w:t>
            </w:r>
          </w:p>
        </w:tc>
      </w:tr>
      <w:tr w14:paraId="00CE1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415121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Label1_wavelet.LLL_glszm_LargeAreaHighGrayLevelEmphasis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8346BE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-0.110875284</w:t>
            </w:r>
          </w:p>
        </w:tc>
      </w:tr>
      <w:tr w14:paraId="7629D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72C2EB6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Label1_wavelet.LHL_glcm_MCC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07A274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-0.050378165</w:t>
            </w:r>
          </w:p>
        </w:tc>
      </w:tr>
      <w:tr w14:paraId="21132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4CFD36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Label3_wavelet.HHL_glcm_MCC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27D213D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-0.045089627</w:t>
            </w:r>
          </w:p>
        </w:tc>
      </w:tr>
      <w:tr w14:paraId="30A37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22631C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Label3_wavelet.LHL_firstorder_Mean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20879C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-0.022751249</w:t>
            </w:r>
          </w:p>
        </w:tc>
      </w:tr>
      <w:tr w14:paraId="5B72B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A4387B9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Label3_wavelet.HLH_glcm_ClusterShade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40A76C5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-0.009261033</w:t>
            </w:r>
          </w:p>
        </w:tc>
      </w:tr>
      <w:tr w14:paraId="6E114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3C1E3D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Label1_wavelet.LHL_glcm_Idmn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678714A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0.0287763578242809</w:t>
            </w:r>
          </w:p>
        </w:tc>
      </w:tr>
      <w:tr w14:paraId="3D94E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1A1FAD6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Label3_wavelet.LLL_glcm_JointEntropy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A9DD6E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0.0400709528979195</w:t>
            </w:r>
          </w:p>
        </w:tc>
      </w:tr>
      <w:tr w14:paraId="764CE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604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E4F297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Label3_wavelet.LLH_glcm_Idn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6087E41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0.0402796241640775</w:t>
            </w:r>
          </w:p>
        </w:tc>
      </w:tr>
      <w:tr w14:paraId="22F50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45" w:type="dxa"/>
            <w:left w:w="96" w:type="dxa"/>
            <w:bottom w:w="45" w:type="dxa"/>
            <w:right w:w="96" w:type="dxa"/>
          </w:tblCellMar>
        </w:tblPrEx>
        <w:trPr>
          <w:trHeight w:val="0" w:hRule="atLeast"/>
          <w:jc w:val="center"/>
        </w:trPr>
        <w:tc>
          <w:tcPr>
            <w:tcW w:w="604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/>
            <w:vAlign w:val="center"/>
          </w:tcPr>
          <w:p w14:paraId="1EE88D3C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Label1_</w:t>
            </w:r>
            <w:bookmarkStart w:id="1" w:name="_GoBack"/>
            <w:bookmarkEnd w:id="1"/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original_glcm_MCC</w:t>
            </w:r>
          </w:p>
        </w:tc>
        <w:tc>
          <w:tcPr>
            <w:tcW w:w="244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noWrap/>
            <w:vAlign w:val="center"/>
          </w:tcPr>
          <w:p w14:paraId="674BDDE7">
            <w:pPr>
              <w:snapToGrid w:val="0"/>
              <w:jc w:val="center"/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0.109895410151604</w:t>
            </w:r>
          </w:p>
        </w:tc>
      </w:tr>
    </w:tbl>
    <w:p w14:paraId="12669BCB">
      <w:pPr>
        <w:jc w:val="both"/>
        <w:rPr>
          <w:rFonts w:hint="eastAsia" w:ascii="Times New Roman" w:hAnsi="Times New Roman" w:cs="Times New Roman"/>
          <w:b/>
          <w:bCs/>
          <w:sz w:val="24"/>
        </w:rPr>
      </w:pPr>
    </w:p>
    <w:p w14:paraId="2B99F610">
      <w:pPr>
        <w:jc w:val="both"/>
        <w:rPr>
          <w:rFonts w:ascii="Times New Roman" w:hAnsi="Times New Roman" w:cs="Times New Roman"/>
          <w:b/>
          <w:bCs/>
          <w:sz w:val="24"/>
        </w:rPr>
      </w:pPr>
    </w:p>
    <w:p w14:paraId="09E85737">
      <w:pPr>
        <w:jc w:val="both"/>
        <w:rPr>
          <w:rFonts w:ascii="Times New Roman" w:hAnsi="Times New Roman" w:cs="Times New Roman"/>
          <w:b/>
          <w:bCs/>
          <w:sz w:val="24"/>
        </w:rPr>
      </w:pPr>
    </w:p>
    <w:p w14:paraId="5DB0D91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sz w:val="28"/>
          <w:szCs w:val="28"/>
          <w:lang w:val="en-US" w:eastAsia="zh-CN"/>
        </w:rPr>
        <w:t>Table S4 Four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hospitals scanner and parameters</w:t>
      </w:r>
    </w:p>
    <w:p w14:paraId="4464BE04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4"/>
        <w:tblW w:w="9458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8"/>
        <w:gridCol w:w="1888"/>
        <w:gridCol w:w="1888"/>
        <w:gridCol w:w="1897"/>
        <w:gridCol w:w="1897"/>
      </w:tblGrid>
      <w:tr w14:paraId="7684C7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888" w:type="dxa"/>
            <w:tcBorders>
              <w:top w:val="single" w:color="auto" w:sz="8" w:space="0"/>
              <w:bottom w:val="single" w:color="auto" w:sz="8" w:space="0"/>
            </w:tcBorders>
          </w:tcPr>
          <w:p w14:paraId="20F858B0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Scanner</w:t>
            </w:r>
          </w:p>
        </w:tc>
        <w:tc>
          <w:tcPr>
            <w:tcW w:w="1888" w:type="dxa"/>
            <w:tcBorders>
              <w:top w:val="single" w:color="auto" w:sz="8" w:space="0"/>
              <w:bottom w:val="single" w:color="auto" w:sz="8" w:space="0"/>
            </w:tcBorders>
          </w:tcPr>
          <w:p w14:paraId="1ED4F580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bookmarkStart w:id="0" w:name="_Hlk111320960"/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Scanner </w:t>
            </w:r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I (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3.0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T)</w:t>
            </w:r>
          </w:p>
        </w:tc>
        <w:tc>
          <w:tcPr>
            <w:tcW w:w="1888" w:type="dxa"/>
            <w:tcBorders>
              <w:top w:val="single" w:color="auto" w:sz="8" w:space="0"/>
              <w:bottom w:val="single" w:color="auto" w:sz="8" w:space="0"/>
            </w:tcBorders>
          </w:tcPr>
          <w:p w14:paraId="12273348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Scanner II (3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T)</w:t>
            </w:r>
          </w:p>
        </w:tc>
        <w:tc>
          <w:tcPr>
            <w:tcW w:w="1897" w:type="dxa"/>
            <w:tcBorders>
              <w:top w:val="single" w:color="auto" w:sz="8" w:space="0"/>
              <w:bottom w:val="single" w:color="auto" w:sz="8" w:space="0"/>
            </w:tcBorders>
          </w:tcPr>
          <w:p w14:paraId="3AC4039C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Scanner III (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1.5 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T)</w:t>
            </w:r>
          </w:p>
        </w:tc>
        <w:tc>
          <w:tcPr>
            <w:tcW w:w="1897" w:type="dxa"/>
            <w:tcBorders>
              <w:top w:val="single" w:color="auto" w:sz="8" w:space="0"/>
              <w:bottom w:val="single" w:color="auto" w:sz="8" w:space="0"/>
            </w:tcBorders>
          </w:tcPr>
          <w:p w14:paraId="76C1032E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Scanner 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IV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(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1.5 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T)</w:t>
            </w:r>
          </w:p>
        </w:tc>
      </w:tr>
      <w:tr w14:paraId="32086E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</w:trPr>
        <w:tc>
          <w:tcPr>
            <w:tcW w:w="1888" w:type="dxa"/>
            <w:tcBorders>
              <w:top w:val="single" w:color="auto" w:sz="8" w:space="0"/>
            </w:tcBorders>
          </w:tcPr>
          <w:p w14:paraId="50A6D87C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Sequence</w:t>
            </w:r>
          </w:p>
        </w:tc>
        <w:tc>
          <w:tcPr>
            <w:tcW w:w="1888" w:type="dxa"/>
            <w:tcBorders>
              <w:top w:val="single" w:color="auto" w:sz="8" w:space="0"/>
            </w:tcBorders>
          </w:tcPr>
          <w:p w14:paraId="4D6038B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Volume Imagine for Breast Assessment</w:t>
            </w:r>
          </w:p>
          <w:p w14:paraId="417B355A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(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Vibrant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)</w:t>
            </w:r>
          </w:p>
        </w:tc>
        <w:tc>
          <w:tcPr>
            <w:tcW w:w="1888" w:type="dxa"/>
            <w:tcBorders>
              <w:top w:val="single" w:color="auto" w:sz="8" w:space="0"/>
            </w:tcBorders>
          </w:tcPr>
          <w:p w14:paraId="7882525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3D fast low-angle shot</w:t>
            </w:r>
          </w:p>
          <w:p w14:paraId="455D63C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(FLASH)</w:t>
            </w:r>
          </w:p>
        </w:tc>
        <w:tc>
          <w:tcPr>
            <w:tcW w:w="1897" w:type="dxa"/>
            <w:tcBorders>
              <w:top w:val="single" w:color="auto" w:sz="8" w:space="0"/>
            </w:tcBorders>
          </w:tcPr>
          <w:p w14:paraId="5A124DD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3D fast low-angle shot</w:t>
            </w:r>
          </w:p>
          <w:p w14:paraId="390A889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(FLASH)</w:t>
            </w:r>
          </w:p>
        </w:tc>
        <w:tc>
          <w:tcPr>
            <w:tcW w:w="1897" w:type="dxa"/>
            <w:tcBorders>
              <w:top w:val="single" w:color="auto" w:sz="8" w:space="0"/>
            </w:tcBorders>
          </w:tcPr>
          <w:p w14:paraId="7BAE67F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Volume Imagine for Breast Assessment</w:t>
            </w:r>
          </w:p>
          <w:p w14:paraId="4EEB095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(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Vibrant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)</w:t>
            </w:r>
          </w:p>
        </w:tc>
      </w:tr>
      <w:tr w14:paraId="7311C4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888" w:type="dxa"/>
          </w:tcPr>
          <w:p w14:paraId="579E77E3">
            <w:pP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Orientation</w:t>
            </w:r>
          </w:p>
        </w:tc>
        <w:tc>
          <w:tcPr>
            <w:tcW w:w="1888" w:type="dxa"/>
          </w:tcPr>
          <w:p w14:paraId="3F7C7B0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Axial</w:t>
            </w:r>
          </w:p>
        </w:tc>
        <w:tc>
          <w:tcPr>
            <w:tcW w:w="1888" w:type="dxa"/>
          </w:tcPr>
          <w:p w14:paraId="771759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Axial</w:t>
            </w:r>
          </w:p>
        </w:tc>
        <w:tc>
          <w:tcPr>
            <w:tcW w:w="1897" w:type="dxa"/>
          </w:tcPr>
          <w:p w14:paraId="41A8B6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Axial</w:t>
            </w:r>
          </w:p>
        </w:tc>
        <w:tc>
          <w:tcPr>
            <w:tcW w:w="1897" w:type="dxa"/>
          </w:tcPr>
          <w:p w14:paraId="4BD05A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Axial</w:t>
            </w:r>
          </w:p>
        </w:tc>
      </w:tr>
      <w:tr w14:paraId="4F1821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888" w:type="dxa"/>
          </w:tcPr>
          <w:p w14:paraId="08D1B71E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Fat suppression</w:t>
            </w:r>
          </w:p>
        </w:tc>
        <w:tc>
          <w:tcPr>
            <w:tcW w:w="1888" w:type="dxa"/>
          </w:tcPr>
          <w:p w14:paraId="5D524372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pt-BR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pectral Attenuated Inversion Recovery </w:t>
            </w:r>
          </w:p>
        </w:tc>
        <w:tc>
          <w:tcPr>
            <w:tcW w:w="1888" w:type="dxa"/>
          </w:tcPr>
          <w:p w14:paraId="36C33878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pt-BR"/>
              </w:rPr>
              <w:t>Q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uick Fat Sat </w:t>
            </w:r>
          </w:p>
        </w:tc>
        <w:tc>
          <w:tcPr>
            <w:tcW w:w="1897" w:type="dxa"/>
          </w:tcPr>
          <w:p w14:paraId="45A6BCC6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pt-BR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pectral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Attenuated Inversion Recovery </w:t>
            </w:r>
          </w:p>
        </w:tc>
        <w:tc>
          <w:tcPr>
            <w:tcW w:w="1897" w:type="dxa"/>
          </w:tcPr>
          <w:p w14:paraId="0CF51114">
            <w:pPr>
              <w:rPr>
                <w:rFonts w:hint="eastAsia"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pt-BR"/>
              </w:rPr>
              <w:t xml:space="preserve">Quick Fat Sat </w:t>
            </w:r>
          </w:p>
        </w:tc>
      </w:tr>
      <w:tr w14:paraId="0B0696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888" w:type="dxa"/>
          </w:tcPr>
          <w:p w14:paraId="6C9E0887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Repetition time (msec)</w:t>
            </w:r>
          </w:p>
        </w:tc>
        <w:tc>
          <w:tcPr>
            <w:tcW w:w="1888" w:type="dxa"/>
          </w:tcPr>
          <w:p w14:paraId="4CB8DA5A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4.43</w:t>
            </w:r>
          </w:p>
        </w:tc>
        <w:tc>
          <w:tcPr>
            <w:tcW w:w="1888" w:type="dxa"/>
          </w:tcPr>
          <w:p w14:paraId="69B56ACA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pt-BR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.51</w:t>
            </w:r>
          </w:p>
        </w:tc>
        <w:tc>
          <w:tcPr>
            <w:tcW w:w="1897" w:type="dxa"/>
          </w:tcPr>
          <w:p w14:paraId="4F3F4934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pt-BR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.51</w:t>
            </w:r>
          </w:p>
        </w:tc>
        <w:tc>
          <w:tcPr>
            <w:tcW w:w="1897" w:type="dxa"/>
          </w:tcPr>
          <w:p w14:paraId="4EC940F0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7.0</w:t>
            </w:r>
          </w:p>
        </w:tc>
      </w:tr>
      <w:tr w14:paraId="1CFC6A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888" w:type="dxa"/>
          </w:tcPr>
          <w:p w14:paraId="6503B0FF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Echo time (msec)</w:t>
            </w:r>
          </w:p>
        </w:tc>
        <w:tc>
          <w:tcPr>
            <w:tcW w:w="1888" w:type="dxa"/>
          </w:tcPr>
          <w:p w14:paraId="384C21F8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1.5</w:t>
            </w:r>
          </w:p>
        </w:tc>
        <w:tc>
          <w:tcPr>
            <w:tcW w:w="1888" w:type="dxa"/>
          </w:tcPr>
          <w:p w14:paraId="06048FDE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1.61</w:t>
            </w:r>
          </w:p>
        </w:tc>
        <w:tc>
          <w:tcPr>
            <w:tcW w:w="1897" w:type="dxa"/>
          </w:tcPr>
          <w:p w14:paraId="014D186A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1.61</w:t>
            </w:r>
          </w:p>
        </w:tc>
        <w:tc>
          <w:tcPr>
            <w:tcW w:w="1897" w:type="dxa"/>
          </w:tcPr>
          <w:p w14:paraId="2C8F15CB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2.0</w:t>
            </w:r>
          </w:p>
        </w:tc>
      </w:tr>
      <w:tr w14:paraId="540238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888" w:type="dxa"/>
          </w:tcPr>
          <w:p w14:paraId="0C6BBE45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Flip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angle (°)</w:t>
            </w:r>
          </w:p>
        </w:tc>
        <w:tc>
          <w:tcPr>
            <w:tcW w:w="1888" w:type="dxa"/>
          </w:tcPr>
          <w:p w14:paraId="1463717A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10</w:t>
            </w:r>
          </w:p>
        </w:tc>
        <w:tc>
          <w:tcPr>
            <w:tcW w:w="1888" w:type="dxa"/>
          </w:tcPr>
          <w:p w14:paraId="2ED990E1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10</w:t>
            </w:r>
          </w:p>
        </w:tc>
        <w:tc>
          <w:tcPr>
            <w:tcW w:w="1897" w:type="dxa"/>
          </w:tcPr>
          <w:p w14:paraId="4CE4B6B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10</w:t>
            </w:r>
          </w:p>
        </w:tc>
        <w:tc>
          <w:tcPr>
            <w:tcW w:w="1897" w:type="dxa"/>
          </w:tcPr>
          <w:p w14:paraId="1C9BC2BC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10</w:t>
            </w:r>
          </w:p>
        </w:tc>
      </w:tr>
      <w:tr w14:paraId="4F15DE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888" w:type="dxa"/>
          </w:tcPr>
          <w:p w14:paraId="5944BAFC">
            <w:pP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Field of view (mm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8" w:type="dxa"/>
          </w:tcPr>
          <w:p w14:paraId="270E9F1C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340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888" w:type="dxa"/>
          </w:tcPr>
          <w:p w14:paraId="30CE6EE6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340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897" w:type="dxa"/>
          </w:tcPr>
          <w:p w14:paraId="28E0A063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340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340</w:t>
            </w:r>
          </w:p>
        </w:tc>
        <w:tc>
          <w:tcPr>
            <w:tcW w:w="1897" w:type="dxa"/>
          </w:tcPr>
          <w:p w14:paraId="5C15FF46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340×340</w:t>
            </w:r>
          </w:p>
        </w:tc>
      </w:tr>
      <w:tr w14:paraId="75EBC9E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888" w:type="dxa"/>
          </w:tcPr>
          <w:p w14:paraId="0A919AFD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Matrix</w:t>
            </w:r>
          </w:p>
        </w:tc>
        <w:tc>
          <w:tcPr>
            <w:tcW w:w="1888" w:type="dxa"/>
          </w:tcPr>
          <w:p w14:paraId="29BBF8F0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448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1888" w:type="dxa"/>
          </w:tcPr>
          <w:p w14:paraId="29801F32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448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448</w:t>
            </w:r>
          </w:p>
        </w:tc>
        <w:tc>
          <w:tcPr>
            <w:tcW w:w="1897" w:type="dxa"/>
          </w:tcPr>
          <w:p w14:paraId="4A6E4561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448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97" w:type="dxa"/>
          </w:tcPr>
          <w:p w14:paraId="1B150F73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320×320</w:t>
            </w:r>
          </w:p>
        </w:tc>
      </w:tr>
      <w:tr w14:paraId="29C8E9A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888" w:type="dxa"/>
          </w:tcPr>
          <w:p w14:paraId="30AB0D29">
            <w:pP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Number of slices</w:t>
            </w:r>
          </w:p>
        </w:tc>
        <w:tc>
          <w:tcPr>
            <w:tcW w:w="1888" w:type="dxa"/>
          </w:tcPr>
          <w:p w14:paraId="4DD3E17E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144</w:t>
            </w:r>
          </w:p>
        </w:tc>
        <w:tc>
          <w:tcPr>
            <w:tcW w:w="1888" w:type="dxa"/>
          </w:tcPr>
          <w:p w14:paraId="32401E87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144</w:t>
            </w:r>
          </w:p>
        </w:tc>
        <w:tc>
          <w:tcPr>
            <w:tcW w:w="1897" w:type="dxa"/>
          </w:tcPr>
          <w:p w14:paraId="3E03C376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160</w:t>
            </w:r>
          </w:p>
        </w:tc>
        <w:tc>
          <w:tcPr>
            <w:tcW w:w="1897" w:type="dxa"/>
          </w:tcPr>
          <w:p w14:paraId="16FADF83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160</w:t>
            </w:r>
          </w:p>
        </w:tc>
      </w:tr>
      <w:tr w14:paraId="01E6A9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888" w:type="dxa"/>
          </w:tcPr>
          <w:p w14:paraId="1FBAA778">
            <w:pP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Slice thickness (mm)</w:t>
            </w:r>
          </w:p>
        </w:tc>
        <w:tc>
          <w:tcPr>
            <w:tcW w:w="1888" w:type="dxa"/>
          </w:tcPr>
          <w:p w14:paraId="1D11C854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1.20</w:t>
            </w:r>
          </w:p>
        </w:tc>
        <w:tc>
          <w:tcPr>
            <w:tcW w:w="1888" w:type="dxa"/>
          </w:tcPr>
          <w:p w14:paraId="7C8BBF7A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1.00</w:t>
            </w:r>
          </w:p>
        </w:tc>
        <w:tc>
          <w:tcPr>
            <w:tcW w:w="1897" w:type="dxa"/>
          </w:tcPr>
          <w:p w14:paraId="0E1D7E20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1.20</w:t>
            </w:r>
          </w:p>
        </w:tc>
        <w:tc>
          <w:tcPr>
            <w:tcW w:w="1897" w:type="dxa"/>
          </w:tcPr>
          <w:p w14:paraId="507F3DA7">
            <w:pPr>
              <w:rPr>
                <w:rFonts w:hint="default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1.00</w:t>
            </w:r>
          </w:p>
        </w:tc>
      </w:tr>
      <w:tr w14:paraId="383AF3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888" w:type="dxa"/>
          </w:tcPr>
          <w:p w14:paraId="4F6533B4">
            <w:pP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Slice gap (mm)</w:t>
            </w:r>
          </w:p>
        </w:tc>
        <w:tc>
          <w:tcPr>
            <w:tcW w:w="1888" w:type="dxa"/>
          </w:tcPr>
          <w:p w14:paraId="60A860AB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0</w:t>
            </w:r>
          </w:p>
        </w:tc>
        <w:tc>
          <w:tcPr>
            <w:tcW w:w="1888" w:type="dxa"/>
          </w:tcPr>
          <w:p w14:paraId="5DBC22A0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0</w:t>
            </w:r>
          </w:p>
        </w:tc>
        <w:tc>
          <w:tcPr>
            <w:tcW w:w="1897" w:type="dxa"/>
          </w:tcPr>
          <w:p w14:paraId="358FCE50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0</w:t>
            </w:r>
          </w:p>
        </w:tc>
        <w:tc>
          <w:tcPr>
            <w:tcW w:w="1897" w:type="dxa"/>
          </w:tcPr>
          <w:p w14:paraId="40181D47">
            <w:pP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0</w:t>
            </w:r>
          </w:p>
        </w:tc>
      </w:tr>
      <w:tr w14:paraId="41DEF1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888" w:type="dxa"/>
          </w:tcPr>
          <w:p w14:paraId="33499195">
            <w:pP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Number of averages</w:t>
            </w:r>
          </w:p>
        </w:tc>
        <w:tc>
          <w:tcPr>
            <w:tcW w:w="1888" w:type="dxa"/>
          </w:tcPr>
          <w:p w14:paraId="1A3661F7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</w:t>
            </w:r>
          </w:p>
        </w:tc>
        <w:tc>
          <w:tcPr>
            <w:tcW w:w="1888" w:type="dxa"/>
          </w:tcPr>
          <w:p w14:paraId="6442AA99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</w:t>
            </w:r>
          </w:p>
        </w:tc>
        <w:tc>
          <w:tcPr>
            <w:tcW w:w="1897" w:type="dxa"/>
          </w:tcPr>
          <w:p w14:paraId="42A6C361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</w:t>
            </w:r>
          </w:p>
        </w:tc>
        <w:tc>
          <w:tcPr>
            <w:tcW w:w="1897" w:type="dxa"/>
          </w:tcPr>
          <w:p w14:paraId="6D709806">
            <w:pP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1</w:t>
            </w:r>
          </w:p>
        </w:tc>
      </w:tr>
      <w:tr w14:paraId="036276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888" w:type="dxa"/>
          </w:tcPr>
          <w:p w14:paraId="19FBF131">
            <w:pP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V</w:t>
            </w: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oxel size (mm)</w:t>
            </w:r>
          </w:p>
        </w:tc>
        <w:tc>
          <w:tcPr>
            <w:tcW w:w="1888" w:type="dxa"/>
          </w:tcPr>
          <w:p w14:paraId="733B610D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1.0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888" w:type="dxa"/>
          </w:tcPr>
          <w:p w14:paraId="0223105F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897" w:type="dxa"/>
          </w:tcPr>
          <w:p w14:paraId="56B834D7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897" w:type="dxa"/>
          </w:tcPr>
          <w:p w14:paraId="000C3CC2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1.1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0.8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×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1.0</w:t>
            </w:r>
          </w:p>
        </w:tc>
      </w:tr>
      <w:tr w14:paraId="6F6D76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888" w:type="dxa"/>
            <w:tcBorders>
              <w:bottom w:val="nil"/>
            </w:tcBorders>
            <w:vAlign w:val="center"/>
          </w:tcPr>
          <w:p w14:paraId="794952B8">
            <w:pP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Pixel bandwidth（Hz）</w:t>
            </w:r>
          </w:p>
        </w:tc>
        <w:tc>
          <w:tcPr>
            <w:tcW w:w="1888" w:type="dxa"/>
            <w:tcBorders>
              <w:bottom w:val="nil"/>
            </w:tcBorders>
          </w:tcPr>
          <w:p w14:paraId="0E0F2DE7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1086</w:t>
            </w:r>
          </w:p>
        </w:tc>
        <w:tc>
          <w:tcPr>
            <w:tcW w:w="1888" w:type="dxa"/>
            <w:tcBorders>
              <w:bottom w:val="nil"/>
            </w:tcBorders>
          </w:tcPr>
          <w:p w14:paraId="1D8AD99E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1262</w:t>
            </w:r>
          </w:p>
        </w:tc>
        <w:tc>
          <w:tcPr>
            <w:tcW w:w="1897" w:type="dxa"/>
            <w:tcBorders>
              <w:bottom w:val="nil"/>
            </w:tcBorders>
          </w:tcPr>
          <w:p w14:paraId="479075C8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400</w:t>
            </w:r>
          </w:p>
        </w:tc>
        <w:tc>
          <w:tcPr>
            <w:tcW w:w="1897" w:type="dxa"/>
            <w:tcBorders>
              <w:bottom w:val="nil"/>
            </w:tcBorders>
          </w:tcPr>
          <w:p w14:paraId="13DDDE4F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400</w:t>
            </w:r>
          </w:p>
        </w:tc>
      </w:tr>
      <w:tr w14:paraId="075FC1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888" w:type="dxa"/>
            <w:tcBorders>
              <w:top w:val="nil"/>
              <w:bottom w:val="single" w:color="auto" w:sz="8" w:space="0"/>
            </w:tcBorders>
          </w:tcPr>
          <w:p w14:paraId="2D29DA69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>cquisition time (min: sec)</w:t>
            </w:r>
          </w:p>
        </w:tc>
        <w:tc>
          <w:tcPr>
            <w:tcW w:w="1888" w:type="dxa"/>
            <w:tcBorders>
              <w:top w:val="nil"/>
              <w:bottom w:val="single" w:color="auto" w:sz="8" w:space="0"/>
            </w:tcBorders>
          </w:tcPr>
          <w:p w14:paraId="653ECB55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pt-BR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:39</w:t>
            </w:r>
          </w:p>
        </w:tc>
        <w:tc>
          <w:tcPr>
            <w:tcW w:w="1888" w:type="dxa"/>
            <w:tcBorders>
              <w:top w:val="nil"/>
              <w:bottom w:val="single" w:color="auto" w:sz="8" w:space="0"/>
            </w:tcBorders>
          </w:tcPr>
          <w:p w14:paraId="7A3CC7A4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5:55</w:t>
            </w:r>
          </w:p>
        </w:tc>
        <w:tc>
          <w:tcPr>
            <w:tcW w:w="1897" w:type="dxa"/>
            <w:tcBorders>
              <w:top w:val="nil"/>
              <w:bottom w:val="single" w:color="auto" w:sz="8" w:space="0"/>
            </w:tcBorders>
          </w:tcPr>
          <w:p w14:paraId="57EB0971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pt-BR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:50</w:t>
            </w:r>
          </w:p>
        </w:tc>
        <w:tc>
          <w:tcPr>
            <w:tcW w:w="1897" w:type="dxa"/>
            <w:tcBorders>
              <w:top w:val="nil"/>
              <w:bottom w:val="single" w:color="auto" w:sz="8" w:space="0"/>
            </w:tcBorders>
          </w:tcPr>
          <w:p w14:paraId="4F9CB087">
            <w:pPr>
              <w:rPr>
                <w:rFonts w:hint="eastAsia" w:ascii="Times New Roman" w:hAnsi="Times New Roman" w:cs="Times New Roman" w:eastAsiaTheme="minorEastAsia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5:5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6</w:t>
            </w:r>
          </w:p>
        </w:tc>
      </w:tr>
    </w:tbl>
    <w:p w14:paraId="307E0CC6">
      <w:pPr>
        <w:rPr>
          <w:rFonts w:ascii="Times New Roman" w:hAnsi="Times New Roman" w:cs="Times New Roman"/>
          <w:sz w:val="20"/>
          <w:szCs w:val="20"/>
        </w:rPr>
      </w:pPr>
    </w:p>
    <w:p w14:paraId="3F11E41B">
      <w:pPr>
        <w:rPr>
          <w:rFonts w:ascii="Times New Roman" w:hAnsi="Times New Roman" w:cs="Times New Roman"/>
          <w:sz w:val="24"/>
        </w:rPr>
      </w:pPr>
    </w:p>
    <w:p w14:paraId="15B97B26">
      <w:pPr>
        <w:spacing w:line="480" w:lineRule="auto"/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sz w:val="28"/>
          <w:szCs w:val="28"/>
          <w:lang w:val="en-US" w:eastAsia="zh-CN"/>
        </w:rPr>
        <w:t>Patients</w:t>
      </w: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en-US" w:eastAsia="zh-CN"/>
        </w:rPr>
        <w:t>’</w:t>
      </w:r>
      <w:r>
        <w:rPr>
          <w:rFonts w:hint="eastAsia" w:ascii="Times New Roman" w:hAnsi="Times New Roman" w:cs="Times New Roman"/>
          <w:b/>
          <w:bCs/>
          <w:i w:val="0"/>
          <w:iCs w:val="0"/>
          <w:sz w:val="28"/>
          <w:szCs w:val="28"/>
          <w:lang w:val="en-US" w:eastAsia="zh-CN"/>
        </w:rPr>
        <w:t xml:space="preserve"> inclusion and exclusion criteria</w:t>
      </w:r>
    </w:p>
    <w:p w14:paraId="16E65A60">
      <w:pPr>
        <w:spacing w:line="480" w:lineRule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  <w:i w:val="0"/>
          <w:iCs w:val="0"/>
          <w:sz w:val="28"/>
          <w:szCs w:val="28"/>
        </w:rPr>
        <w:t>Inclusion Criteria:</w:t>
      </w:r>
      <w:r>
        <w:rPr>
          <w:rFonts w:hint="eastAsia"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14:paraId="1E25E4D3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Female patients over 18 years of age with pathological biopsy confirmed invasive breast cancer at clinical stage T1-4, NX and M0.</w:t>
      </w:r>
    </w:p>
    <w:p w14:paraId="2EC8453A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Preoperative DCE-MRI within 2 weeks.</w:t>
      </w:r>
    </w:p>
    <w:p w14:paraId="54147BFD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</w:rPr>
        <w:t>No prior chemotherapy, radiotherapy or endocrine therapy, no history of breast surgery.</w:t>
      </w:r>
    </w:p>
    <w:p w14:paraId="643D4861">
      <w:pPr>
        <w:spacing w:line="480" w:lineRule="auto"/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sz w:val="28"/>
          <w:szCs w:val="28"/>
          <w:lang w:val="en-US" w:eastAsia="zh-CN"/>
        </w:rPr>
        <w:t>Excl</w:t>
      </w:r>
      <w:r>
        <w:rPr>
          <w:rFonts w:hint="eastAsia" w:ascii="Times New Roman" w:hAnsi="Times New Roman" w:cs="Times New Roman"/>
          <w:b/>
          <w:bCs/>
          <w:i w:val="0"/>
          <w:iCs w:val="0"/>
          <w:sz w:val="28"/>
          <w:szCs w:val="28"/>
          <w:lang w:val="en-US" w:eastAsia="zh-CN"/>
        </w:rPr>
        <w:t>ude Criteria</w:t>
      </w:r>
    </w:p>
    <w:p w14:paraId="7B4F5CBD">
      <w:pPr>
        <w:numPr>
          <w:ilvl w:val="0"/>
          <w:numId w:val="2"/>
        </w:numPr>
        <w:spacing w:line="480" w:lineRule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Multifocal breast cancer</w:t>
      </w:r>
    </w:p>
    <w:p w14:paraId="0899BD7B">
      <w:pPr>
        <w:numPr>
          <w:ilvl w:val="0"/>
          <w:numId w:val="2"/>
        </w:numPr>
        <w:spacing w:line="480" w:lineRule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Incomplete clinical or pathological information</w:t>
      </w:r>
    </w:p>
    <w:p w14:paraId="68A4B8A7">
      <w:pPr>
        <w:numPr>
          <w:ilvl w:val="0"/>
          <w:numId w:val="2"/>
        </w:numPr>
        <w:spacing w:line="480" w:lineRule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Biopsy before MRI</w:t>
      </w:r>
    </w:p>
    <w:p w14:paraId="094D7F64">
      <w:pPr>
        <w:numPr>
          <w:ilvl w:val="0"/>
          <w:numId w:val="2"/>
        </w:numPr>
        <w:spacing w:line="480" w:lineRule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>Previous history of radiotherapy, chemotherapy and breast tumor surgery</w:t>
      </w:r>
    </w:p>
    <w:p w14:paraId="7169B9D0">
      <w:pPr>
        <w:numPr>
          <w:ilvl w:val="0"/>
          <w:numId w:val="2"/>
        </w:numPr>
        <w:spacing w:line="480" w:lineRule="auto"/>
        <w:rPr>
          <w:rFonts w:hint="default" w:ascii="Times New Roman" w:hAnsi="Times New Roman" w:cs="Times New Roman"/>
          <w:sz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lang w:val="en-US" w:eastAsia="zh-CN"/>
        </w:rPr>
        <w:t xml:space="preserve">The size of the lesion is </w:t>
      </w:r>
      <w:r>
        <w:rPr>
          <w:rFonts w:hint="eastAsia" w:ascii="Times New Roman" w:hAnsi="Times New Roman" w:cs="Times New Roman"/>
          <w:sz w:val="24"/>
          <w:lang w:val="en-US" w:eastAsia="zh-CN"/>
        </w:rPr>
        <w:t>less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 than 5mm.</w:t>
      </w:r>
    </w:p>
    <w:p w14:paraId="7ED4D890">
      <w:pPr>
        <w:rPr>
          <w:rFonts w:hint="default" w:ascii="Times New Roman" w:hAnsi="Times New Roman" w:cs="Times New Roman"/>
          <w:sz w:val="24"/>
          <w:lang w:val="en-US" w:eastAsia="zh-CN"/>
        </w:rPr>
      </w:pPr>
    </w:p>
    <w:p w14:paraId="2A394D29">
      <w:pPr>
        <w:rPr>
          <w:rFonts w:hint="default" w:ascii="Times New Roman" w:hAnsi="Times New Roman" w:cs="Times New Roman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00CDA34"/>
    <w:multiLevelType w:val="singleLevel"/>
    <w:tmpl w:val="100CDA34"/>
    <w:lvl w:ilvl="0" w:tentative="0">
      <w:start w:val="1"/>
      <w:numFmt w:val="decimal"/>
      <w:suff w:val="space"/>
      <w:lvlText w:val="(%1)"/>
      <w:lvlJc w:val="left"/>
    </w:lvl>
  </w:abstractNum>
  <w:abstractNum w:abstractNumId="1">
    <w:nsid w:val="3734B4CE"/>
    <w:multiLevelType w:val="singleLevel"/>
    <w:tmpl w:val="3734B4CE"/>
    <w:lvl w:ilvl="0" w:tentative="0">
      <w:start w:val="1"/>
      <w:numFmt w:val="decimal"/>
      <w:suff w:val="space"/>
      <w:lvlText w:val="(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c1NrEwMjGwMDAyMjdV0lEKTi0uzszPAykwrAUAFMQiXSwAAAA="/>
    <w:docVar w:name="commondata" w:val="eyJoZGlkIjoiNWViNjRiYzE5ZWE2MjczZjI2MTdkNWFiZDk3YmM4NGIifQ=="/>
  </w:docVars>
  <w:rsids>
    <w:rsidRoot w:val="00042D42"/>
    <w:rsid w:val="00042D42"/>
    <w:rsid w:val="00231A95"/>
    <w:rsid w:val="00412929"/>
    <w:rsid w:val="00453166"/>
    <w:rsid w:val="01093CA4"/>
    <w:rsid w:val="02700047"/>
    <w:rsid w:val="032851D6"/>
    <w:rsid w:val="04B934CE"/>
    <w:rsid w:val="05C80770"/>
    <w:rsid w:val="08477368"/>
    <w:rsid w:val="09DC7D85"/>
    <w:rsid w:val="0A7F6563"/>
    <w:rsid w:val="0B8B64C8"/>
    <w:rsid w:val="0ED81506"/>
    <w:rsid w:val="0F425C5E"/>
    <w:rsid w:val="0FBD082D"/>
    <w:rsid w:val="10491F2B"/>
    <w:rsid w:val="12850115"/>
    <w:rsid w:val="13723DB8"/>
    <w:rsid w:val="13EA1C4B"/>
    <w:rsid w:val="13EB21F9"/>
    <w:rsid w:val="13F67077"/>
    <w:rsid w:val="15414E19"/>
    <w:rsid w:val="15E403D0"/>
    <w:rsid w:val="17EC02EE"/>
    <w:rsid w:val="18CE652F"/>
    <w:rsid w:val="1AAB4490"/>
    <w:rsid w:val="1BD154F3"/>
    <w:rsid w:val="1E994585"/>
    <w:rsid w:val="1F6F28AE"/>
    <w:rsid w:val="23D83E1C"/>
    <w:rsid w:val="23F944BF"/>
    <w:rsid w:val="24D740D4"/>
    <w:rsid w:val="260735CB"/>
    <w:rsid w:val="273A290F"/>
    <w:rsid w:val="27E21CB4"/>
    <w:rsid w:val="29FA1164"/>
    <w:rsid w:val="2AA84549"/>
    <w:rsid w:val="2D392C79"/>
    <w:rsid w:val="2D92328E"/>
    <w:rsid w:val="2EB931C8"/>
    <w:rsid w:val="31AB5AB5"/>
    <w:rsid w:val="3265038E"/>
    <w:rsid w:val="32833823"/>
    <w:rsid w:val="348E47AF"/>
    <w:rsid w:val="35FF36B8"/>
    <w:rsid w:val="38DA77C6"/>
    <w:rsid w:val="3A341F05"/>
    <w:rsid w:val="3AB47E39"/>
    <w:rsid w:val="3AE66842"/>
    <w:rsid w:val="3BD470F6"/>
    <w:rsid w:val="3DBB7BAD"/>
    <w:rsid w:val="3DDC47DD"/>
    <w:rsid w:val="414051F9"/>
    <w:rsid w:val="420837EB"/>
    <w:rsid w:val="448626B5"/>
    <w:rsid w:val="44881B7F"/>
    <w:rsid w:val="450D7972"/>
    <w:rsid w:val="474F7999"/>
    <w:rsid w:val="49C045C9"/>
    <w:rsid w:val="4A710E53"/>
    <w:rsid w:val="4B811092"/>
    <w:rsid w:val="4BB270BA"/>
    <w:rsid w:val="4C506439"/>
    <w:rsid w:val="4C7402D7"/>
    <w:rsid w:val="4DFE60AA"/>
    <w:rsid w:val="502C47D7"/>
    <w:rsid w:val="50425543"/>
    <w:rsid w:val="54264F01"/>
    <w:rsid w:val="546D3298"/>
    <w:rsid w:val="54892E58"/>
    <w:rsid w:val="583763DA"/>
    <w:rsid w:val="5BF61093"/>
    <w:rsid w:val="5F28567D"/>
    <w:rsid w:val="6023401F"/>
    <w:rsid w:val="6121360E"/>
    <w:rsid w:val="640910F4"/>
    <w:rsid w:val="6483513A"/>
    <w:rsid w:val="64F34E99"/>
    <w:rsid w:val="666E76FC"/>
    <w:rsid w:val="6C2B055A"/>
    <w:rsid w:val="6D0235CC"/>
    <w:rsid w:val="6F5165F4"/>
    <w:rsid w:val="6F611EF8"/>
    <w:rsid w:val="71D8597E"/>
    <w:rsid w:val="729076B1"/>
    <w:rsid w:val="74150BC7"/>
    <w:rsid w:val="753A35BC"/>
    <w:rsid w:val="770668A5"/>
    <w:rsid w:val="7F361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7">
    <w:name w:val="标表内"/>
    <w:basedOn w:val="8"/>
    <w:qFormat/>
    <w:uiPriority w:val="0"/>
    <w:rPr>
      <w:b w:val="0"/>
    </w:rPr>
  </w:style>
  <w:style w:type="paragraph" w:customStyle="1" w:styleId="8">
    <w:name w:val="标表表"/>
    <w:basedOn w:val="9"/>
    <w:autoRedefine/>
    <w:qFormat/>
    <w:uiPriority w:val="0"/>
    <w:pPr>
      <w:spacing w:line="240" w:lineRule="auto"/>
      <w:ind w:firstLine="0" w:firstLineChars="0"/>
      <w:jc w:val="center"/>
    </w:pPr>
    <w:rPr>
      <w:b/>
      <w:sz w:val="21"/>
    </w:rPr>
  </w:style>
  <w:style w:type="paragraph" w:customStyle="1" w:styleId="9">
    <w:name w:val="标样1"/>
    <w:basedOn w:val="1"/>
    <w:autoRedefine/>
    <w:qFormat/>
    <w:uiPriority w:val="0"/>
    <w:pPr>
      <w:adjustRightInd w:val="0"/>
      <w:spacing w:line="300" w:lineRule="auto"/>
      <w:ind w:firstLine="200" w:firstLineChars="200"/>
    </w:pPr>
    <w:rPr>
      <w:rFonts w:ascii="Times New Roman" w:hAnsi="Times New Roman" w:eastAsia="宋体" w:cs="Times New Roman"/>
      <w:snapToGrid w:val="0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386</Words>
  <Characters>3952</Characters>
  <Lines>37</Lines>
  <Paragraphs>10</Paragraphs>
  <TotalTime>5</TotalTime>
  <ScaleCrop>false</ScaleCrop>
  <LinksUpToDate>false</LinksUpToDate>
  <CharactersWithSpaces>4138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2023-12-17T11:21:00Z</dcterms:created>
  <dc:creator>Lenovo</dc:creator>
  <cp:lastModifiedBy>Author</cp:lastModifiedBy>
  <dcterms:modified xsi:type="dcterms:W3CDTF">2025-09-12T05:49:57Z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F8EF85075AAD4AEDAA69B82D8BC3C27F_12</vt:lpwstr>
  </property>
  <property fmtid="{D5CDD505-2E9C-101B-9397-08002B2CF9AE}" pid="4" name="KSOTemplateDocerSaveRecord">
    <vt:lpwstr>eyJoZGlkIjoiNWViNjRiYzE5ZWE2MjczZjI2MTdkNWFiZDk3YmM4NGIiLCJ1c2VySWQiOiIzNzMwMjYzODQifQ==</vt:lpwstr>
  </property>
</Properties>
</file>