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line="360"/>
        <w:jc w:val="center"/>
      </w:pPr>
      <w:r>
        <w:rPr>
          <w:rFonts w:ascii="Arial" w:cs="Arial" w:eastAsia="Arial" w:hAnsi="Arial"/>
          <w:b/>
          <w:bCs/>
          <w:sz w:val="26"/>
          <w:szCs w:val="26"/>
        </w:rPr>
        <w:t xml:space="preserve">Supplementary Figure S1</w:t>
      </w:r>
    </w:p>
    <w:p>
      <w:pPr>
        <w:spacing w:after="240" w:line="360"/>
        <w:jc w:val="center"/>
      </w:pPr>
      <w:r>
        <w:rPr>
          <w:rFonts w:ascii="Arial" w:cs="Arial" w:eastAsia="Arial" w:hAnsi="Arial"/>
          <w:b/>
          <w:bCs/>
          <w:i/>
          <w:iCs/>
          <w:sz w:val="22"/>
          <w:szCs w:val="22"/>
        </w:rPr>
        <w:t xml:space="preserve">Participant Flow Diagram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00"/>
        <w:gridCol w:w="6626"/>
        <w:gridCol w:w="1200"/>
      </w:tblGrid>
      <w:tr>
        <w:tc>
          <w:tcPr>
            <w:tcW w:type="dxa" w:w="1200"/>
            <w:tcBorders>
              <w:top w:val="none" w:sz="0"/>
              <w:left w:val="none" w:sz="0"/>
              <w:bottom w:val="none" w:sz="0"/>
              <w:right w:val="none" w:sz="0"/>
            </w:tcBorders>
          </w:tcPr>
          <w:p>
            <w:pPr>
              <w:spacing w:after="0"/>
            </w:pPr>
          </w:p>
        </w:tc>
        <w:tc>
          <w:tcPr>
            <w:tcW w:type="dxa" w:w="6626"/>
            <w:tcBorders>
              <w:top w:val="single" w:color="333333" w:sz="6"/>
              <w:left w:val="single" w:color="333333" w:sz="6"/>
              <w:bottom w:val="single" w:color="333333" w:sz="6"/>
              <w:right w:val="single" w:color="333333" w:sz="6"/>
            </w:tcBorders>
            <w:shd w:fill="D6E4F0" w:val="clear"/>
            <w:tcMar>
              <w:top w:type="dxa" w:w="100"/>
              <w:left w:type="dxa" w:w="160"/>
              <w:bottom w:type="dxa" w:w="100"/>
              <w:right w:type="dxa" w:w="160"/>
            </w:tcMar>
            <w:vAlign w:val="center"/>
          </w:tcPr>
          <w:p>
            <w:pPr>
              <w:spacing w:after="40" w:line="276"/>
              <w:jc w:val="center"/>
            </w:pPr>
            <w:r>
              <w:rPr>
                <w:rFonts w:ascii="Arial" w:cs="Arial" w:eastAsia="Arial" w:hAnsi="Arial"/>
                <w:b/>
                <w:bCs/>
                <w:sz w:val="22"/>
                <w:szCs w:val="22"/>
              </w:rPr>
              <w:t xml:space="preserve">Geriatric assessment cohort</w:t>
            </w:r>
          </w:p>
          <w:p>
            <w:pPr>
              <w:spacing w:after="40" w:line="276"/>
              <w:jc w:val="center"/>
            </w:pPr>
            <w:r>
              <w:rPr>
                <w:rFonts w:ascii="Arial" w:cs="Arial" w:eastAsia="Arial" w:hAnsi="Arial"/>
                <w:sz w:val="20"/>
                <w:szCs w:val="20"/>
              </w:rPr>
              <w:t xml:space="preserve">Individuals aged ≥70 years</w:t>
            </w:r>
          </w:p>
          <w:p>
            <w:pPr>
              <w:spacing w:after="0" w:line="276"/>
              <w:jc w:val="center"/>
            </w:pPr>
            <w:r>
              <w:rPr>
                <w:rFonts w:ascii="Arial" w:cs="Arial" w:eastAsia="Arial" w:hAnsi="Arial"/>
                <w:sz w:val="20"/>
                <w:szCs w:val="20"/>
              </w:rPr>
              <w:t xml:space="preserve">evaluated between 2020 and 2025</w:t>
            </w:r>
          </w:p>
        </w:tc>
        <w:tc>
          <w:tcPr>
            <w:tcW w:type="dxa" w:w="1200"/>
            <w:tcBorders>
              <w:top w:val="none" w:sz="0"/>
              <w:left w:val="none" w:sz="0"/>
              <w:bottom w:val="none" w:sz="0"/>
              <w:right w:val="none" w:sz="0"/>
            </w:tcBorders>
          </w:tcPr>
          <w:p>
            <w:pPr>
              <w:spacing w:after="0"/>
            </w:pPr>
          </w:p>
        </w:tc>
      </w:tr>
      <w:tr>
        <w:tc>
          <w:tcPr>
            <w:tcW w:type="dxa" w:w="1200"/>
            <w:tcBorders>
              <w:top w:val="none" w:sz="0"/>
              <w:left w:val="none" w:sz="0"/>
              <w:bottom w:val="none" w:sz="0"/>
              <w:right w:val="none" w:sz="0"/>
            </w:tcBorders>
          </w:tcPr>
          <w:p>
            <w:pPr>
              <w:spacing w:after="0"/>
            </w:pPr>
          </w:p>
        </w:tc>
        <w:tc>
          <w:tcPr>
            <w:tcW w:type="dxa" w:w="6626"/>
            <w:tcBorders>
              <w:top w:val="none" w:sz="0"/>
              <w:left w:val="none" w:sz="0"/>
              <w:bottom w:val="none" w:sz="0"/>
              <w:right w:val="none" w:sz="0"/>
            </w:tcBorders>
          </w:tcPr>
          <w:p>
            <w:pPr>
              <w:spacing w:after="40" w:before="40" w:line="240"/>
              <w:jc w:val="center"/>
            </w:pPr>
            <w:r>
              <w:rPr>
                <w:rFonts w:ascii="Arial" w:cs="Arial" w:eastAsia="Arial" w:hAnsi="Arial"/>
                <w:color w:val="333333"/>
                <w:sz w:val="28"/>
                <w:szCs w:val="28"/>
              </w:rPr>
              <w:t xml:space="preserve">▼</w:t>
            </w:r>
          </w:p>
        </w:tc>
        <w:tc>
          <w:tcPr>
            <w:tcW w:type="dxa" w:w="1200"/>
            <w:tcBorders>
              <w:top w:val="none" w:sz="0"/>
              <w:left w:val="none" w:sz="0"/>
              <w:bottom w:val="none" w:sz="0"/>
              <w:right w:val="none" w:sz="0"/>
            </w:tcBorders>
          </w:tcPr>
          <w:p>
            <w:pPr>
              <w:spacing w:after="0"/>
            </w:pPr>
          </w:p>
        </w:tc>
      </w:tr>
      <w:tr>
        <w:tc>
          <w:tcPr>
            <w:tcW w:type="dxa" w:w="1200"/>
            <w:tcBorders>
              <w:top w:val="none" w:sz="0"/>
              <w:left w:val="none" w:sz="0"/>
              <w:bottom w:val="none" w:sz="0"/>
              <w:right w:val="none" w:sz="0"/>
            </w:tcBorders>
          </w:tcPr>
          <w:p>
            <w:pPr>
              <w:spacing w:after="0"/>
            </w:pPr>
          </w:p>
        </w:tc>
        <w:tc>
          <w:tcPr>
            <w:tcW w:type="dxa" w:w="6626"/>
            <w:tcBorders>
              <w:top w:val="single" w:color="333333" w:sz="6"/>
              <w:left w:val="single" w:color="333333" w:sz="6"/>
              <w:bottom w:val="single" w:color="333333" w:sz="6"/>
              <w:right w:val="single" w:color="333333" w:sz="6"/>
            </w:tcBorders>
            <w:shd w:fill="D6E4F0" w:val="clear"/>
            <w:tcMar>
              <w:top w:type="dxa" w:w="100"/>
              <w:left w:type="dxa" w:w="160"/>
              <w:bottom w:type="dxa" w:w="100"/>
              <w:right w:type="dxa" w:w="160"/>
            </w:tcMar>
            <w:vAlign w:val="center"/>
          </w:tcPr>
          <w:p>
            <w:pPr>
              <w:spacing w:after="40" w:line="276"/>
              <w:jc w:val="center"/>
            </w:pPr>
            <w:r>
              <w:rPr>
                <w:rFonts w:ascii="Arial" w:cs="Arial" w:eastAsia="Arial" w:hAnsi="Arial"/>
                <w:b/>
                <w:bCs/>
                <w:sz w:val="22"/>
                <w:szCs w:val="22"/>
              </w:rPr>
              <w:t xml:space="preserve">Met CKD criteria</w:t>
            </w:r>
          </w:p>
          <w:p>
            <w:pPr>
              <w:spacing w:after="40" w:line="276"/>
              <w:jc w:val="center"/>
            </w:pPr>
            <w:r>
              <w:rPr>
                <w:rFonts w:ascii="Arial" w:cs="Arial" w:eastAsia="Arial" w:hAnsi="Arial"/>
                <w:sz w:val="20"/>
                <w:szCs w:val="20"/>
              </w:rPr>
              <w:t xml:space="preserve">(eGFR &lt;60 mL/min/1.73 m² and/or albuminuria ≥30 mg/g)</w:t>
            </w:r>
          </w:p>
          <w:p>
            <w:pPr>
              <w:spacing w:after="0" w:line="276"/>
              <w:jc w:val="center"/>
            </w:pPr>
            <w:r>
              <w:rPr>
                <w:rFonts w:ascii="Arial" w:cs="Arial" w:eastAsia="Arial" w:hAnsi="Arial"/>
                <w:b/>
                <w:bCs/>
                <w:sz w:val="22"/>
                <w:szCs w:val="22"/>
              </w:rPr>
              <w:t xml:space="preserve">n = 670</w:t>
            </w:r>
          </w:p>
        </w:tc>
        <w:tc>
          <w:tcPr>
            <w:tcW w:type="dxa" w:w="1200"/>
            <w:tcBorders>
              <w:top w:val="none" w:sz="0"/>
              <w:left w:val="none" w:sz="0"/>
              <w:bottom w:val="none" w:sz="0"/>
              <w:right w:val="none" w:sz="0"/>
            </w:tcBorders>
          </w:tcPr>
          <w:p>
            <w:pPr>
              <w:spacing w:after="0"/>
            </w:pPr>
          </w:p>
        </w:tc>
      </w:tr>
      <w:tr>
        <w:tc>
          <w:tcPr>
            <w:tcW w:type="dxa" w:w="1200"/>
            <w:tcBorders>
              <w:top w:val="none" w:sz="0"/>
              <w:left w:val="none" w:sz="0"/>
              <w:bottom w:val="none" w:sz="0"/>
              <w:right w:val="none" w:sz="0"/>
            </w:tcBorders>
          </w:tcPr>
          <w:p>
            <w:pPr>
              <w:spacing w:after="0"/>
            </w:pPr>
          </w:p>
        </w:tc>
        <w:tc>
          <w:tcPr>
            <w:tcW w:type="dxa" w:w="6626"/>
            <w:tcBorders>
              <w:top w:val="none" w:sz="0"/>
              <w:left w:val="none" w:sz="0"/>
              <w:bottom w:val="none" w:sz="0"/>
              <w:right w:val="none" w:sz="0"/>
            </w:tcBorders>
          </w:tcPr>
          <w:p>
            <w:pPr>
              <w:spacing w:after="40" w:before="40" w:line="240"/>
              <w:jc w:val="center"/>
            </w:pPr>
            <w:r>
              <w:rPr>
                <w:rFonts w:ascii="Arial" w:cs="Arial" w:eastAsia="Arial" w:hAnsi="Arial"/>
                <w:color w:val="333333"/>
                <w:sz w:val="28"/>
                <w:szCs w:val="28"/>
              </w:rPr>
              <w:t xml:space="preserve">▼</w:t>
            </w:r>
          </w:p>
        </w:tc>
        <w:tc>
          <w:tcPr>
            <w:tcW w:type="dxa" w:w="1200"/>
            <w:tcBorders>
              <w:top w:val="none" w:sz="0"/>
              <w:left w:val="none" w:sz="0"/>
              <w:bottom w:val="none" w:sz="0"/>
              <w:right w:val="none" w:sz="0"/>
            </w:tcBorders>
          </w:tcPr>
          <w:p>
            <w:pPr>
              <w:spacing w:after="0"/>
            </w:pPr>
          </w:p>
        </w:tc>
      </w:tr>
      <w:tr>
        <w:tc>
          <w:tcPr>
            <w:tcW w:type="dxa" w:w="1200"/>
            <w:tcBorders>
              <w:top w:val="none" w:sz="0"/>
              <w:left w:val="none" w:sz="0"/>
              <w:bottom w:val="none" w:sz="0"/>
              <w:right w:val="none" w:sz="0"/>
            </w:tcBorders>
          </w:tcPr>
          <w:p>
            <w:pPr>
              <w:spacing w:after="0"/>
            </w:pPr>
          </w:p>
        </w:tc>
        <w:tc>
          <w:tcPr>
            <w:tcW w:type="dxa" w:w="6626"/>
            <w:tcBorders>
              <w:top w:val="single" w:color="333333" w:sz="6"/>
              <w:left w:val="single" w:color="333333" w:sz="6"/>
              <w:bottom w:val="single" w:color="333333" w:sz="6"/>
              <w:right w:val="single" w:color="333333" w:sz="6"/>
            </w:tcBorders>
            <w:shd w:fill="F2DCDB" w:val="clear"/>
            <w:tcMar>
              <w:top w:type="dxa" w:w="100"/>
              <w:left w:type="dxa" w:w="160"/>
              <w:bottom w:type="dxa" w:w="100"/>
              <w:right w:type="dxa" w:w="160"/>
            </w:tcMar>
            <w:vAlign w:val="center"/>
          </w:tcPr>
          <w:p>
            <w:pPr>
              <w:spacing w:after="40" w:line="276"/>
              <w:jc w:val="center"/>
            </w:pPr>
            <w:r>
              <w:rPr>
                <w:rFonts w:ascii="Arial" w:cs="Arial" w:eastAsia="Arial" w:hAnsi="Arial"/>
                <w:b/>
                <w:bCs/>
                <w:color w:val="8B0000"/>
                <w:sz w:val="22"/>
                <w:szCs w:val="22"/>
              </w:rPr>
              <w:t xml:space="preserve">Excluded (n = 448)</w:t>
            </w:r>
          </w:p>
          <w:p>
            <w:pPr>
              <w:spacing w:after="40" w:line="276"/>
              <w:jc w:val="center"/>
            </w:pPr>
            <w:r>
              <w:rPr>
                <w:rFonts w:ascii="Arial" w:cs="Arial" w:eastAsia="Arial" w:hAnsi="Arial"/>
                <w:sz w:val="20"/>
                <w:szCs w:val="20"/>
              </w:rPr>
              <w:t xml:space="preserve"/>
            </w:r>
          </w:p>
          <w:p>
            <w:pPr>
              <w:spacing w:after="40" w:line="276"/>
              <w:jc w:val="center"/>
            </w:pPr>
            <w:r>
              <w:rPr>
                <w:rFonts w:ascii="Arial" w:cs="Arial" w:eastAsia="Arial" w:hAnsi="Arial"/>
                <w:sz w:val="19"/>
                <w:szCs w:val="19"/>
              </w:rPr>
              <w:t xml:space="preserve">CT imaging not available or not clinically indicated</w:t>
            </w:r>
          </w:p>
          <w:p>
            <w:pPr>
              <w:spacing w:after="40" w:line="276"/>
              <w:jc w:val="center"/>
            </w:pPr>
            <w:r>
              <w:rPr>
                <w:rFonts w:ascii="Arial" w:cs="Arial" w:eastAsia="Arial" w:hAnsi="Arial"/>
                <w:b/>
                <w:bCs/>
                <w:sz w:val="19"/>
                <w:szCs w:val="19"/>
              </w:rPr>
              <w:t xml:space="preserve">n = 312</w:t>
            </w:r>
          </w:p>
          <w:p>
            <w:pPr>
              <w:spacing w:after="40" w:line="276"/>
              <w:jc w:val="center"/>
            </w:pPr>
            <w:r>
              <w:rPr>
                <w:rFonts w:ascii="Arial" w:cs="Arial" w:eastAsia="Arial" w:hAnsi="Arial"/>
                <w:sz w:val="20"/>
                <w:szCs w:val="20"/>
              </w:rPr>
              <w:t xml:space="preserve"/>
            </w:r>
          </w:p>
          <w:p>
            <w:pPr>
              <w:spacing w:after="40" w:line="276"/>
              <w:jc w:val="center"/>
            </w:pPr>
            <w:r>
              <w:rPr>
                <w:rFonts w:ascii="Arial" w:cs="Arial" w:eastAsia="Arial" w:hAnsi="Arial"/>
                <w:sz w:val="19"/>
                <w:szCs w:val="19"/>
              </w:rPr>
              <w:t xml:space="preserve">Incomplete BIA measurements</w:t>
            </w:r>
          </w:p>
          <w:p>
            <w:pPr>
              <w:spacing w:after="40" w:line="276"/>
              <w:jc w:val="center"/>
            </w:pPr>
            <w:r>
              <w:rPr>
                <w:rFonts w:ascii="Arial" w:cs="Arial" w:eastAsia="Arial" w:hAnsi="Arial"/>
                <w:b/>
                <w:bCs/>
                <w:sz w:val="19"/>
                <w:szCs w:val="19"/>
              </w:rPr>
              <w:t xml:space="preserve">n = 89</w:t>
            </w:r>
          </w:p>
          <w:p>
            <w:pPr>
              <w:spacing w:after="40" w:line="276"/>
              <w:jc w:val="center"/>
            </w:pPr>
            <w:r>
              <w:rPr>
                <w:rFonts w:ascii="Arial" w:cs="Arial" w:eastAsia="Arial" w:hAnsi="Arial"/>
                <w:sz w:val="20"/>
                <w:szCs w:val="20"/>
              </w:rPr>
              <w:t xml:space="preserve"/>
            </w:r>
          </w:p>
          <w:p>
            <w:pPr>
              <w:spacing w:after="40" w:line="276"/>
              <w:jc w:val="center"/>
            </w:pPr>
            <w:r>
              <w:rPr>
                <w:rFonts w:ascii="Arial" w:cs="Arial" w:eastAsia="Arial" w:hAnsi="Arial"/>
                <w:sz w:val="19"/>
                <w:szCs w:val="19"/>
              </w:rPr>
              <w:t xml:space="preserve">Missing handgrip strength data</w:t>
            </w:r>
          </w:p>
          <w:p>
            <w:pPr>
              <w:spacing w:after="0" w:line="276"/>
              <w:jc w:val="center"/>
            </w:pPr>
            <w:r>
              <w:rPr>
                <w:rFonts w:ascii="Arial" w:cs="Arial" w:eastAsia="Arial" w:hAnsi="Arial"/>
                <w:b/>
                <w:bCs/>
                <w:sz w:val="19"/>
                <w:szCs w:val="19"/>
              </w:rPr>
              <w:t xml:space="preserve">n = 47</w:t>
            </w:r>
          </w:p>
        </w:tc>
        <w:tc>
          <w:tcPr>
            <w:tcW w:type="dxa" w:w="1200"/>
            <w:tcBorders>
              <w:top w:val="none" w:sz="0"/>
              <w:left w:val="none" w:sz="0"/>
              <w:bottom w:val="none" w:sz="0"/>
              <w:right w:val="none" w:sz="0"/>
            </w:tcBorders>
          </w:tcPr>
          <w:p>
            <w:pPr>
              <w:spacing w:after="0"/>
            </w:pPr>
          </w:p>
        </w:tc>
      </w:tr>
      <w:tr>
        <w:tc>
          <w:tcPr>
            <w:tcW w:type="dxa" w:w="1200"/>
            <w:tcBorders>
              <w:top w:val="none" w:sz="0"/>
              <w:left w:val="none" w:sz="0"/>
              <w:bottom w:val="none" w:sz="0"/>
              <w:right w:val="none" w:sz="0"/>
            </w:tcBorders>
          </w:tcPr>
          <w:p>
            <w:pPr>
              <w:spacing w:after="0"/>
            </w:pPr>
          </w:p>
        </w:tc>
        <w:tc>
          <w:tcPr>
            <w:tcW w:type="dxa" w:w="6626"/>
            <w:tcBorders>
              <w:top w:val="none" w:sz="0"/>
              <w:left w:val="none" w:sz="0"/>
              <w:bottom w:val="none" w:sz="0"/>
              <w:right w:val="none" w:sz="0"/>
            </w:tcBorders>
          </w:tcPr>
          <w:p>
            <w:pPr>
              <w:spacing w:after="40" w:before="40" w:line="240"/>
              <w:jc w:val="center"/>
            </w:pPr>
            <w:r>
              <w:rPr>
                <w:rFonts w:ascii="Arial" w:cs="Arial" w:eastAsia="Arial" w:hAnsi="Arial"/>
                <w:color w:val="333333"/>
                <w:sz w:val="28"/>
                <w:szCs w:val="28"/>
              </w:rPr>
              <w:t xml:space="preserve">▼</w:t>
            </w:r>
          </w:p>
        </w:tc>
        <w:tc>
          <w:tcPr>
            <w:tcW w:type="dxa" w:w="1200"/>
            <w:tcBorders>
              <w:top w:val="none" w:sz="0"/>
              <w:left w:val="none" w:sz="0"/>
              <w:bottom w:val="none" w:sz="0"/>
              <w:right w:val="none" w:sz="0"/>
            </w:tcBorders>
          </w:tcPr>
          <w:p>
            <w:pPr>
              <w:spacing w:after="0"/>
            </w:pPr>
          </w:p>
        </w:tc>
      </w:tr>
      <w:tr>
        <w:tc>
          <w:tcPr>
            <w:tcW w:type="dxa" w:w="1200"/>
            <w:tcBorders>
              <w:top w:val="none" w:sz="0"/>
              <w:left w:val="none" w:sz="0"/>
              <w:bottom w:val="none" w:sz="0"/>
              <w:right w:val="none" w:sz="0"/>
            </w:tcBorders>
          </w:tcPr>
          <w:p>
            <w:pPr>
              <w:spacing w:after="0"/>
            </w:pPr>
          </w:p>
        </w:tc>
        <w:tc>
          <w:tcPr>
            <w:tcW w:type="dxa" w:w="6626"/>
            <w:tcBorders>
              <w:top w:val="single" w:color="333333" w:sz="6"/>
              <w:left w:val="single" w:color="333333" w:sz="6"/>
              <w:bottom w:val="single" w:color="333333" w:sz="6"/>
              <w:right w:val="single" w:color="333333" w:sz="6"/>
            </w:tcBorders>
            <w:shd w:fill="C6EFCE" w:val="clear"/>
            <w:tcMar>
              <w:top w:type="dxa" w:w="100"/>
              <w:left w:type="dxa" w:w="160"/>
              <w:bottom w:type="dxa" w:w="100"/>
              <w:right w:type="dxa" w:w="160"/>
            </w:tcMar>
            <w:vAlign w:val="center"/>
          </w:tcPr>
          <w:p>
            <w:pPr>
              <w:spacing w:after="40" w:line="276"/>
              <w:jc w:val="center"/>
            </w:pPr>
            <w:r>
              <w:rPr>
                <w:rFonts w:ascii="Arial" w:cs="Arial" w:eastAsia="Arial" w:hAnsi="Arial"/>
                <w:b/>
                <w:bCs/>
                <w:sz w:val="22"/>
                <w:szCs w:val="22"/>
              </w:rPr>
              <w:t xml:space="preserve">Final study cohort</w:t>
            </w:r>
          </w:p>
          <w:p>
            <w:pPr>
              <w:spacing w:after="40" w:line="276"/>
              <w:jc w:val="center"/>
            </w:pPr>
            <w:r>
              <w:rPr>
                <w:rFonts w:ascii="Arial" w:cs="Arial" w:eastAsia="Arial" w:hAnsi="Arial"/>
                <w:sz w:val="20"/>
                <w:szCs w:val="20"/>
              </w:rPr>
              <w:t xml:space="preserve">Complete data on body composition (BIA + CT),</w:t>
            </w:r>
          </w:p>
          <w:p>
            <w:pPr>
              <w:spacing w:after="40" w:line="276"/>
              <w:jc w:val="center"/>
            </w:pPr>
            <w:r>
              <w:rPr>
                <w:rFonts w:ascii="Arial" w:cs="Arial" w:eastAsia="Arial" w:hAnsi="Arial"/>
                <w:sz w:val="20"/>
                <w:szCs w:val="20"/>
              </w:rPr>
              <w:t xml:space="preserve">muscle strength, and laboratory parameters</w:t>
            </w:r>
          </w:p>
          <w:p>
            <w:pPr>
              <w:spacing w:after="0" w:line="276"/>
              <w:jc w:val="center"/>
            </w:pPr>
            <w:r>
              <w:rPr>
                <w:rFonts w:ascii="Arial" w:cs="Arial" w:eastAsia="Arial" w:hAnsi="Arial"/>
                <w:b/>
                <w:bCs/>
                <w:sz w:val="24"/>
                <w:szCs w:val="24"/>
              </w:rPr>
              <w:t xml:space="preserve">n = 222</w:t>
            </w:r>
          </w:p>
        </w:tc>
        <w:tc>
          <w:tcPr>
            <w:tcW w:type="dxa" w:w="1200"/>
            <w:tcBorders>
              <w:top w:val="none" w:sz="0"/>
              <w:left w:val="none" w:sz="0"/>
              <w:bottom w:val="none" w:sz="0"/>
              <w:right w:val="none" w:sz="0"/>
            </w:tcBorders>
          </w:tcPr>
          <w:p>
            <w:pPr>
              <w:spacing w:after="0"/>
            </w:pPr>
          </w:p>
        </w:tc>
      </w:tr>
      <w:tr>
        <w:tc>
          <w:tcPr>
            <w:tcW w:type="dxa" w:w="1200"/>
            <w:tcBorders>
              <w:top w:val="none" w:sz="0"/>
              <w:left w:val="none" w:sz="0"/>
              <w:bottom w:val="none" w:sz="0"/>
              <w:right w:val="none" w:sz="0"/>
            </w:tcBorders>
          </w:tcPr>
          <w:p>
            <w:pPr>
              <w:spacing w:after="0"/>
            </w:pPr>
          </w:p>
        </w:tc>
        <w:tc>
          <w:tcPr>
            <w:tcW w:type="dxa" w:w="6626"/>
            <w:tcBorders>
              <w:top w:val="none" w:sz="0"/>
              <w:left w:val="none" w:sz="0"/>
              <w:bottom w:val="none" w:sz="0"/>
              <w:right w:val="none" w:sz="0"/>
            </w:tcBorders>
          </w:tcPr>
          <w:p>
            <w:pPr>
              <w:spacing w:after="40" w:before="40" w:line="240"/>
              <w:jc w:val="center"/>
            </w:pPr>
            <w:r>
              <w:rPr>
                <w:rFonts w:ascii="Arial" w:cs="Arial" w:eastAsia="Arial" w:hAnsi="Arial"/>
                <w:color w:val="333333"/>
                <w:sz w:val="28"/>
                <w:szCs w:val="28"/>
              </w:rPr>
              <w:t xml:space="preserve">▼</w:t>
            </w:r>
          </w:p>
        </w:tc>
        <w:tc>
          <w:tcPr>
            <w:tcW w:type="dxa" w:w="1200"/>
            <w:tcBorders>
              <w:top w:val="none" w:sz="0"/>
              <w:left w:val="none" w:sz="0"/>
              <w:bottom w:val="none" w:sz="0"/>
              <w:right w:val="none" w:sz="0"/>
            </w:tcBorders>
          </w:tcPr>
          <w:p>
            <w:pPr>
              <w:spacing w:after="0"/>
            </w:pPr>
          </w:p>
        </w:tc>
      </w:tr>
      <w:tr>
        <w:tc>
          <w:tcPr>
            <w:tcW w:type="dxa" w:w="1200"/>
            <w:tcBorders>
              <w:top w:val="none" w:sz="0"/>
              <w:left w:val="none" w:sz="0"/>
              <w:bottom w:val="none" w:sz="0"/>
              <w:right w:val="none" w:sz="0"/>
            </w:tcBorders>
          </w:tcPr>
          <w:p>
            <w:pPr>
              <w:spacing w:after="0"/>
            </w:pPr>
          </w:p>
        </w:tc>
        <w:tc>
          <w:tcPr>
            <w:tcW w:type="dxa" w:w="6626"/>
            <w:tcBorders>
              <w:top w:val="single" w:color="333333" w:sz="6"/>
              <w:left w:val="single" w:color="333333" w:sz="6"/>
              <w:bottom w:val="single" w:color="333333" w:sz="6"/>
              <w:right w:val="single" w:color="333333" w:sz="6"/>
            </w:tcBorders>
            <w:shd w:fill="FFF2CC" w:val="clear"/>
            <w:tcMar>
              <w:top w:type="dxa" w:w="100"/>
              <w:left w:type="dxa" w:w="160"/>
              <w:bottom w:type="dxa" w:w="100"/>
              <w:right w:type="dxa" w:w="160"/>
            </w:tcMar>
            <w:vAlign w:val="center"/>
          </w:tcPr>
          <w:p>
            <w:pPr>
              <w:spacing w:after="40" w:line="276"/>
              <w:jc w:val="center"/>
            </w:pPr>
            <w:r>
              <w:rPr>
                <w:rFonts w:ascii="Arial" w:cs="Arial" w:eastAsia="Arial" w:hAnsi="Arial"/>
                <w:b/>
                <w:bCs/>
                <w:sz w:val="22"/>
                <w:szCs w:val="22"/>
              </w:rPr>
              <w:t xml:space="preserve">Body composition phenotypes</w:t>
            </w:r>
          </w:p>
          <w:p>
            <w:pPr>
              <w:spacing w:after="40" w:line="276"/>
              <w:jc w:val="center"/>
            </w:pPr>
            <w:r>
              <w:rPr>
                <w:rFonts w:ascii="Arial" w:cs="Arial" w:eastAsia="Arial" w:hAnsi="Arial"/>
                <w:sz w:val="20"/>
                <w:szCs w:val="20"/>
              </w:rPr>
              <w:t xml:space="preserve"/>
            </w:r>
          </w:p>
          <w:p>
            <w:pPr>
              <w:spacing w:after="40" w:line="276"/>
              <w:jc w:val="center"/>
            </w:pPr>
            <w:r>
              <w:rPr>
                <w:rFonts w:ascii="Arial" w:cs="Arial" w:eastAsia="Arial" w:hAnsi="Arial"/>
                <w:sz w:val="19"/>
                <w:szCs w:val="19"/>
              </w:rPr>
              <w:t xml:space="preserve">No sarcopenia / No obesity:  n = 59  (26.6%)</w:t>
            </w:r>
          </w:p>
          <w:p>
            <w:pPr>
              <w:spacing w:after="40" w:line="276"/>
              <w:jc w:val="center"/>
            </w:pPr>
            <w:r>
              <w:rPr>
                <w:rFonts w:ascii="Arial" w:cs="Arial" w:eastAsia="Arial" w:hAnsi="Arial"/>
                <w:sz w:val="19"/>
                <w:szCs w:val="19"/>
              </w:rPr>
              <w:t xml:space="preserve">Obesity only:  n = 62  (27.9%)</w:t>
            </w:r>
          </w:p>
          <w:p>
            <w:pPr>
              <w:spacing w:after="40" w:line="276"/>
              <w:jc w:val="center"/>
            </w:pPr>
            <w:r>
              <w:rPr>
                <w:rFonts w:ascii="Arial" w:cs="Arial" w:eastAsia="Arial" w:hAnsi="Arial"/>
                <w:sz w:val="19"/>
                <w:szCs w:val="19"/>
              </w:rPr>
              <w:t xml:space="preserve">Sarcopenia only:  n = 74  (33.3%)</w:t>
            </w:r>
          </w:p>
          <w:p>
            <w:pPr>
              <w:spacing w:after="0" w:line="276"/>
              <w:jc w:val="center"/>
            </w:pPr>
            <w:r>
              <w:rPr>
                <w:rFonts w:ascii="Arial" w:cs="Arial" w:eastAsia="Arial" w:hAnsi="Arial"/>
                <w:sz w:val="19"/>
                <w:szCs w:val="19"/>
              </w:rPr>
              <w:t xml:space="preserve">Sarcopenic obesity:  n = 27  (12.2%)</w:t>
            </w:r>
          </w:p>
        </w:tc>
        <w:tc>
          <w:tcPr>
            <w:tcW w:type="dxa" w:w="1200"/>
            <w:tcBorders>
              <w:top w:val="none" w:sz="0"/>
              <w:left w:val="none" w:sz="0"/>
              <w:bottom w:val="none" w:sz="0"/>
              <w:right w:val="none" w:sz="0"/>
            </w:tcBorders>
          </w:tcPr>
          <w:p>
            <w:pPr>
              <w:spacing w:after="0"/>
            </w:pPr>
          </w:p>
        </w:tc>
      </w:tr>
    </w:tbl>
    <w:p>
      <w:pPr>
        <w:spacing w:after="120" w:before="200" w:line="340"/>
        <w:jc w:val="both"/>
      </w:pPr>
      <w:r>
        <w:rPr>
          <w:rFonts w:ascii="Arial" w:cs="Arial" w:eastAsia="Arial" w:hAnsi="Arial"/>
          <w:b/>
          <w:bCs/>
          <w:sz w:val="20"/>
          <w:szCs w:val="20"/>
        </w:rPr>
        <w:t xml:space="preserve">Figure S1. </w:t>
      </w:r>
      <w:r>
        <w:rPr>
          <w:rFonts w:ascii="Arial" w:cs="Arial" w:eastAsia="Arial" w:hAnsi="Arial"/>
          <w:sz w:val="20"/>
          <w:szCs w:val="20"/>
        </w:rPr>
        <w:t xml:space="preserve">Participant flow diagram showing derivation of the final study cohort. Of 670 older adults meeting CKD criteria, 448 were excluded due to incomplete body composition or functional assessment data. The main reasons for exclusion were: CT imaging not clinically indicated or not available (n = 312), incomplete BIA measurements (n = 89), and missing handgrip strength data (n = 47). The final cohort of 222 participants was classified into four body composition phenotypes based on the presence of sarcopenia (EWGSOP2 criteria) and obesity (BMI ≥30 kg/m²).</w:t>
      </w:r>
    </w:p>
    <w:p>
      <w:pPr>
        <w:spacing w:after="120" w:before="120" w:line="340"/>
        <w:jc w:val="both"/>
      </w:pPr>
      <w:r>
        <w:rPr>
          <w:rFonts w:ascii="Arial" w:cs="Arial" w:eastAsia="Arial" w:hAnsi="Arial"/>
          <w:b/>
          <w:bCs/>
          <w:i/>
          <w:iCs/>
          <w:sz w:val="20"/>
          <w:szCs w:val="20"/>
        </w:rPr>
        <w:t xml:space="preserve">Selection bias assessment: </w:t>
      </w:r>
      <w:r>
        <w:rPr>
          <w:rFonts w:ascii="Arial" w:cs="Arial" w:eastAsia="Arial" w:hAnsi="Arial"/>
          <w:i/>
          <w:iCs/>
          <w:sz w:val="20"/>
          <w:szCs w:val="20"/>
        </w:rPr>
        <w:t xml:space="preserve">Included participants (n = 222) were compared with excluded participants (n = 448) on key baseline characteristics. Groups were similar in age (median 82.2 vs. 81.5 years, p = 0.34), sex distribution (27.9% vs. 30.1% male, p = 0.55), and eGFR (median 51.2 vs. 49.8 mL/min/1.73 m², p = 0.42). However, excluded participants may have included individuals who were too frail to complete body composition testing, representing a potential source of selection bias.</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i/>
        <w:iCs/>
        <w:color w:val="888888"/>
        <w:sz w:val="16"/>
        <w:szCs w:val="16"/>
      </w:rPr>
      <w:t xml:space="preserve">Supplementary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2026-05-02T03:24:38.176Z</dcterms:created>
  <dcterms:modified xsi:type="dcterms:W3CDTF">2026-05-02T03:24:38.177Z</dcterms:modified>
</cp:coreProperties>
</file>

<file path=docProps/custom.xml><?xml version="1.0" encoding="utf-8"?>
<Properties xmlns="http://schemas.openxmlformats.org/officeDocument/2006/custom-properties" xmlns:vt="http://schemas.openxmlformats.org/officeDocument/2006/docPropsVTypes"/>
</file>