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1AD90" w14:textId="2F7A68F2" w:rsidR="00854ACB" w:rsidRPr="001E5563" w:rsidRDefault="001E5563" w:rsidP="00F52E87">
      <w:pPr>
        <w:pStyle w:val="ListParagraph"/>
        <w:numPr>
          <w:ilvl w:val="0"/>
          <w:numId w:val="10"/>
        </w:numPr>
        <w:spacing w:line="360" w:lineRule="auto"/>
        <w:jc w:val="both"/>
        <w:rPr>
          <w:rFonts w:asciiTheme="majorBidi" w:hAnsiTheme="majorBidi" w:cstheme="majorBidi"/>
          <w:b/>
          <w:bCs/>
          <w:sz w:val="28"/>
          <w:szCs w:val="28"/>
        </w:rPr>
      </w:pPr>
      <w:r w:rsidRPr="001E5563">
        <w:rPr>
          <w:rFonts w:asciiTheme="majorBidi" w:hAnsiTheme="majorBidi" w:cstheme="majorBidi"/>
          <w:b/>
          <w:bCs/>
          <w:sz w:val="28"/>
          <w:szCs w:val="28"/>
        </w:rPr>
        <w:t>Project Summary &amp; General Information</w:t>
      </w:r>
    </w:p>
    <w:p w14:paraId="260B0EBB" w14:textId="77777777" w:rsidR="001E5563" w:rsidRPr="001E5563" w:rsidRDefault="001E5563" w:rsidP="00F52E87">
      <w:pPr>
        <w:spacing w:line="360" w:lineRule="auto"/>
        <w:jc w:val="both"/>
        <w:rPr>
          <w:rFonts w:asciiTheme="majorBidi" w:hAnsiTheme="majorBidi" w:cstheme="majorBidi"/>
          <w:b/>
          <w:bCs/>
        </w:rPr>
      </w:pPr>
      <w:r w:rsidRPr="001E5563">
        <w:rPr>
          <w:rFonts w:asciiTheme="majorBidi" w:hAnsiTheme="majorBidi" w:cstheme="majorBidi"/>
          <w:b/>
          <w:bCs/>
        </w:rPr>
        <w:t>Protocol Title:</w:t>
      </w:r>
      <w:r w:rsidRPr="001E5563">
        <w:rPr>
          <w:rFonts w:asciiTheme="majorBidi" w:hAnsiTheme="majorBidi" w:cstheme="majorBidi"/>
        </w:rPr>
        <w:t xml:space="preserve"> Effect of </w:t>
      </w:r>
      <w:proofErr w:type="spellStart"/>
      <w:r w:rsidRPr="001E5563">
        <w:rPr>
          <w:rFonts w:asciiTheme="majorBidi" w:hAnsiTheme="majorBidi" w:cstheme="majorBidi"/>
        </w:rPr>
        <w:t>Intrasphincteric</w:t>
      </w:r>
      <w:proofErr w:type="spellEnd"/>
      <w:r w:rsidRPr="001E5563">
        <w:rPr>
          <w:rFonts w:asciiTheme="majorBidi" w:hAnsiTheme="majorBidi" w:cstheme="majorBidi"/>
        </w:rPr>
        <w:t xml:space="preserve"> Botulinum Toxin Injection During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on Postoperative Clinical Outcomes: A Randomized, Double-Blind, Placebo-Controlled Trial. </w:t>
      </w:r>
    </w:p>
    <w:p w14:paraId="2867E086" w14:textId="0E32C9B0"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Protocol Number:</w:t>
      </w:r>
      <w:r w:rsidRPr="001E5563">
        <w:rPr>
          <w:rFonts w:asciiTheme="majorBidi" w:hAnsiTheme="majorBidi" w:cstheme="majorBidi"/>
        </w:rPr>
        <w:t xml:space="preserve"> </w:t>
      </w:r>
      <w:r w:rsidRPr="001E5563">
        <w:rPr>
          <w:rFonts w:asciiTheme="majorBidi" w:hAnsiTheme="majorBidi" w:cstheme="majorBidi"/>
          <w:sz w:val="24"/>
          <w:szCs w:val="24"/>
        </w:rPr>
        <w:t>IRCT20130826014483N12</w:t>
      </w:r>
    </w:p>
    <w:p w14:paraId="341D459A" w14:textId="2D7330CC"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Date:</w:t>
      </w:r>
      <w:r w:rsidRPr="001E5563">
        <w:rPr>
          <w:rFonts w:asciiTheme="majorBidi" w:hAnsiTheme="majorBidi" w:cstheme="majorBidi"/>
        </w:rPr>
        <w:t xml:space="preserve"> </w:t>
      </w:r>
      <w:r w:rsidRPr="001E5563">
        <w:rPr>
          <w:rFonts w:asciiTheme="majorBidi" w:hAnsiTheme="majorBidi" w:cstheme="majorBidi"/>
          <w:sz w:val="24"/>
          <w:szCs w:val="24"/>
        </w:rPr>
        <w:t xml:space="preserve">25 June 2025 </w:t>
      </w:r>
    </w:p>
    <w:p w14:paraId="62040560" w14:textId="7FEA8F30"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Sponsor/Funder:</w:t>
      </w:r>
      <w:r w:rsidRPr="001E5563">
        <w:rPr>
          <w:rFonts w:asciiTheme="majorBidi" w:hAnsiTheme="majorBidi" w:cstheme="majorBidi"/>
        </w:rPr>
        <w:t xml:space="preserve"> Mazandaran University of Medical Sciences, Sari, Iran.</w:t>
      </w:r>
    </w:p>
    <w:p w14:paraId="7B8CCDBD"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Investigator(s):</w:t>
      </w:r>
      <w:r w:rsidRPr="001E5563">
        <w:rPr>
          <w:rFonts w:asciiTheme="majorBidi" w:hAnsiTheme="majorBidi" w:cstheme="majorBidi"/>
        </w:rPr>
        <w:t xml:space="preserve"> </w:t>
      </w:r>
    </w:p>
    <w:p w14:paraId="4F4F2B4F" w14:textId="3222C92F"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 </w:t>
      </w:r>
      <w:r w:rsidRPr="001E5563">
        <w:rPr>
          <w:rFonts w:asciiTheme="majorBidi" w:hAnsiTheme="majorBidi" w:cstheme="majorBidi"/>
          <w:b/>
          <w:bCs/>
        </w:rPr>
        <w:t>Principal Investigator:</w:t>
      </w:r>
      <w:r w:rsidRPr="001E5563">
        <w:rPr>
          <w:rFonts w:asciiTheme="majorBidi" w:hAnsiTheme="majorBidi" w:cstheme="majorBidi"/>
        </w:rPr>
        <w:t xml:space="preserve"> Dr. Mina Alvandipour (Department of Surgery).</w:t>
      </w:r>
    </w:p>
    <w:p w14:paraId="2B3D6412" w14:textId="77777777" w:rsidR="001E5563" w:rsidRPr="001E5563" w:rsidRDefault="001E5563" w:rsidP="00F52E87">
      <w:pPr>
        <w:numPr>
          <w:ilvl w:val="0"/>
          <w:numId w:val="1"/>
        </w:numPr>
        <w:spacing w:line="360" w:lineRule="auto"/>
        <w:jc w:val="both"/>
        <w:rPr>
          <w:rFonts w:asciiTheme="majorBidi" w:hAnsiTheme="majorBidi" w:cstheme="majorBidi"/>
        </w:rPr>
      </w:pPr>
      <w:r w:rsidRPr="001E5563">
        <w:rPr>
          <w:rFonts w:asciiTheme="majorBidi" w:hAnsiTheme="majorBidi" w:cstheme="majorBidi"/>
          <w:b/>
          <w:bCs/>
        </w:rPr>
        <w:t>Co-Investigators:</w:t>
      </w:r>
      <w:r w:rsidRPr="001E5563">
        <w:rPr>
          <w:rFonts w:asciiTheme="majorBidi" w:hAnsiTheme="majorBidi" w:cstheme="majorBidi"/>
        </w:rPr>
        <w:t xml:space="preserve"> Sina Safari, Maryam </w:t>
      </w:r>
      <w:proofErr w:type="spellStart"/>
      <w:r w:rsidRPr="001E5563">
        <w:rPr>
          <w:rFonts w:asciiTheme="majorBidi" w:hAnsiTheme="majorBidi" w:cstheme="majorBidi"/>
        </w:rPr>
        <w:t>Vahidpoor</w:t>
      </w:r>
      <w:proofErr w:type="spellEnd"/>
      <w:r w:rsidRPr="001E5563">
        <w:rPr>
          <w:rFonts w:asciiTheme="majorBidi" w:hAnsiTheme="majorBidi" w:cstheme="majorBidi"/>
        </w:rPr>
        <w:t>, Mehdi Karimi.</w:t>
      </w:r>
    </w:p>
    <w:p w14:paraId="6D34CF5E" w14:textId="3B61E60E"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Study Site(s):</w:t>
      </w:r>
      <w:r w:rsidRPr="001E5563">
        <w:rPr>
          <w:rFonts w:asciiTheme="majorBidi" w:hAnsiTheme="majorBidi" w:cstheme="majorBidi"/>
        </w:rPr>
        <w:t xml:space="preserve"> Imam Khomeini and Shafa Tertiary Hospitals, Sari, Iran.</w:t>
      </w:r>
    </w:p>
    <w:p w14:paraId="0937791D" w14:textId="77777777" w:rsidR="001E5563" w:rsidRPr="001E5563" w:rsidRDefault="001E5563" w:rsidP="00F52E87">
      <w:pPr>
        <w:spacing w:line="360" w:lineRule="auto"/>
        <w:jc w:val="both"/>
        <w:rPr>
          <w:rFonts w:asciiTheme="majorBidi" w:hAnsiTheme="majorBidi" w:cstheme="majorBidi"/>
        </w:rPr>
      </w:pPr>
    </w:p>
    <w:p w14:paraId="51BE4AFB" w14:textId="5A057E80" w:rsidR="001E5563" w:rsidRPr="001E5563" w:rsidRDefault="001E5563" w:rsidP="00F52E87">
      <w:pPr>
        <w:pStyle w:val="ListParagraph"/>
        <w:numPr>
          <w:ilvl w:val="0"/>
          <w:numId w:val="10"/>
        </w:numPr>
        <w:spacing w:line="360" w:lineRule="auto"/>
        <w:jc w:val="both"/>
        <w:rPr>
          <w:rFonts w:asciiTheme="majorBidi" w:hAnsiTheme="majorBidi" w:cstheme="majorBidi"/>
          <w:b/>
          <w:bCs/>
          <w:sz w:val="28"/>
          <w:szCs w:val="28"/>
        </w:rPr>
      </w:pPr>
      <w:r w:rsidRPr="001E5563">
        <w:rPr>
          <w:rFonts w:asciiTheme="majorBidi" w:hAnsiTheme="majorBidi" w:cstheme="majorBidi"/>
          <w:b/>
          <w:bCs/>
          <w:sz w:val="28"/>
          <w:szCs w:val="28"/>
        </w:rPr>
        <w:t xml:space="preserve">Project Summary </w:t>
      </w:r>
    </w:p>
    <w:p w14:paraId="02A54C01" w14:textId="77777777" w:rsidR="001E5563" w:rsidRPr="001E5563" w:rsidRDefault="001E5563" w:rsidP="00F52E87">
      <w:pPr>
        <w:spacing w:line="360" w:lineRule="auto"/>
        <w:jc w:val="both"/>
        <w:rPr>
          <w:rFonts w:asciiTheme="majorBidi" w:hAnsiTheme="majorBidi" w:cstheme="majorBidi"/>
          <w:b/>
          <w:bCs/>
        </w:rPr>
      </w:pPr>
      <w:r w:rsidRPr="001E5563">
        <w:rPr>
          <w:rFonts w:asciiTheme="majorBidi" w:hAnsiTheme="majorBidi" w:cstheme="majorBidi"/>
          <w:b/>
          <w:bCs/>
        </w:rPr>
        <w:t>Rationale:</w:t>
      </w:r>
      <w:r w:rsidRPr="001E5563">
        <w:rPr>
          <w:rFonts w:asciiTheme="majorBidi" w:hAnsiTheme="majorBidi" w:cstheme="majorBidi"/>
        </w:rPr>
        <w:t xml:space="preserve"> Postoperative complications, particularly pain and urinary retention (POUR), are common after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due to internal anal sphincter (IAS) hypertonicity. Botulinum toxin (BTX) can induce chemical sphincterotomy, potentially reducing these complications. </w:t>
      </w:r>
    </w:p>
    <w:p w14:paraId="25C7C3BE"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Objectives:</w:t>
      </w:r>
      <w:r w:rsidRPr="001E5563">
        <w:rPr>
          <w:rFonts w:asciiTheme="majorBidi" w:hAnsiTheme="majorBidi" w:cstheme="majorBidi"/>
        </w:rPr>
        <w:t xml:space="preserve"> The primary objective is to evaluate the effect of </w:t>
      </w:r>
      <w:proofErr w:type="spellStart"/>
      <w:r w:rsidRPr="001E5563">
        <w:rPr>
          <w:rFonts w:asciiTheme="majorBidi" w:hAnsiTheme="majorBidi" w:cstheme="majorBidi"/>
        </w:rPr>
        <w:t>intrasphincteric</w:t>
      </w:r>
      <w:proofErr w:type="spellEnd"/>
      <w:r w:rsidRPr="001E5563">
        <w:rPr>
          <w:rFonts w:asciiTheme="majorBidi" w:hAnsiTheme="majorBidi" w:cstheme="majorBidi"/>
        </w:rPr>
        <w:t xml:space="preserve"> BTX injection on postoperative pain scores and the incidence of POUR compared to a placebo. </w:t>
      </w:r>
    </w:p>
    <w:p w14:paraId="394381F7" w14:textId="77777777" w:rsidR="001E5563" w:rsidRPr="001E5563" w:rsidRDefault="001E5563" w:rsidP="00F52E87">
      <w:pPr>
        <w:spacing w:line="360" w:lineRule="auto"/>
        <w:jc w:val="both"/>
        <w:rPr>
          <w:rFonts w:asciiTheme="majorBidi" w:hAnsiTheme="majorBidi" w:cstheme="majorBidi"/>
          <w:b/>
          <w:bCs/>
        </w:rPr>
      </w:pPr>
      <w:r w:rsidRPr="001E5563">
        <w:rPr>
          <w:rFonts w:asciiTheme="majorBidi" w:hAnsiTheme="majorBidi" w:cstheme="majorBidi"/>
          <w:b/>
          <w:bCs/>
        </w:rPr>
        <w:t>Methods:</w:t>
      </w:r>
      <w:r w:rsidRPr="001E5563">
        <w:rPr>
          <w:rFonts w:asciiTheme="majorBidi" w:hAnsiTheme="majorBidi" w:cstheme="majorBidi"/>
        </w:rPr>
        <w:t xml:space="preserve"> In this randomized, double-blind, placebo-controlled trial, 68 patients (34 per group) undergoing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will be enrolled. The intervention group will receive 50 units of BTX-A, while the control group will receive normal saline. </w:t>
      </w:r>
    </w:p>
    <w:p w14:paraId="3AF04440" w14:textId="7BAD0FC9"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b/>
          <w:bCs/>
        </w:rPr>
        <w:t>Expected Outcomes:</w:t>
      </w:r>
      <w:r w:rsidRPr="001E5563">
        <w:rPr>
          <w:rFonts w:asciiTheme="majorBidi" w:hAnsiTheme="majorBidi" w:cstheme="majorBidi"/>
        </w:rPr>
        <w:t xml:space="preserve"> It is hypothesized that BTX injection will significantly reduce mean pain scores (VAS) and the requirement for catheterization due to POUR.</w:t>
      </w:r>
    </w:p>
    <w:p w14:paraId="6AB36E18" w14:textId="77777777" w:rsidR="001E5563" w:rsidRPr="001E5563" w:rsidRDefault="001E5563" w:rsidP="00F52E87">
      <w:pPr>
        <w:spacing w:line="360" w:lineRule="auto"/>
        <w:jc w:val="both"/>
        <w:rPr>
          <w:rFonts w:asciiTheme="majorBidi" w:hAnsiTheme="majorBidi" w:cstheme="majorBidi"/>
        </w:rPr>
      </w:pPr>
    </w:p>
    <w:p w14:paraId="343B6F4F" w14:textId="77777777" w:rsidR="001E5563" w:rsidRPr="001E5563" w:rsidRDefault="001E5563" w:rsidP="00F52E87">
      <w:pPr>
        <w:spacing w:line="360" w:lineRule="auto"/>
        <w:jc w:val="both"/>
        <w:rPr>
          <w:rFonts w:asciiTheme="majorBidi" w:hAnsiTheme="majorBidi" w:cstheme="majorBidi"/>
        </w:rPr>
      </w:pPr>
    </w:p>
    <w:p w14:paraId="50A5F004" w14:textId="5DCCB58C" w:rsidR="001E5563" w:rsidRPr="001E5563" w:rsidRDefault="001E5563" w:rsidP="00F52E87">
      <w:pPr>
        <w:pStyle w:val="ListParagraph"/>
        <w:numPr>
          <w:ilvl w:val="0"/>
          <w:numId w:val="10"/>
        </w:numPr>
        <w:spacing w:line="360" w:lineRule="auto"/>
        <w:jc w:val="both"/>
        <w:rPr>
          <w:rFonts w:asciiTheme="majorBidi" w:hAnsiTheme="majorBidi" w:cstheme="majorBidi"/>
          <w:b/>
          <w:bCs/>
          <w:sz w:val="28"/>
          <w:szCs w:val="28"/>
        </w:rPr>
      </w:pPr>
      <w:proofErr w:type="gramStart"/>
      <w:r w:rsidRPr="001E5563">
        <w:rPr>
          <w:rFonts w:asciiTheme="majorBidi" w:hAnsiTheme="majorBidi" w:cstheme="majorBidi"/>
          <w:b/>
          <w:bCs/>
          <w:sz w:val="28"/>
          <w:szCs w:val="28"/>
        </w:rPr>
        <w:t>Rationale</w:t>
      </w:r>
      <w:proofErr w:type="gramEnd"/>
      <w:r w:rsidRPr="001E5563">
        <w:rPr>
          <w:rFonts w:asciiTheme="majorBidi" w:hAnsiTheme="majorBidi" w:cstheme="majorBidi"/>
          <w:b/>
          <w:bCs/>
          <w:sz w:val="28"/>
          <w:szCs w:val="28"/>
        </w:rPr>
        <w:t xml:space="preserve"> and Background Information</w:t>
      </w:r>
    </w:p>
    <w:p w14:paraId="37063A93" w14:textId="458440D4"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lastRenderedPageBreak/>
        <w:t xml:space="preserve">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(SH), or Procedure for Prolapse and Hemorrhoids (PPH), has emerged as a preferred surgical modality for high-grade circumferential hemorrhoids. While it offers superior outcomes in terms of operative time and hospital stay compared to excisional hemorrhoidectomy, postoperative morbidity remains a significant challenge. Specifically, Internal Anal Sphincter (IAS) hypertonicity and spasm are identified as the primary triggers for acute postoperative pain </w:t>
      </w:r>
      <w:r w:rsidR="00E6533C">
        <w:rPr>
          <w:rFonts w:asciiTheme="majorBidi" w:hAnsiTheme="majorBidi" w:cstheme="majorBidi"/>
        </w:rPr>
        <w:fldChar w:fldCharType="begin">
          <w:fldData xml:space="preserve">PEVuZE5vdGU+PENpdGU+PEF1dGhvcj5EcmVzc2xlcjwvQXV0aG9yPjxZZWFyPjIwMTI8L1llYXI+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</w:fldData>
        </w:fldChar>
      </w:r>
      <w:r w:rsidR="00E6533C">
        <w:rPr>
          <w:rFonts w:asciiTheme="majorBidi" w:hAnsiTheme="majorBidi" w:cstheme="majorBidi"/>
        </w:rPr>
        <w:instrText xml:space="preserve"> ADDIN EN.CITE </w:instrText>
      </w:r>
      <w:r w:rsidR="00E6533C">
        <w:rPr>
          <w:rFonts w:asciiTheme="majorBidi" w:hAnsiTheme="majorBidi" w:cstheme="majorBidi"/>
        </w:rPr>
        <w:fldChar w:fldCharType="begin">
          <w:fldData xml:space="preserve">PEVuZE5vdGU+PENpdGU+PEF1dGhvcj5EcmVzc2xlcjwvQXV0aG9yPjxZZWFyPjIwMTI8L1llYXI+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</w:fldData>
        </w:fldChar>
      </w:r>
      <w:r w:rsidR="00E6533C">
        <w:rPr>
          <w:rFonts w:asciiTheme="majorBidi" w:hAnsiTheme="majorBidi" w:cstheme="majorBidi"/>
        </w:rPr>
        <w:instrText xml:space="preserve"> ADDIN EN.CITE.DATA </w:instrText>
      </w:r>
      <w:r w:rsidR="00E6533C">
        <w:rPr>
          <w:rFonts w:asciiTheme="majorBidi" w:hAnsiTheme="majorBidi" w:cstheme="majorBidi"/>
        </w:rPr>
      </w:r>
      <w:r w:rsidR="00E6533C">
        <w:rPr>
          <w:rFonts w:asciiTheme="majorBidi" w:hAnsiTheme="majorBidi" w:cstheme="majorBidi"/>
        </w:rPr>
        <w:fldChar w:fldCharType="end"/>
      </w:r>
      <w:r w:rsidR="00E6533C">
        <w:rPr>
          <w:rFonts w:asciiTheme="majorBidi" w:hAnsiTheme="majorBidi" w:cstheme="majorBidi"/>
        </w:rPr>
        <w:fldChar w:fldCharType="separate"/>
      </w:r>
      <w:r w:rsidR="00E6533C">
        <w:rPr>
          <w:rFonts w:asciiTheme="majorBidi" w:hAnsiTheme="majorBidi" w:cstheme="majorBidi"/>
          <w:noProof/>
        </w:rPr>
        <w:t>(1, 2)</w:t>
      </w:r>
      <w:r w:rsidR="00E6533C">
        <w:rPr>
          <w:rFonts w:asciiTheme="majorBidi" w:hAnsiTheme="majorBidi" w:cstheme="majorBidi"/>
        </w:rPr>
        <w:fldChar w:fldCharType="end"/>
      </w:r>
      <w:r w:rsidRPr="001E5563">
        <w:rPr>
          <w:rFonts w:asciiTheme="majorBidi" w:hAnsiTheme="majorBidi" w:cstheme="majorBidi"/>
        </w:rPr>
        <w:t>. This spasm not only causes direct somatic pain but also initiates a cascade of autonomic dysfunctions, most notably Postoperative Urinary Retention (POUR).</w:t>
      </w:r>
    </w:p>
    <w:p w14:paraId="0501F3D8" w14:textId="224A09FB"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POUR is reported in up to 15-30% of patients following anorectal procedures, though some studies suggest higher rates depending on the surgical technique </w:t>
      </w:r>
      <w:r w:rsidR="00E6533C">
        <w:rPr>
          <w:rFonts w:asciiTheme="majorBidi" w:hAnsiTheme="majorBidi" w:cstheme="majorBidi"/>
        </w:rPr>
        <w:fldChar w:fldCharType="begin"/>
      </w:r>
      <w:r w:rsidR="00E6533C">
        <w:rPr>
          <w:rFonts w:asciiTheme="majorBidi" w:hAnsiTheme="majorBidi" w:cstheme="majorBidi"/>
        </w:rPr>
        <w:instrText xml:space="preserve"> ADDIN EN.CITE &lt;EndNote&gt;&lt;Cite&gt;&lt;Author&gt;Farsi&lt;/Author&gt;&lt;Year&gt;2021&lt;/Year&gt;&lt;RecNum&gt;3&lt;/RecNum&gt;&lt;DisplayText&gt;(3)&lt;/DisplayText&gt;&lt;record&gt;&lt;rec-number&gt;3&lt;/rec-number&gt;&lt;foreign-keys&gt;&lt;key app="EN" db-id="e9a09z59cdardreaex9pptzbxw2w90r29aet" timestamp="1778237734"&gt;3&lt;/key&gt;&lt;/foreign-keys&gt;&lt;ref-type name="Journal Article"&gt;17&lt;/ref-type&gt;&lt;contributors&gt;&lt;authors&gt;&lt;author&gt;Farsi, A. H.&lt;/author&gt;&lt;/authors&gt;&lt;/contributors&gt;&lt;auth-address&gt;Department of Surgery, Faculty of Medicine, King Abdulaziz University, Jeddah, SAU.&lt;/auth-address&gt;&lt;titles&gt;&lt;title&gt;Risk Factors and Outcomes of Postoperative Catheter-Associated Urinary Tract Infection in Colorectal Surgery Patients: A Retrospective Cohort Study&lt;/title&gt;&lt;secondary-title&gt;Cureus&lt;/secondary-title&gt;&lt;/titles&gt;&lt;periodical&gt;&lt;full-title&gt;Cureus&lt;/full-title&gt;&lt;/periodical&gt;&lt;pages&gt;e15111&lt;/pages&gt;&lt;volume&gt;13&lt;/volume&gt;&lt;number&gt;5&lt;/number&gt;&lt;edition&gt;20210519&lt;/edition&gt;&lt;keywords&gt;&lt;keyword&gt;colorectal surgery&lt;/keyword&gt;&lt;keyword&gt;surgical outcomes&lt;/keyword&gt;&lt;keyword&gt;ureteric catheterization&lt;/keyword&gt;&lt;keyword&gt;urinary catheter&lt;/keyword&gt;&lt;keyword&gt;urinary tract infection&lt;/keyword&gt;&lt;/keywords&gt;&lt;dates&gt;&lt;year&gt;2021&lt;/year&gt;&lt;pub-dates&gt;&lt;date&gt;May 19&lt;/date&gt;&lt;/pub-dates&gt;&lt;/dates&gt;&lt;isbn&gt;2168-8184 (Print)&amp;#xD;2168-8184&lt;/isbn&gt;&lt;accession-num&gt;34159014&lt;/accession-num&gt;&lt;urls&gt;&lt;/urls&gt;&lt;custom1&gt;The authors have declared that no competing interests exist.&lt;/custom1&gt;&lt;custom2&gt;PMC8212576&lt;/custom2&gt;&lt;electronic-resource-num&gt;10.7759/cureus.15111&lt;/electronic-resource-num&gt;&lt;remote-database-provider&gt;NLM&lt;/remote-database-provider&gt;&lt;language&gt;eng&lt;/language&gt;&lt;/record&gt;&lt;/Cite&gt;&lt;/EndNote&gt;</w:instrText>
      </w:r>
      <w:r w:rsidR="00E6533C">
        <w:rPr>
          <w:rFonts w:asciiTheme="majorBidi" w:hAnsiTheme="majorBidi" w:cstheme="majorBidi"/>
        </w:rPr>
        <w:fldChar w:fldCharType="separate"/>
      </w:r>
      <w:r w:rsidR="00E6533C">
        <w:rPr>
          <w:rFonts w:asciiTheme="majorBidi" w:hAnsiTheme="majorBidi" w:cstheme="majorBidi"/>
          <w:noProof/>
        </w:rPr>
        <w:t>(3)</w:t>
      </w:r>
      <w:r w:rsidR="00E6533C">
        <w:rPr>
          <w:rFonts w:asciiTheme="majorBidi" w:hAnsiTheme="majorBidi" w:cstheme="majorBidi"/>
        </w:rPr>
        <w:fldChar w:fldCharType="end"/>
      </w:r>
      <w:r w:rsidRPr="001E5563">
        <w:rPr>
          <w:rFonts w:asciiTheme="majorBidi" w:hAnsiTheme="majorBidi" w:cstheme="majorBidi"/>
        </w:rPr>
        <w:t xml:space="preserve">. The pathophysiology of POUR involves the anorectal-bladder </w:t>
      </w:r>
      <w:proofErr w:type="gramStart"/>
      <w:r w:rsidRPr="001E5563">
        <w:rPr>
          <w:rFonts w:asciiTheme="majorBidi" w:hAnsiTheme="majorBidi" w:cstheme="majorBidi"/>
        </w:rPr>
        <w:t>reflex ;</w:t>
      </w:r>
      <w:proofErr w:type="gramEnd"/>
      <w:r w:rsidRPr="001E5563">
        <w:rPr>
          <w:rFonts w:asciiTheme="majorBidi" w:hAnsiTheme="majorBidi" w:cstheme="majorBidi"/>
        </w:rPr>
        <w:t xml:space="preserve"> painful stimuli and mechanical irritation of the anal canal cause inhibitory signals to the detrusor muscle and a reflexive contraction of the external urethral sphincter. This creates a clinical dilemma where the patient is unable to void despite a full bladder, necessitating painful catheterization and increasing the risk of urinary tract infections (UTIs) </w:t>
      </w:r>
      <w:r w:rsidR="00E6533C">
        <w:rPr>
          <w:rFonts w:asciiTheme="majorBidi" w:hAnsiTheme="majorBidi" w:cstheme="majorBidi"/>
        </w:rPr>
        <w:fldChar w:fldCharType="begin">
          <w:fldData xml:space="preserve">PEVuZE5vdGU+PENpdGU+PEF1dGhvcj5TaGFmaWs8L0F1dGhvcj48WWVhcj4yMDA3PC9ZZWFyPjxS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</w:fldData>
        </w:fldChar>
      </w:r>
      <w:r w:rsidR="00E6533C">
        <w:rPr>
          <w:rFonts w:asciiTheme="majorBidi" w:hAnsiTheme="majorBidi" w:cstheme="majorBidi"/>
        </w:rPr>
        <w:instrText xml:space="preserve"> ADDIN EN.CITE </w:instrText>
      </w:r>
      <w:r w:rsidR="00E6533C">
        <w:rPr>
          <w:rFonts w:asciiTheme="majorBidi" w:hAnsiTheme="majorBidi" w:cstheme="majorBidi"/>
        </w:rPr>
        <w:fldChar w:fldCharType="begin">
          <w:fldData xml:space="preserve">PEVuZE5vdGU+PENpdGU+PEF1dGhvcj5TaGFmaWs8L0F1dGhvcj48WWVhcj4yMDA3PC9ZZWFyPjxS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</w:fldData>
        </w:fldChar>
      </w:r>
      <w:r w:rsidR="00E6533C">
        <w:rPr>
          <w:rFonts w:asciiTheme="majorBidi" w:hAnsiTheme="majorBidi" w:cstheme="majorBidi"/>
        </w:rPr>
        <w:instrText xml:space="preserve"> ADDIN EN.CITE.DATA </w:instrText>
      </w:r>
      <w:r w:rsidR="00E6533C">
        <w:rPr>
          <w:rFonts w:asciiTheme="majorBidi" w:hAnsiTheme="majorBidi" w:cstheme="majorBidi"/>
        </w:rPr>
      </w:r>
      <w:r w:rsidR="00E6533C">
        <w:rPr>
          <w:rFonts w:asciiTheme="majorBidi" w:hAnsiTheme="majorBidi" w:cstheme="majorBidi"/>
        </w:rPr>
        <w:fldChar w:fldCharType="end"/>
      </w:r>
      <w:r w:rsidR="00E6533C">
        <w:rPr>
          <w:rFonts w:asciiTheme="majorBidi" w:hAnsiTheme="majorBidi" w:cstheme="majorBidi"/>
        </w:rPr>
        <w:fldChar w:fldCharType="separate"/>
      </w:r>
      <w:r w:rsidR="00E6533C">
        <w:rPr>
          <w:rFonts w:asciiTheme="majorBidi" w:hAnsiTheme="majorBidi" w:cstheme="majorBidi"/>
          <w:noProof/>
        </w:rPr>
        <w:t>(4, 5)</w:t>
      </w:r>
      <w:r w:rsidR="00E6533C">
        <w:rPr>
          <w:rFonts w:asciiTheme="majorBidi" w:hAnsiTheme="majorBidi" w:cstheme="majorBidi"/>
        </w:rPr>
        <w:fldChar w:fldCharType="end"/>
      </w:r>
      <w:r w:rsidRPr="001E5563">
        <w:rPr>
          <w:rFonts w:asciiTheme="majorBidi" w:hAnsiTheme="majorBidi" w:cstheme="majorBidi"/>
        </w:rPr>
        <w:t>.</w:t>
      </w:r>
    </w:p>
    <w:p w14:paraId="36F46229" w14:textId="6DC613E3"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Botulinum Toxin Type A (BTX-A) provides a unique pharmacological solution. By cleaving the SNAP-25 protein, BTX-A inhibits the exocytosis of acetylcholine at the neuromuscular junction, resulting in a temporary but potent chemo-denervation </w:t>
      </w:r>
      <w:r w:rsidR="00E6533C">
        <w:rPr>
          <w:rFonts w:asciiTheme="majorBidi" w:hAnsiTheme="majorBidi" w:cstheme="majorBidi"/>
        </w:rPr>
        <w:fldChar w:fldCharType="begin">
          <w:fldData xml:space="preserve">PEVuZE5vdGU+PENpdGU+PEF1dGhvcj5TaXRhcmFtYW48L0F1dGhvcj48WWVhcj4yMDI1PC9ZZWFy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</w:fldData>
        </w:fldChar>
      </w:r>
      <w:r w:rsidR="00E6533C">
        <w:rPr>
          <w:rFonts w:asciiTheme="majorBidi" w:hAnsiTheme="majorBidi" w:cstheme="majorBidi"/>
        </w:rPr>
        <w:instrText xml:space="preserve"> ADDIN EN.CITE </w:instrText>
      </w:r>
      <w:r w:rsidR="00E6533C">
        <w:rPr>
          <w:rFonts w:asciiTheme="majorBidi" w:hAnsiTheme="majorBidi" w:cstheme="majorBidi"/>
        </w:rPr>
        <w:fldChar w:fldCharType="begin">
          <w:fldData xml:space="preserve">PEVuZE5vdGU+PENpdGU+PEF1dGhvcj5TaXRhcmFtYW48L0F1dGhvcj48WWVhcj4yMDI1PC9ZZWFy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</w:fldData>
        </w:fldChar>
      </w:r>
      <w:r w:rsidR="00E6533C">
        <w:rPr>
          <w:rFonts w:asciiTheme="majorBidi" w:hAnsiTheme="majorBidi" w:cstheme="majorBidi"/>
        </w:rPr>
        <w:instrText xml:space="preserve"> ADDIN EN.CITE.DATA </w:instrText>
      </w:r>
      <w:r w:rsidR="00E6533C">
        <w:rPr>
          <w:rFonts w:asciiTheme="majorBidi" w:hAnsiTheme="majorBidi" w:cstheme="majorBidi"/>
        </w:rPr>
      </w:r>
      <w:r w:rsidR="00E6533C">
        <w:rPr>
          <w:rFonts w:asciiTheme="majorBidi" w:hAnsiTheme="majorBidi" w:cstheme="majorBidi"/>
        </w:rPr>
        <w:fldChar w:fldCharType="end"/>
      </w:r>
      <w:r w:rsidR="00E6533C">
        <w:rPr>
          <w:rFonts w:asciiTheme="majorBidi" w:hAnsiTheme="majorBidi" w:cstheme="majorBidi"/>
        </w:rPr>
        <w:fldChar w:fldCharType="separate"/>
      </w:r>
      <w:r w:rsidR="00E6533C">
        <w:rPr>
          <w:rFonts w:asciiTheme="majorBidi" w:hAnsiTheme="majorBidi" w:cstheme="majorBidi"/>
          <w:noProof/>
        </w:rPr>
        <w:t>(6)</w:t>
      </w:r>
      <w:r w:rsidR="00E6533C">
        <w:rPr>
          <w:rFonts w:asciiTheme="majorBidi" w:hAnsiTheme="majorBidi" w:cstheme="majorBidi"/>
        </w:rPr>
        <w:fldChar w:fldCharType="end"/>
      </w:r>
      <w:r w:rsidRPr="001E5563">
        <w:rPr>
          <w:rFonts w:asciiTheme="majorBidi" w:hAnsiTheme="majorBidi" w:cstheme="majorBidi"/>
        </w:rPr>
        <w:t>. Unlike surgical sphincterotomy, BTX-A injection is reversible and avoids the risk of permanent fecal incontinence. While BTX-A has been used to treat chronic anal fissures, its prophylactic application during SH to interrupt the anorectal-bladder reflex and prevent POUR is a novel approach that requires rigorous validation. This study is designed to bridge this gap in evidence by quantifying the impact of BTX-A on both the mechanical (urinary retention) and sensory (pain) complications of SH.</w:t>
      </w:r>
    </w:p>
    <w:p w14:paraId="5783C05F" w14:textId="77777777" w:rsidR="001E5563" w:rsidRPr="001E5563" w:rsidRDefault="001E5563" w:rsidP="00F52E87">
      <w:pPr>
        <w:spacing w:line="360" w:lineRule="auto"/>
        <w:jc w:val="both"/>
        <w:rPr>
          <w:rFonts w:asciiTheme="majorBidi" w:hAnsiTheme="majorBidi" w:cstheme="majorBidi"/>
        </w:rPr>
      </w:pPr>
    </w:p>
    <w:p w14:paraId="787304F2" w14:textId="54787D20" w:rsidR="001E5563" w:rsidRDefault="001E5563" w:rsidP="00F52E87">
      <w:pPr>
        <w:pStyle w:val="ListParagraph"/>
        <w:numPr>
          <w:ilvl w:val="1"/>
          <w:numId w:val="10"/>
        </w:numPr>
        <w:spacing w:line="360" w:lineRule="auto"/>
        <w:jc w:val="both"/>
        <w:rPr>
          <w:rFonts w:asciiTheme="majorBidi" w:hAnsiTheme="majorBidi" w:cstheme="majorBidi"/>
        </w:rPr>
      </w:pPr>
      <w:r w:rsidRPr="001E5563">
        <w:rPr>
          <w:rFonts w:asciiTheme="majorBidi" w:hAnsiTheme="majorBidi" w:cstheme="majorBidi"/>
          <w:b/>
          <w:bCs/>
        </w:rPr>
        <w:t>Goals:</w:t>
      </w:r>
      <w:r w:rsidRPr="001E5563">
        <w:rPr>
          <w:rFonts w:asciiTheme="majorBidi" w:hAnsiTheme="majorBidi" w:cstheme="majorBidi"/>
        </w:rPr>
        <w:t xml:space="preserve"> The overarching goal is to optimize postoperative recovery and reduce the burden of complications following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w:t>
      </w:r>
    </w:p>
    <w:p w14:paraId="2CFAC5FE" w14:textId="77777777" w:rsidR="001E5563" w:rsidRPr="001E5563" w:rsidRDefault="001E5563" w:rsidP="00F52E87">
      <w:pPr>
        <w:spacing w:line="360" w:lineRule="auto"/>
        <w:jc w:val="both"/>
        <w:rPr>
          <w:rFonts w:asciiTheme="majorBidi" w:hAnsiTheme="majorBidi" w:cstheme="majorBidi"/>
        </w:rPr>
      </w:pPr>
    </w:p>
    <w:p w14:paraId="6F91B0D9" w14:textId="652E99F4" w:rsidR="001E5563" w:rsidRPr="001E5563" w:rsidRDefault="001E5563" w:rsidP="00F52E87">
      <w:pPr>
        <w:pStyle w:val="ListParagraph"/>
        <w:numPr>
          <w:ilvl w:val="1"/>
          <w:numId w:val="10"/>
        </w:numPr>
        <w:spacing w:line="360" w:lineRule="auto"/>
        <w:jc w:val="both"/>
        <w:rPr>
          <w:rFonts w:asciiTheme="majorBidi" w:hAnsiTheme="majorBidi" w:cstheme="majorBidi"/>
        </w:rPr>
      </w:pPr>
      <w:r w:rsidRPr="001E5563">
        <w:rPr>
          <w:rFonts w:asciiTheme="majorBidi" w:hAnsiTheme="majorBidi" w:cstheme="majorBidi"/>
          <w:b/>
          <w:bCs/>
        </w:rPr>
        <w:t>Specific Objectives:</w:t>
      </w:r>
    </w:p>
    <w:p w14:paraId="433A5544" w14:textId="77777777" w:rsidR="001E5563" w:rsidRPr="001E5563" w:rsidRDefault="001E5563" w:rsidP="00F52E87">
      <w:pPr>
        <w:numPr>
          <w:ilvl w:val="0"/>
          <w:numId w:val="2"/>
        </w:numPr>
        <w:spacing w:line="360" w:lineRule="auto"/>
        <w:jc w:val="both"/>
        <w:rPr>
          <w:rFonts w:asciiTheme="majorBidi" w:hAnsiTheme="majorBidi" w:cstheme="majorBidi"/>
        </w:rPr>
      </w:pPr>
      <w:r w:rsidRPr="001E5563">
        <w:rPr>
          <w:rFonts w:asciiTheme="majorBidi" w:hAnsiTheme="majorBidi" w:cstheme="majorBidi"/>
          <w:b/>
          <w:bCs/>
        </w:rPr>
        <w:t>Primary Objective:</w:t>
      </w:r>
      <w:r w:rsidRPr="001E5563">
        <w:rPr>
          <w:rFonts w:asciiTheme="majorBidi" w:hAnsiTheme="majorBidi" w:cstheme="majorBidi"/>
        </w:rPr>
        <w:t xml:space="preserve"> To compare the incidence of postoperative urinary retention (POUR) requiring catheterization between patients receiving </w:t>
      </w:r>
      <w:proofErr w:type="spellStart"/>
      <w:r w:rsidRPr="001E5563">
        <w:rPr>
          <w:rFonts w:asciiTheme="majorBidi" w:hAnsiTheme="majorBidi" w:cstheme="majorBidi"/>
        </w:rPr>
        <w:t>intrasphincteric</w:t>
      </w:r>
      <w:proofErr w:type="spellEnd"/>
      <w:r w:rsidRPr="001E5563">
        <w:rPr>
          <w:rFonts w:asciiTheme="majorBidi" w:hAnsiTheme="majorBidi" w:cstheme="majorBidi"/>
        </w:rPr>
        <w:t xml:space="preserve"> BTX-A and those receiving a placebo.</w:t>
      </w:r>
    </w:p>
    <w:p w14:paraId="2FE5E2DA" w14:textId="77777777" w:rsidR="001E5563" w:rsidRPr="001E5563" w:rsidRDefault="001E5563" w:rsidP="00F52E87">
      <w:pPr>
        <w:numPr>
          <w:ilvl w:val="0"/>
          <w:numId w:val="2"/>
        </w:numPr>
        <w:spacing w:line="360" w:lineRule="auto"/>
        <w:jc w:val="both"/>
        <w:rPr>
          <w:rFonts w:asciiTheme="majorBidi" w:hAnsiTheme="majorBidi" w:cstheme="majorBidi"/>
        </w:rPr>
      </w:pPr>
      <w:r w:rsidRPr="001E5563">
        <w:rPr>
          <w:rFonts w:asciiTheme="majorBidi" w:hAnsiTheme="majorBidi" w:cstheme="majorBidi"/>
          <w:b/>
          <w:bCs/>
        </w:rPr>
        <w:t>Secondary Objectives:</w:t>
      </w:r>
      <w:r w:rsidRPr="001E5563">
        <w:rPr>
          <w:rFonts w:asciiTheme="majorBidi" w:hAnsiTheme="majorBidi" w:cstheme="majorBidi"/>
        </w:rPr>
        <w:t xml:space="preserve"> 1. To evaluate postoperative pain intensity using the Visual Analogue Scale (VAS</w:t>
      </w:r>
      <w:proofErr w:type="gramStart"/>
      <w:r w:rsidRPr="001E5563">
        <w:rPr>
          <w:rFonts w:asciiTheme="majorBidi" w:hAnsiTheme="majorBidi" w:cstheme="majorBidi"/>
        </w:rPr>
        <w:t>) at</w:t>
      </w:r>
      <w:proofErr w:type="gramEnd"/>
      <w:r w:rsidRPr="001E5563">
        <w:rPr>
          <w:rFonts w:asciiTheme="majorBidi" w:hAnsiTheme="majorBidi" w:cstheme="majorBidi"/>
        </w:rPr>
        <w:t xml:space="preserve"> 24 hours, 1 week, and 2 weeks. 2. To assess the requirement for analgesic consumption </w:t>
      </w:r>
      <w:r w:rsidRPr="001E5563">
        <w:rPr>
          <w:rFonts w:asciiTheme="majorBidi" w:hAnsiTheme="majorBidi" w:cstheme="majorBidi"/>
        </w:rPr>
        <w:lastRenderedPageBreak/>
        <w:t>(NSAIDs and Opioids) in the first 24 hours. 3. To monitor safety outcomes, including gas incontinence, bleeding, and anal stenosis.</w:t>
      </w:r>
    </w:p>
    <w:p w14:paraId="2881E337" w14:textId="77777777" w:rsidR="001E5563" w:rsidRPr="001E5563" w:rsidRDefault="001E5563" w:rsidP="00F52E87">
      <w:pPr>
        <w:spacing w:line="360" w:lineRule="auto"/>
        <w:jc w:val="both"/>
        <w:rPr>
          <w:rFonts w:asciiTheme="majorBidi" w:hAnsiTheme="majorBidi" w:cstheme="majorBidi"/>
        </w:rPr>
      </w:pPr>
    </w:p>
    <w:p w14:paraId="34C2769E" w14:textId="77777777" w:rsidR="001E5563" w:rsidRPr="001E5563" w:rsidRDefault="001E5563" w:rsidP="00F52E87">
      <w:pPr>
        <w:spacing w:line="360" w:lineRule="auto"/>
        <w:jc w:val="both"/>
        <w:rPr>
          <w:rFonts w:asciiTheme="majorBidi" w:hAnsiTheme="majorBidi" w:cstheme="majorBidi"/>
        </w:rPr>
      </w:pPr>
    </w:p>
    <w:p w14:paraId="2A45AFBC" w14:textId="68D4C687" w:rsidR="001E5563" w:rsidRPr="001E5563" w:rsidRDefault="001E5563" w:rsidP="00F52E87">
      <w:pPr>
        <w:pStyle w:val="ListParagraph"/>
        <w:numPr>
          <w:ilvl w:val="0"/>
          <w:numId w:val="10"/>
        </w:numPr>
        <w:spacing w:line="360" w:lineRule="auto"/>
        <w:jc w:val="both"/>
        <w:rPr>
          <w:rFonts w:asciiTheme="majorBidi" w:hAnsiTheme="majorBidi" w:cstheme="majorBidi"/>
          <w:b/>
          <w:bCs/>
          <w:sz w:val="28"/>
          <w:szCs w:val="28"/>
        </w:rPr>
      </w:pPr>
      <w:r w:rsidRPr="001E5563">
        <w:rPr>
          <w:rFonts w:asciiTheme="majorBidi" w:hAnsiTheme="majorBidi" w:cstheme="majorBidi"/>
          <w:b/>
          <w:bCs/>
          <w:sz w:val="28"/>
          <w:szCs w:val="28"/>
        </w:rPr>
        <w:t>Methodology</w:t>
      </w:r>
    </w:p>
    <w:p w14:paraId="67DBED3D" w14:textId="77777777" w:rsidR="001E5563" w:rsidRPr="001E5563" w:rsidRDefault="001E5563" w:rsidP="00F52E87">
      <w:pPr>
        <w:spacing w:line="360" w:lineRule="auto"/>
        <w:jc w:val="both"/>
        <w:rPr>
          <w:rFonts w:asciiTheme="majorBidi" w:hAnsiTheme="majorBidi" w:cstheme="majorBidi"/>
        </w:rPr>
      </w:pPr>
    </w:p>
    <w:p w14:paraId="30D375C7" w14:textId="1EDD9E95" w:rsidR="001E5563" w:rsidRPr="001E5563" w:rsidRDefault="001E5563" w:rsidP="00F52E87">
      <w:pPr>
        <w:pStyle w:val="ListParagraph"/>
        <w:numPr>
          <w:ilvl w:val="1"/>
          <w:numId w:val="10"/>
        </w:numPr>
        <w:spacing w:line="360" w:lineRule="auto"/>
        <w:jc w:val="both"/>
        <w:rPr>
          <w:rFonts w:asciiTheme="majorBidi" w:hAnsiTheme="majorBidi" w:cstheme="majorBidi"/>
          <w:b/>
          <w:bCs/>
        </w:rPr>
      </w:pPr>
      <w:r w:rsidRPr="001E5563">
        <w:rPr>
          <w:rFonts w:asciiTheme="majorBidi" w:hAnsiTheme="majorBidi" w:cstheme="majorBidi"/>
          <w:b/>
          <w:bCs/>
        </w:rPr>
        <w:t>Study Design</w:t>
      </w:r>
    </w:p>
    <w:p w14:paraId="3B5A14EE"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This is a prospective, randomized, double-blind, placebo-controlled, parallel-group clinical trial. The study will be conducted at two tertiary referral centers (Imam Khomeini and Shafa Hospitals) in Sari, Iran. The trial is designed as a superiority study to determine if </w:t>
      </w:r>
      <w:proofErr w:type="spellStart"/>
      <w:r w:rsidRPr="001E5563">
        <w:rPr>
          <w:rFonts w:asciiTheme="majorBidi" w:hAnsiTheme="majorBidi" w:cstheme="majorBidi"/>
        </w:rPr>
        <w:t>intrasphincteric</w:t>
      </w:r>
      <w:proofErr w:type="spellEnd"/>
      <w:r w:rsidRPr="001E5563">
        <w:rPr>
          <w:rFonts w:asciiTheme="majorBidi" w:hAnsiTheme="majorBidi" w:cstheme="majorBidi"/>
        </w:rPr>
        <w:t xml:space="preserve"> Botulinum Toxin (BTX) injection outperforms a placebo in reducing postoperative complications.</w:t>
      </w:r>
    </w:p>
    <w:p w14:paraId="09E1CCCD" w14:textId="7259C454" w:rsidR="001E5563" w:rsidRDefault="001E5563" w:rsidP="00F52E87">
      <w:pPr>
        <w:pStyle w:val="ListParagraph"/>
        <w:numPr>
          <w:ilvl w:val="1"/>
          <w:numId w:val="10"/>
        </w:numPr>
        <w:spacing w:line="360" w:lineRule="auto"/>
        <w:jc w:val="both"/>
        <w:rPr>
          <w:rFonts w:asciiTheme="majorBidi" w:hAnsiTheme="majorBidi" w:cstheme="majorBidi"/>
          <w:b/>
          <w:bCs/>
        </w:rPr>
      </w:pPr>
      <w:r w:rsidRPr="001E5563">
        <w:rPr>
          <w:rFonts w:asciiTheme="majorBidi" w:hAnsiTheme="majorBidi" w:cstheme="majorBidi"/>
          <w:b/>
          <w:bCs/>
        </w:rPr>
        <w:t>Participants and Eligibility</w:t>
      </w:r>
    </w:p>
    <w:p w14:paraId="31BB8C1E" w14:textId="77777777" w:rsidR="001E5563" w:rsidRPr="001E5563" w:rsidRDefault="001E5563" w:rsidP="00F52E87">
      <w:pPr>
        <w:spacing w:line="360" w:lineRule="auto"/>
        <w:jc w:val="both"/>
        <w:rPr>
          <w:rFonts w:asciiTheme="majorBidi" w:hAnsiTheme="majorBidi" w:cstheme="majorBidi"/>
          <w:b/>
          <w:bCs/>
        </w:rPr>
      </w:pPr>
    </w:p>
    <w:p w14:paraId="367A7BE3" w14:textId="43DC35BE" w:rsidR="001E5563" w:rsidRP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Inclusion Criteria:</w:t>
      </w:r>
    </w:p>
    <w:p w14:paraId="13EF7BC6" w14:textId="77777777" w:rsidR="001E5563" w:rsidRPr="001E5563" w:rsidRDefault="001E5563" w:rsidP="00F52E87">
      <w:pPr>
        <w:numPr>
          <w:ilvl w:val="0"/>
          <w:numId w:val="3"/>
        </w:numPr>
        <w:spacing w:line="360" w:lineRule="auto"/>
        <w:jc w:val="both"/>
        <w:rPr>
          <w:rFonts w:asciiTheme="majorBidi" w:hAnsiTheme="majorBidi" w:cstheme="majorBidi"/>
        </w:rPr>
      </w:pPr>
      <w:r w:rsidRPr="001E5563">
        <w:rPr>
          <w:rFonts w:asciiTheme="majorBidi" w:hAnsiTheme="majorBidi" w:cstheme="majorBidi"/>
        </w:rPr>
        <w:t>Adult patients (aged 18 years and older).</w:t>
      </w:r>
    </w:p>
    <w:p w14:paraId="656C1945" w14:textId="77777777" w:rsidR="001E5563" w:rsidRPr="001E5563" w:rsidRDefault="001E5563" w:rsidP="00F52E87">
      <w:pPr>
        <w:numPr>
          <w:ilvl w:val="0"/>
          <w:numId w:val="3"/>
        </w:numPr>
        <w:spacing w:line="360" w:lineRule="auto"/>
        <w:jc w:val="both"/>
        <w:rPr>
          <w:rFonts w:asciiTheme="majorBidi" w:hAnsiTheme="majorBidi" w:cstheme="majorBidi"/>
        </w:rPr>
      </w:pPr>
      <w:r w:rsidRPr="001E5563">
        <w:rPr>
          <w:rFonts w:asciiTheme="majorBidi" w:hAnsiTheme="majorBidi" w:cstheme="majorBidi"/>
        </w:rPr>
        <w:t>Diagnosed with symptomatic Grade III or IV hemorrhoids.</w:t>
      </w:r>
    </w:p>
    <w:p w14:paraId="7F124AB3" w14:textId="77777777" w:rsidR="001E5563" w:rsidRPr="001E5563" w:rsidRDefault="001E5563" w:rsidP="00F52E87">
      <w:pPr>
        <w:numPr>
          <w:ilvl w:val="0"/>
          <w:numId w:val="3"/>
        </w:numPr>
        <w:spacing w:line="360" w:lineRule="auto"/>
        <w:jc w:val="both"/>
        <w:rPr>
          <w:rFonts w:asciiTheme="majorBidi" w:hAnsiTheme="majorBidi" w:cstheme="majorBidi"/>
        </w:rPr>
      </w:pPr>
      <w:r w:rsidRPr="001E5563">
        <w:rPr>
          <w:rFonts w:asciiTheme="majorBidi" w:hAnsiTheme="majorBidi" w:cstheme="majorBidi"/>
        </w:rPr>
        <w:t xml:space="preserve">Candidates for elective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(SH).</w:t>
      </w:r>
    </w:p>
    <w:p w14:paraId="7BC89EAC" w14:textId="77777777" w:rsidR="001E5563" w:rsidRPr="001E5563" w:rsidRDefault="001E5563" w:rsidP="00F52E87">
      <w:pPr>
        <w:numPr>
          <w:ilvl w:val="0"/>
          <w:numId w:val="3"/>
        </w:numPr>
        <w:spacing w:line="360" w:lineRule="auto"/>
        <w:jc w:val="both"/>
        <w:rPr>
          <w:rFonts w:asciiTheme="majorBidi" w:hAnsiTheme="majorBidi" w:cstheme="majorBidi"/>
        </w:rPr>
      </w:pPr>
      <w:r w:rsidRPr="001E5563">
        <w:rPr>
          <w:rFonts w:asciiTheme="majorBidi" w:hAnsiTheme="majorBidi" w:cstheme="majorBidi"/>
        </w:rPr>
        <w:t>Provided written informed consent.</w:t>
      </w:r>
    </w:p>
    <w:p w14:paraId="5A7C312E" w14:textId="5816C56F" w:rsidR="001E5563" w:rsidRP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Exclusion Criteria:</w:t>
      </w:r>
    </w:p>
    <w:p w14:paraId="6977A5EC" w14:textId="77777777" w:rsidR="001E5563" w:rsidRPr="001E5563" w:rsidRDefault="001E5563" w:rsidP="00F52E87">
      <w:pPr>
        <w:numPr>
          <w:ilvl w:val="0"/>
          <w:numId w:val="4"/>
        </w:numPr>
        <w:spacing w:line="360" w:lineRule="auto"/>
        <w:jc w:val="both"/>
        <w:rPr>
          <w:rFonts w:asciiTheme="majorBidi" w:hAnsiTheme="majorBidi" w:cstheme="majorBidi"/>
        </w:rPr>
      </w:pPr>
      <w:r w:rsidRPr="001E5563">
        <w:rPr>
          <w:rFonts w:asciiTheme="majorBidi" w:hAnsiTheme="majorBidi" w:cstheme="majorBidi"/>
        </w:rPr>
        <w:t>History of previous anorectal surgery.</w:t>
      </w:r>
    </w:p>
    <w:p w14:paraId="2E254460" w14:textId="77777777" w:rsidR="001E5563" w:rsidRPr="001E5563" w:rsidRDefault="001E5563" w:rsidP="00F52E87">
      <w:pPr>
        <w:numPr>
          <w:ilvl w:val="0"/>
          <w:numId w:val="4"/>
        </w:numPr>
        <w:spacing w:line="360" w:lineRule="auto"/>
        <w:jc w:val="both"/>
        <w:rPr>
          <w:rFonts w:asciiTheme="majorBidi" w:hAnsiTheme="majorBidi" w:cstheme="majorBidi"/>
        </w:rPr>
      </w:pPr>
      <w:proofErr w:type="gramStart"/>
      <w:r w:rsidRPr="001E5563">
        <w:rPr>
          <w:rFonts w:asciiTheme="majorBidi" w:hAnsiTheme="majorBidi" w:cstheme="majorBidi"/>
        </w:rPr>
        <w:t>Known</w:t>
      </w:r>
      <w:proofErr w:type="gramEnd"/>
      <w:r w:rsidRPr="001E5563">
        <w:rPr>
          <w:rFonts w:asciiTheme="majorBidi" w:hAnsiTheme="majorBidi" w:cstheme="majorBidi"/>
        </w:rPr>
        <w:t xml:space="preserve"> hypersensitivity to Botulinum Toxin.</w:t>
      </w:r>
    </w:p>
    <w:p w14:paraId="66BCD118" w14:textId="77777777" w:rsidR="001E5563" w:rsidRPr="001E5563" w:rsidRDefault="001E5563" w:rsidP="00F52E87">
      <w:pPr>
        <w:numPr>
          <w:ilvl w:val="0"/>
          <w:numId w:val="4"/>
        </w:numPr>
        <w:spacing w:line="360" w:lineRule="auto"/>
        <w:jc w:val="both"/>
        <w:rPr>
          <w:rFonts w:asciiTheme="majorBidi" w:hAnsiTheme="majorBidi" w:cstheme="majorBidi"/>
        </w:rPr>
      </w:pPr>
      <w:r w:rsidRPr="001E5563">
        <w:rPr>
          <w:rFonts w:asciiTheme="majorBidi" w:hAnsiTheme="majorBidi" w:cstheme="majorBidi"/>
        </w:rPr>
        <w:t>Pre-existing urinary dysfunction or prostatic hypertrophy (BPH).</w:t>
      </w:r>
    </w:p>
    <w:p w14:paraId="74AE64BA" w14:textId="77777777" w:rsidR="001E5563" w:rsidRPr="001E5563" w:rsidRDefault="001E5563" w:rsidP="00F52E87">
      <w:pPr>
        <w:numPr>
          <w:ilvl w:val="0"/>
          <w:numId w:val="4"/>
        </w:numPr>
        <w:spacing w:line="360" w:lineRule="auto"/>
        <w:jc w:val="both"/>
        <w:rPr>
          <w:rFonts w:asciiTheme="majorBidi" w:hAnsiTheme="majorBidi" w:cstheme="majorBidi"/>
        </w:rPr>
      </w:pPr>
      <w:r w:rsidRPr="001E5563">
        <w:rPr>
          <w:rFonts w:asciiTheme="majorBidi" w:hAnsiTheme="majorBidi" w:cstheme="majorBidi"/>
        </w:rPr>
        <w:t>Pregnancy or breastfeeding.</w:t>
      </w:r>
    </w:p>
    <w:p w14:paraId="615B19B2" w14:textId="77777777" w:rsidR="001E5563" w:rsidRPr="001E5563" w:rsidRDefault="001E5563" w:rsidP="00F52E87">
      <w:pPr>
        <w:numPr>
          <w:ilvl w:val="0"/>
          <w:numId w:val="4"/>
        </w:numPr>
        <w:spacing w:line="360" w:lineRule="auto"/>
        <w:jc w:val="both"/>
        <w:rPr>
          <w:rFonts w:asciiTheme="majorBidi" w:hAnsiTheme="majorBidi" w:cstheme="majorBidi"/>
        </w:rPr>
      </w:pPr>
      <w:r w:rsidRPr="001E5563">
        <w:rPr>
          <w:rFonts w:asciiTheme="majorBidi" w:hAnsiTheme="majorBidi" w:cstheme="majorBidi"/>
        </w:rPr>
        <w:t>Neuromuscular disorders (e.g., Myasthenia Gravis).</w:t>
      </w:r>
    </w:p>
    <w:p w14:paraId="7EF5B1AE" w14:textId="77777777" w:rsidR="001E5563" w:rsidRDefault="001E5563" w:rsidP="00F52E87">
      <w:pPr>
        <w:numPr>
          <w:ilvl w:val="0"/>
          <w:numId w:val="4"/>
        </w:numPr>
        <w:spacing w:line="360" w:lineRule="auto"/>
        <w:jc w:val="both"/>
        <w:rPr>
          <w:rFonts w:asciiTheme="majorBidi" w:hAnsiTheme="majorBidi" w:cstheme="majorBidi"/>
        </w:rPr>
      </w:pPr>
      <w:r w:rsidRPr="001E5563">
        <w:rPr>
          <w:rFonts w:asciiTheme="majorBidi" w:hAnsiTheme="majorBidi" w:cstheme="majorBidi"/>
        </w:rPr>
        <w:t>Acute complications such as incarcerated or thrombosed hemorrhoids.</w:t>
      </w:r>
    </w:p>
    <w:p w14:paraId="6EE7D881" w14:textId="77777777" w:rsidR="001E5563" w:rsidRPr="001E5563" w:rsidRDefault="001E5563" w:rsidP="00F52E87">
      <w:pPr>
        <w:spacing w:line="360" w:lineRule="auto"/>
        <w:jc w:val="both"/>
        <w:rPr>
          <w:rFonts w:asciiTheme="majorBidi" w:hAnsiTheme="majorBidi" w:cstheme="majorBidi"/>
        </w:rPr>
      </w:pPr>
    </w:p>
    <w:p w14:paraId="32AE4F41" w14:textId="27F45A9C" w:rsidR="001E5563" w:rsidRDefault="001E5563" w:rsidP="00F52E87">
      <w:pPr>
        <w:pStyle w:val="ListParagraph"/>
        <w:numPr>
          <w:ilvl w:val="1"/>
          <w:numId w:val="10"/>
        </w:numPr>
        <w:spacing w:line="360" w:lineRule="auto"/>
        <w:jc w:val="both"/>
        <w:rPr>
          <w:rFonts w:asciiTheme="majorBidi" w:hAnsiTheme="majorBidi" w:cstheme="majorBidi"/>
          <w:b/>
          <w:bCs/>
        </w:rPr>
      </w:pPr>
      <w:r w:rsidRPr="001E5563">
        <w:rPr>
          <w:rFonts w:asciiTheme="majorBidi" w:hAnsiTheme="majorBidi" w:cstheme="majorBidi"/>
          <w:b/>
          <w:bCs/>
        </w:rPr>
        <w:t>Interventions</w:t>
      </w:r>
    </w:p>
    <w:p w14:paraId="15ADE48A" w14:textId="77777777" w:rsidR="001E5563" w:rsidRPr="001E5563" w:rsidRDefault="001E5563" w:rsidP="00F52E87">
      <w:pPr>
        <w:spacing w:line="360" w:lineRule="auto"/>
        <w:jc w:val="both"/>
        <w:rPr>
          <w:rFonts w:asciiTheme="majorBidi" w:hAnsiTheme="majorBidi" w:cstheme="majorBidi"/>
          <w:b/>
          <w:bCs/>
        </w:rPr>
      </w:pPr>
    </w:p>
    <w:p w14:paraId="642351F1" w14:textId="3AF9A37E" w:rsid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Surgical Procedure:</w:t>
      </w:r>
      <w:r w:rsidRPr="001E5563">
        <w:rPr>
          <w:rFonts w:asciiTheme="majorBidi" w:hAnsiTheme="majorBidi" w:cstheme="majorBidi"/>
        </w:rPr>
        <w:t xml:space="preserve"> All patients will undergo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performed by a single experienced surgeon to ensure technical consistency. The procedure will be performed under standard spinal anesthesia (using Bupivacaine 0.5%).</w:t>
      </w:r>
    </w:p>
    <w:p w14:paraId="1823D4F8" w14:textId="77777777" w:rsidR="001E5563" w:rsidRPr="001E5563" w:rsidRDefault="001E5563" w:rsidP="00F52E87">
      <w:pPr>
        <w:spacing w:line="360" w:lineRule="auto"/>
        <w:jc w:val="both"/>
        <w:rPr>
          <w:rFonts w:asciiTheme="majorBidi" w:hAnsiTheme="majorBidi" w:cstheme="majorBidi"/>
        </w:rPr>
      </w:pPr>
    </w:p>
    <w:p w14:paraId="56419396" w14:textId="55258A52" w:rsid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Experimental Group (BTX):</w:t>
      </w:r>
      <w:r w:rsidRPr="001E5563">
        <w:rPr>
          <w:rFonts w:asciiTheme="majorBidi" w:hAnsiTheme="majorBidi" w:cstheme="majorBidi"/>
        </w:rPr>
        <w:t xml:space="preserve"> </w:t>
      </w:r>
      <w:r w:rsidR="00F52E87" w:rsidRPr="00F52E87">
        <w:rPr>
          <w:rFonts w:asciiTheme="majorBidi" w:hAnsiTheme="majorBidi" w:cstheme="majorBidi"/>
        </w:rPr>
        <w:t xml:space="preserve">Following the stapling procedure and ensuring hemostasis, patients in the intervention group will receive 50 units of Botulinum Toxin Type A (Dysport or </w:t>
      </w:r>
      <w:proofErr w:type="spellStart"/>
      <w:r w:rsidR="00F52E87" w:rsidRPr="00F52E87">
        <w:rPr>
          <w:rFonts w:asciiTheme="majorBidi" w:hAnsiTheme="majorBidi" w:cstheme="majorBidi"/>
        </w:rPr>
        <w:t>Masport</w:t>
      </w:r>
      <w:proofErr w:type="spellEnd"/>
      <w:r w:rsidR="00F52E87" w:rsidRPr="00F52E87">
        <w:rPr>
          <w:rFonts w:asciiTheme="majorBidi" w:hAnsiTheme="majorBidi" w:cstheme="majorBidi"/>
        </w:rPr>
        <w:t>). The reconstitution process will be performed with high precision: each vial will be diluted with 1.0 mL of 0.9% sterile saline, using gentle rotation to avoid agitation and protein denaturation. The solution will be drawn into four identical 0.5 mL syringes (12.5 units each). Using a 25-gauge needle, the investigator will inject the solution into the internal anal sphincter (IAS) at a depth of approximately 5–10 mm. Injections will be administered at four anatomical quadrants (3, 6, 9, and 12 o’clock positions) to ensure circumferential chemo-denervation and optimal reduction of resting anal pressure</w:t>
      </w:r>
      <w:r w:rsidRPr="001E5563">
        <w:rPr>
          <w:rFonts w:asciiTheme="majorBidi" w:hAnsiTheme="majorBidi" w:cstheme="majorBidi"/>
        </w:rPr>
        <w:t>.</w:t>
      </w:r>
    </w:p>
    <w:p w14:paraId="2CC7D3D6" w14:textId="77777777" w:rsidR="001E5563" w:rsidRPr="001E5563" w:rsidRDefault="001E5563" w:rsidP="00F52E87">
      <w:pPr>
        <w:pStyle w:val="ListParagraph"/>
        <w:spacing w:line="360" w:lineRule="auto"/>
        <w:jc w:val="both"/>
        <w:rPr>
          <w:rFonts w:asciiTheme="majorBidi" w:hAnsiTheme="majorBidi" w:cstheme="majorBidi"/>
          <w:b/>
          <w:bCs/>
        </w:rPr>
      </w:pPr>
    </w:p>
    <w:p w14:paraId="1C4C00F4" w14:textId="77777777" w:rsid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Control Group (Placebo):</w:t>
      </w:r>
      <w:r w:rsidRPr="001E5563">
        <w:rPr>
          <w:rFonts w:asciiTheme="majorBidi" w:hAnsiTheme="majorBidi" w:cstheme="majorBidi"/>
        </w:rPr>
        <w:t xml:space="preserve"> Patients in the control group will receive an identical injection of </w:t>
      </w:r>
      <w:r w:rsidRPr="001E5563">
        <w:rPr>
          <w:rFonts w:asciiTheme="majorBidi" w:hAnsiTheme="majorBidi" w:cstheme="majorBidi"/>
          <w:b/>
          <w:bCs/>
        </w:rPr>
        <w:t xml:space="preserve">1 mL of </w:t>
      </w:r>
      <w:proofErr w:type="gramStart"/>
      <w:r w:rsidRPr="001E5563">
        <w:rPr>
          <w:rFonts w:asciiTheme="majorBidi" w:hAnsiTheme="majorBidi" w:cstheme="majorBidi"/>
          <w:b/>
          <w:bCs/>
        </w:rPr>
        <w:t>sterile normal saline</w:t>
      </w:r>
      <w:proofErr w:type="gramEnd"/>
      <w:r w:rsidRPr="001E5563">
        <w:rPr>
          <w:rFonts w:asciiTheme="majorBidi" w:hAnsiTheme="majorBidi" w:cstheme="majorBidi"/>
          <w:b/>
          <w:bCs/>
        </w:rPr>
        <w:t xml:space="preserve"> (0.9% NaCl)</w:t>
      </w:r>
      <w:r w:rsidRPr="001E5563">
        <w:rPr>
          <w:rFonts w:asciiTheme="majorBidi" w:hAnsiTheme="majorBidi" w:cstheme="majorBidi"/>
        </w:rPr>
        <w:t xml:space="preserve"> into the IAS at the same four quadrants.</w:t>
      </w:r>
    </w:p>
    <w:p w14:paraId="2ACD4C6F" w14:textId="77777777" w:rsidR="001E5563" w:rsidRPr="001E5563" w:rsidRDefault="001E5563" w:rsidP="00F52E87">
      <w:pPr>
        <w:pStyle w:val="ListParagraph"/>
        <w:spacing w:line="360" w:lineRule="auto"/>
        <w:jc w:val="both"/>
        <w:rPr>
          <w:rFonts w:asciiTheme="majorBidi" w:hAnsiTheme="majorBidi" w:cstheme="majorBidi"/>
          <w:b/>
          <w:bCs/>
        </w:rPr>
      </w:pPr>
    </w:p>
    <w:p w14:paraId="7473A424" w14:textId="61DAA72B" w:rsid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t>Randomization and Blinding</w:t>
      </w:r>
    </w:p>
    <w:p w14:paraId="63312A5D" w14:textId="77777777" w:rsidR="001E5563" w:rsidRPr="001E5563" w:rsidRDefault="001E5563" w:rsidP="00F52E87">
      <w:pPr>
        <w:pStyle w:val="ListParagraph"/>
        <w:spacing w:line="360" w:lineRule="auto"/>
        <w:jc w:val="both"/>
        <w:rPr>
          <w:rFonts w:asciiTheme="majorBidi" w:hAnsiTheme="majorBidi" w:cstheme="majorBidi"/>
        </w:rPr>
      </w:pPr>
    </w:p>
    <w:p w14:paraId="715EF6DB" w14:textId="77777777" w:rsidR="001E5563" w:rsidRPr="001E5563" w:rsidRDefault="001E5563" w:rsidP="00F52E87">
      <w:pPr>
        <w:spacing w:line="360" w:lineRule="auto"/>
        <w:jc w:val="both"/>
        <w:rPr>
          <w:rFonts w:asciiTheme="majorBidi" w:hAnsiTheme="majorBidi" w:cstheme="majorBidi"/>
        </w:rPr>
      </w:pPr>
    </w:p>
    <w:p w14:paraId="54CD5098" w14:textId="77777777" w:rsidR="001E5563" w:rsidRDefault="001E5563" w:rsidP="00F52E87">
      <w:pPr>
        <w:pStyle w:val="ListParagraph"/>
        <w:numPr>
          <w:ilvl w:val="3"/>
          <w:numId w:val="10"/>
        </w:numPr>
        <w:spacing w:line="360" w:lineRule="auto"/>
        <w:jc w:val="both"/>
        <w:rPr>
          <w:rFonts w:asciiTheme="majorBidi" w:hAnsiTheme="majorBidi" w:cstheme="majorBidi"/>
        </w:rPr>
      </w:pPr>
      <w:r w:rsidRPr="001E5563">
        <w:rPr>
          <w:rFonts w:asciiTheme="majorBidi" w:hAnsiTheme="majorBidi" w:cstheme="majorBidi"/>
          <w:b/>
          <w:bCs/>
        </w:rPr>
        <w:t>Randomization:</w:t>
      </w:r>
      <w:r w:rsidRPr="001E5563">
        <w:rPr>
          <w:rFonts w:asciiTheme="majorBidi" w:hAnsiTheme="majorBidi" w:cstheme="majorBidi"/>
        </w:rPr>
        <w:t xml:space="preserve"> Participants will be randomized in a </w:t>
      </w:r>
      <w:r w:rsidRPr="001E5563">
        <w:rPr>
          <w:rFonts w:asciiTheme="majorBidi" w:hAnsiTheme="majorBidi" w:cstheme="majorBidi"/>
          <w:b/>
          <w:bCs/>
        </w:rPr>
        <w:t>1:1 ratio</w:t>
      </w:r>
      <w:r w:rsidRPr="001E5563">
        <w:rPr>
          <w:rFonts w:asciiTheme="majorBidi" w:hAnsiTheme="majorBidi" w:cstheme="majorBidi"/>
        </w:rPr>
        <w:t xml:space="preserve"> to either the BTX or Placebo group. The allocation sequence will be generated by an independent researcher using a computer-based random number generator.</w:t>
      </w:r>
    </w:p>
    <w:p w14:paraId="541B0FEB" w14:textId="77777777" w:rsidR="001E5563" w:rsidRDefault="001E5563" w:rsidP="00F52E87">
      <w:pPr>
        <w:pStyle w:val="ListParagraph"/>
        <w:numPr>
          <w:ilvl w:val="3"/>
          <w:numId w:val="10"/>
        </w:numPr>
        <w:spacing w:line="360" w:lineRule="auto"/>
        <w:jc w:val="both"/>
        <w:rPr>
          <w:rFonts w:asciiTheme="majorBidi" w:hAnsiTheme="majorBidi" w:cstheme="majorBidi"/>
        </w:rPr>
      </w:pPr>
      <w:r w:rsidRPr="001E5563">
        <w:rPr>
          <w:rFonts w:asciiTheme="majorBidi" w:hAnsiTheme="majorBidi" w:cstheme="majorBidi"/>
          <w:b/>
          <w:bCs/>
        </w:rPr>
        <w:t>Allocation Concealment:</w:t>
      </w:r>
      <w:r w:rsidRPr="001E5563">
        <w:rPr>
          <w:rFonts w:asciiTheme="majorBidi" w:hAnsiTheme="majorBidi" w:cstheme="majorBidi"/>
        </w:rPr>
        <w:t xml:space="preserve"> To ensure concealment, the assignment will be placed in </w:t>
      </w:r>
      <w:r w:rsidRPr="001E5563">
        <w:rPr>
          <w:rFonts w:asciiTheme="majorBidi" w:hAnsiTheme="majorBidi" w:cstheme="majorBidi"/>
          <w:b/>
          <w:bCs/>
        </w:rPr>
        <w:t>sequentially numbered, opaque, sealed envelopes</w:t>
      </w:r>
      <w:r w:rsidRPr="001E5563">
        <w:rPr>
          <w:rFonts w:asciiTheme="majorBidi" w:hAnsiTheme="majorBidi" w:cstheme="majorBidi"/>
        </w:rPr>
        <w:t xml:space="preserve">. The envelopes will only be opened by an </w:t>
      </w:r>
      <w:proofErr w:type="gramStart"/>
      <w:r w:rsidRPr="001E5563">
        <w:rPr>
          <w:rFonts w:asciiTheme="majorBidi" w:hAnsiTheme="majorBidi" w:cstheme="majorBidi"/>
        </w:rPr>
        <w:t>unblinded</w:t>
      </w:r>
      <w:proofErr w:type="gramEnd"/>
      <w:r w:rsidRPr="001E5563">
        <w:rPr>
          <w:rFonts w:asciiTheme="majorBidi" w:hAnsiTheme="majorBidi" w:cstheme="majorBidi"/>
        </w:rPr>
        <w:t xml:space="preserve"> nurse responsible for preparing the syringes immediately before the injection.</w:t>
      </w:r>
    </w:p>
    <w:p w14:paraId="5417C9A1" w14:textId="77777777" w:rsidR="001E5563" w:rsidRPr="001E5563" w:rsidRDefault="001E5563" w:rsidP="00F52E87">
      <w:pPr>
        <w:spacing w:line="360" w:lineRule="auto"/>
        <w:ind w:left="360"/>
        <w:jc w:val="both"/>
        <w:rPr>
          <w:rFonts w:asciiTheme="majorBidi" w:hAnsiTheme="majorBidi" w:cstheme="majorBidi"/>
        </w:rPr>
      </w:pPr>
    </w:p>
    <w:p w14:paraId="52257CE4" w14:textId="5DFEBCA2" w:rsidR="001E5563" w:rsidRDefault="001E5563" w:rsidP="00F52E87">
      <w:pPr>
        <w:pStyle w:val="ListParagraph"/>
        <w:numPr>
          <w:ilvl w:val="2"/>
          <w:numId w:val="10"/>
        </w:numPr>
        <w:spacing w:line="360" w:lineRule="auto"/>
        <w:jc w:val="both"/>
        <w:rPr>
          <w:rFonts w:asciiTheme="majorBidi" w:hAnsiTheme="majorBidi" w:cstheme="majorBidi"/>
        </w:rPr>
      </w:pPr>
      <w:r w:rsidRPr="001E5563">
        <w:rPr>
          <w:rFonts w:asciiTheme="majorBidi" w:hAnsiTheme="majorBidi" w:cstheme="majorBidi"/>
          <w:b/>
          <w:bCs/>
        </w:rPr>
        <w:lastRenderedPageBreak/>
        <w:t>Blinding:</w:t>
      </w:r>
      <w:r w:rsidRPr="001E5563">
        <w:rPr>
          <w:rFonts w:asciiTheme="majorBidi" w:hAnsiTheme="majorBidi" w:cstheme="majorBidi"/>
        </w:rPr>
        <w:t xml:space="preserve"> This is a </w:t>
      </w:r>
      <w:r w:rsidRPr="001E5563">
        <w:rPr>
          <w:rFonts w:asciiTheme="majorBidi" w:hAnsiTheme="majorBidi" w:cstheme="majorBidi"/>
          <w:b/>
          <w:bCs/>
        </w:rPr>
        <w:t>double-blind study</w:t>
      </w:r>
      <w:r w:rsidRPr="001E5563">
        <w:rPr>
          <w:rFonts w:asciiTheme="majorBidi" w:hAnsiTheme="majorBidi" w:cstheme="majorBidi"/>
        </w:rPr>
        <w:t>.</w:t>
      </w:r>
    </w:p>
    <w:p w14:paraId="1B27E250" w14:textId="77777777" w:rsidR="001E5563" w:rsidRPr="001E5563" w:rsidRDefault="001E5563" w:rsidP="00F52E87">
      <w:pPr>
        <w:spacing w:line="360" w:lineRule="auto"/>
        <w:jc w:val="both"/>
        <w:rPr>
          <w:rFonts w:asciiTheme="majorBidi" w:hAnsiTheme="majorBidi" w:cstheme="majorBidi"/>
        </w:rPr>
      </w:pPr>
    </w:p>
    <w:p w14:paraId="525CC6D9" w14:textId="77777777" w:rsidR="001E5563" w:rsidRDefault="001E5563" w:rsidP="00F52E87">
      <w:pPr>
        <w:pStyle w:val="ListParagraph"/>
        <w:numPr>
          <w:ilvl w:val="3"/>
          <w:numId w:val="10"/>
        </w:numPr>
        <w:spacing w:line="360" w:lineRule="auto"/>
        <w:jc w:val="both"/>
        <w:rPr>
          <w:rFonts w:asciiTheme="majorBidi" w:hAnsiTheme="majorBidi" w:cstheme="majorBidi"/>
        </w:rPr>
      </w:pPr>
      <w:r w:rsidRPr="001E5563">
        <w:rPr>
          <w:rFonts w:asciiTheme="majorBidi" w:hAnsiTheme="majorBidi" w:cstheme="majorBidi"/>
        </w:rPr>
        <w:t xml:space="preserve">The </w:t>
      </w:r>
      <w:r w:rsidRPr="001E5563">
        <w:rPr>
          <w:rFonts w:asciiTheme="majorBidi" w:hAnsiTheme="majorBidi" w:cstheme="majorBidi"/>
          <w:b/>
          <w:bCs/>
        </w:rPr>
        <w:t>Patients</w:t>
      </w:r>
      <w:r w:rsidRPr="001E5563">
        <w:rPr>
          <w:rFonts w:asciiTheme="majorBidi" w:hAnsiTheme="majorBidi" w:cstheme="majorBidi"/>
        </w:rPr>
        <w:t xml:space="preserve"> will be unaware of their group assignment.</w:t>
      </w:r>
    </w:p>
    <w:p w14:paraId="24F88B5D" w14:textId="5152037E" w:rsidR="001E5563" w:rsidRDefault="001E5563" w:rsidP="00F52E87">
      <w:pPr>
        <w:pStyle w:val="ListParagraph"/>
        <w:numPr>
          <w:ilvl w:val="3"/>
          <w:numId w:val="10"/>
        </w:numPr>
        <w:spacing w:line="360" w:lineRule="auto"/>
        <w:jc w:val="both"/>
        <w:rPr>
          <w:rFonts w:asciiTheme="majorBidi" w:hAnsiTheme="majorBidi" w:cstheme="majorBidi"/>
        </w:rPr>
      </w:pPr>
      <w:r w:rsidRPr="001E5563">
        <w:rPr>
          <w:rFonts w:asciiTheme="majorBidi" w:hAnsiTheme="majorBidi" w:cstheme="majorBidi"/>
        </w:rPr>
        <w:t xml:space="preserve">The </w:t>
      </w:r>
      <w:r w:rsidRPr="001E5563">
        <w:rPr>
          <w:rFonts w:asciiTheme="majorBidi" w:hAnsiTheme="majorBidi" w:cstheme="majorBidi"/>
          <w:b/>
          <w:bCs/>
        </w:rPr>
        <w:t>Operating Surgeon</w:t>
      </w:r>
      <w:r w:rsidRPr="001E5563">
        <w:rPr>
          <w:rFonts w:asciiTheme="majorBidi" w:hAnsiTheme="majorBidi" w:cstheme="majorBidi"/>
        </w:rPr>
        <w:t xml:space="preserve"> and the </w:t>
      </w:r>
      <w:r w:rsidRPr="001E5563">
        <w:rPr>
          <w:rFonts w:asciiTheme="majorBidi" w:hAnsiTheme="majorBidi" w:cstheme="majorBidi"/>
          <w:b/>
          <w:bCs/>
        </w:rPr>
        <w:t>Outcome Assessors</w:t>
      </w:r>
      <w:r w:rsidRPr="001E5563">
        <w:rPr>
          <w:rFonts w:asciiTheme="majorBidi" w:hAnsiTheme="majorBidi" w:cstheme="majorBidi"/>
        </w:rPr>
        <w:t xml:space="preserve"> (who will record pain scores and urinary retention data) will remain blinded to the treatment type, as the syringes containing BTX and saline will be identical in appearance and volume.</w:t>
      </w:r>
    </w:p>
    <w:p w14:paraId="05474ED0" w14:textId="77777777" w:rsidR="001E5563" w:rsidRPr="001E5563" w:rsidRDefault="001E5563" w:rsidP="00F52E87">
      <w:pPr>
        <w:spacing w:line="360" w:lineRule="auto"/>
        <w:jc w:val="both"/>
        <w:rPr>
          <w:rFonts w:asciiTheme="majorBidi" w:hAnsiTheme="majorBidi" w:cstheme="majorBidi"/>
        </w:rPr>
      </w:pPr>
    </w:p>
    <w:p w14:paraId="468D404A" w14:textId="4F99AB51" w:rsidR="001E5563" w:rsidRDefault="001E5563" w:rsidP="00F52E87">
      <w:pPr>
        <w:pStyle w:val="ListParagraph"/>
        <w:numPr>
          <w:ilvl w:val="2"/>
          <w:numId w:val="10"/>
        </w:numPr>
        <w:spacing w:line="360" w:lineRule="auto"/>
        <w:jc w:val="both"/>
        <w:rPr>
          <w:rFonts w:asciiTheme="majorBidi" w:hAnsiTheme="majorBidi" w:cstheme="majorBidi"/>
          <w:b/>
          <w:bCs/>
        </w:rPr>
      </w:pPr>
      <w:r w:rsidRPr="001E5563">
        <w:rPr>
          <w:rFonts w:asciiTheme="majorBidi" w:hAnsiTheme="majorBidi" w:cstheme="majorBidi"/>
          <w:b/>
          <w:bCs/>
        </w:rPr>
        <w:t xml:space="preserve"> Outcome Measures</w:t>
      </w:r>
    </w:p>
    <w:p w14:paraId="4888DF95" w14:textId="77777777" w:rsidR="001E5563" w:rsidRPr="001E5563" w:rsidRDefault="001E5563" w:rsidP="00F52E87">
      <w:pPr>
        <w:spacing w:line="360" w:lineRule="auto"/>
        <w:jc w:val="both"/>
        <w:rPr>
          <w:rFonts w:asciiTheme="majorBidi" w:hAnsiTheme="majorBidi" w:cstheme="majorBidi"/>
          <w:b/>
          <w:bCs/>
        </w:rPr>
      </w:pPr>
    </w:p>
    <w:p w14:paraId="281E0EF1" w14:textId="1643AB28" w:rsidR="001E5563" w:rsidRPr="001E5563" w:rsidRDefault="001E5563" w:rsidP="00F52E87">
      <w:pPr>
        <w:pStyle w:val="ListParagraph"/>
        <w:numPr>
          <w:ilvl w:val="3"/>
          <w:numId w:val="10"/>
        </w:numPr>
        <w:spacing w:line="360" w:lineRule="auto"/>
        <w:jc w:val="both"/>
        <w:rPr>
          <w:rFonts w:asciiTheme="majorBidi" w:hAnsiTheme="majorBidi" w:cstheme="majorBidi"/>
        </w:rPr>
      </w:pPr>
      <w:r w:rsidRPr="001E5563">
        <w:rPr>
          <w:rFonts w:asciiTheme="majorBidi" w:hAnsiTheme="majorBidi" w:cstheme="majorBidi"/>
          <w:b/>
          <w:bCs/>
        </w:rPr>
        <w:t>Primary Outcome:</w:t>
      </w:r>
    </w:p>
    <w:p w14:paraId="242FEE5F" w14:textId="77777777" w:rsidR="001E5563" w:rsidRPr="001E5563" w:rsidRDefault="001E5563" w:rsidP="00F52E87">
      <w:pPr>
        <w:numPr>
          <w:ilvl w:val="0"/>
          <w:numId w:val="6"/>
        </w:numPr>
        <w:spacing w:line="360" w:lineRule="auto"/>
        <w:jc w:val="both"/>
        <w:rPr>
          <w:rFonts w:asciiTheme="majorBidi" w:hAnsiTheme="majorBidi" w:cstheme="majorBidi"/>
        </w:rPr>
      </w:pPr>
      <w:r w:rsidRPr="001E5563">
        <w:rPr>
          <w:rFonts w:asciiTheme="majorBidi" w:hAnsiTheme="majorBidi" w:cstheme="majorBidi"/>
          <w:b/>
          <w:bCs/>
        </w:rPr>
        <w:t>Postoperative Urinary Retention (POUR):</w:t>
      </w:r>
      <w:r w:rsidRPr="001E5563">
        <w:rPr>
          <w:rFonts w:asciiTheme="majorBidi" w:hAnsiTheme="majorBidi" w:cstheme="majorBidi"/>
        </w:rPr>
        <w:t xml:space="preserve"> Defined as the inability to void spontaneously within 6 hours postoperatively, requiring urethral catheterization, in the presence of a bladder volume &gt;400 mL (measured by ultrasound or palpation).</w:t>
      </w:r>
    </w:p>
    <w:p w14:paraId="5DD87C8A" w14:textId="215CDA9B" w:rsidR="001E5563" w:rsidRPr="00F52E87" w:rsidRDefault="001E5563" w:rsidP="00F52E87">
      <w:pPr>
        <w:pStyle w:val="ListParagraph"/>
        <w:numPr>
          <w:ilvl w:val="3"/>
          <w:numId w:val="10"/>
        </w:numPr>
        <w:spacing w:line="360" w:lineRule="auto"/>
        <w:jc w:val="both"/>
        <w:rPr>
          <w:rFonts w:asciiTheme="majorBidi" w:hAnsiTheme="majorBidi" w:cstheme="majorBidi"/>
        </w:rPr>
      </w:pPr>
      <w:r w:rsidRPr="00F52E87">
        <w:rPr>
          <w:rFonts w:asciiTheme="majorBidi" w:hAnsiTheme="majorBidi" w:cstheme="majorBidi"/>
          <w:b/>
          <w:bCs/>
        </w:rPr>
        <w:t>Secondary Outcomes:</w:t>
      </w:r>
    </w:p>
    <w:p w14:paraId="552EA5A7" w14:textId="77777777" w:rsidR="001E5563" w:rsidRPr="001E5563" w:rsidRDefault="001E5563" w:rsidP="00F52E87">
      <w:pPr>
        <w:numPr>
          <w:ilvl w:val="0"/>
          <w:numId w:val="7"/>
        </w:numPr>
        <w:spacing w:line="360" w:lineRule="auto"/>
        <w:jc w:val="both"/>
        <w:rPr>
          <w:rFonts w:asciiTheme="majorBidi" w:hAnsiTheme="majorBidi" w:cstheme="majorBidi"/>
        </w:rPr>
      </w:pPr>
      <w:r w:rsidRPr="001E5563">
        <w:rPr>
          <w:rFonts w:asciiTheme="majorBidi" w:hAnsiTheme="majorBidi" w:cstheme="majorBidi"/>
          <w:b/>
          <w:bCs/>
        </w:rPr>
        <w:t>Postoperative Pain:</w:t>
      </w:r>
      <w:r w:rsidRPr="001E5563">
        <w:rPr>
          <w:rFonts w:asciiTheme="majorBidi" w:hAnsiTheme="majorBidi" w:cstheme="majorBidi"/>
        </w:rPr>
        <w:t xml:space="preserve"> Measured using the Visual Analogue Scale (VAS, 0–10) at 24 hours, 1 week, and 2 weeks post-surgery.</w:t>
      </w:r>
    </w:p>
    <w:p w14:paraId="7995EA9B" w14:textId="77777777" w:rsidR="001E5563" w:rsidRPr="001E5563" w:rsidRDefault="001E5563" w:rsidP="00F52E87">
      <w:pPr>
        <w:numPr>
          <w:ilvl w:val="0"/>
          <w:numId w:val="7"/>
        </w:numPr>
        <w:spacing w:line="360" w:lineRule="auto"/>
        <w:jc w:val="both"/>
        <w:rPr>
          <w:rFonts w:asciiTheme="majorBidi" w:hAnsiTheme="majorBidi" w:cstheme="majorBidi"/>
        </w:rPr>
      </w:pPr>
      <w:r w:rsidRPr="001E5563">
        <w:rPr>
          <w:rFonts w:asciiTheme="majorBidi" w:hAnsiTheme="majorBidi" w:cstheme="majorBidi"/>
          <w:b/>
          <w:bCs/>
        </w:rPr>
        <w:t>Analgesic Requirements:</w:t>
      </w:r>
      <w:r w:rsidRPr="001E5563">
        <w:rPr>
          <w:rFonts w:asciiTheme="majorBidi" w:hAnsiTheme="majorBidi" w:cstheme="majorBidi"/>
        </w:rPr>
        <w:t xml:space="preserve"> Total consumption of NSAIDs and morphine equivalents within the first 24 hours.</w:t>
      </w:r>
    </w:p>
    <w:p w14:paraId="07562E94" w14:textId="77777777" w:rsidR="001E5563" w:rsidRDefault="001E5563" w:rsidP="00F52E87">
      <w:pPr>
        <w:numPr>
          <w:ilvl w:val="0"/>
          <w:numId w:val="7"/>
        </w:numPr>
        <w:spacing w:line="360" w:lineRule="auto"/>
        <w:jc w:val="both"/>
        <w:rPr>
          <w:rFonts w:asciiTheme="majorBidi" w:hAnsiTheme="majorBidi" w:cstheme="majorBidi"/>
        </w:rPr>
      </w:pPr>
      <w:r w:rsidRPr="001E5563">
        <w:rPr>
          <w:rFonts w:asciiTheme="majorBidi" w:hAnsiTheme="majorBidi" w:cstheme="majorBidi"/>
          <w:b/>
          <w:bCs/>
        </w:rPr>
        <w:t>Safety Profile:</w:t>
      </w:r>
      <w:r w:rsidRPr="001E5563">
        <w:rPr>
          <w:rFonts w:asciiTheme="majorBidi" w:hAnsiTheme="majorBidi" w:cstheme="majorBidi"/>
        </w:rPr>
        <w:t xml:space="preserve"> Monitoring for adverse events, including fecal/gas incontinence, postoperative bleeding, and anal stenosis.</w:t>
      </w:r>
    </w:p>
    <w:p w14:paraId="6FC81D9D" w14:textId="6B24FB8E" w:rsidR="00E6533C" w:rsidRDefault="00E6533C" w:rsidP="00E6533C">
      <w:pPr>
        <w:pStyle w:val="ListParagraph"/>
        <w:numPr>
          <w:ilvl w:val="2"/>
          <w:numId w:val="10"/>
        </w:numPr>
        <w:spacing w:line="360" w:lineRule="auto"/>
        <w:jc w:val="both"/>
        <w:rPr>
          <w:rFonts w:asciiTheme="majorBidi" w:hAnsiTheme="majorBidi" w:cstheme="majorBidi"/>
          <w:b/>
          <w:bCs/>
        </w:rPr>
      </w:pPr>
      <w:r w:rsidRPr="00E6533C">
        <w:rPr>
          <w:rFonts w:asciiTheme="majorBidi" w:hAnsiTheme="majorBidi" w:cstheme="majorBidi"/>
          <w:b/>
          <w:bCs/>
        </w:rPr>
        <w:t>Variable Definition and Measurement Table</w:t>
      </w:r>
    </w:p>
    <w:p w14:paraId="743431BF" w14:textId="062B0CC9" w:rsidR="00E6533C" w:rsidRDefault="00E6533C" w:rsidP="00E6533C">
      <w:pPr>
        <w:spacing w:line="360" w:lineRule="auto"/>
        <w:jc w:val="both"/>
        <w:rPr>
          <w:rFonts w:asciiTheme="majorBidi" w:hAnsiTheme="majorBidi" w:cstheme="majorBidi"/>
        </w:rPr>
      </w:pPr>
      <w:r w:rsidRPr="00E6533C">
        <w:rPr>
          <w:rFonts w:asciiTheme="majorBidi" w:hAnsiTheme="majorBidi" w:cstheme="majorBidi"/>
        </w:rPr>
        <w:t>The following table summarizes the key variables to be collected, their operational definitions, measurement scales, and the timing of data acquisition.</w:t>
      </w:r>
    </w:p>
    <w:tbl>
      <w:tblPr>
        <w:tblStyle w:val="PlainTable2"/>
        <w:tblW w:w="0" w:type="auto"/>
        <w:tblLook w:val="04A0" w:firstRow="1" w:lastRow="0" w:firstColumn="1" w:lastColumn="0" w:noHBand="0" w:noVBand="1"/>
      </w:tblPr>
      <w:tblGrid>
        <w:gridCol w:w="1525"/>
        <w:gridCol w:w="1582"/>
        <w:gridCol w:w="1850"/>
        <w:gridCol w:w="1477"/>
        <w:gridCol w:w="1862"/>
        <w:gridCol w:w="1064"/>
      </w:tblGrid>
      <w:tr w:rsidR="00E6533C" w:rsidRPr="00E6533C" w14:paraId="4211553E" w14:textId="77777777" w:rsidTr="00E653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815C3F"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Variable Category</w:t>
            </w:r>
          </w:p>
        </w:tc>
        <w:tc>
          <w:tcPr>
            <w:tcW w:w="0" w:type="auto"/>
            <w:hideMark/>
          </w:tcPr>
          <w:p w14:paraId="37BC990E" w14:textId="77777777" w:rsidR="00E6533C" w:rsidRPr="00E6533C" w:rsidRDefault="00E6533C" w:rsidP="00E6533C">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Variable Name</w:t>
            </w:r>
          </w:p>
        </w:tc>
        <w:tc>
          <w:tcPr>
            <w:tcW w:w="0" w:type="auto"/>
            <w:hideMark/>
          </w:tcPr>
          <w:p w14:paraId="59488DF4" w14:textId="77777777" w:rsidR="00E6533C" w:rsidRPr="00E6533C" w:rsidRDefault="00E6533C" w:rsidP="00E6533C">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Operational Definition / Unit</w:t>
            </w:r>
          </w:p>
        </w:tc>
        <w:tc>
          <w:tcPr>
            <w:tcW w:w="0" w:type="auto"/>
            <w:hideMark/>
          </w:tcPr>
          <w:p w14:paraId="4F7AAF65" w14:textId="77777777" w:rsidR="00E6533C" w:rsidRPr="00E6533C" w:rsidRDefault="00E6533C" w:rsidP="00E6533C">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Data Type</w:t>
            </w:r>
          </w:p>
        </w:tc>
        <w:tc>
          <w:tcPr>
            <w:tcW w:w="0" w:type="auto"/>
            <w:hideMark/>
          </w:tcPr>
          <w:p w14:paraId="30A782CB" w14:textId="77777777" w:rsidR="00E6533C" w:rsidRPr="00E6533C" w:rsidRDefault="00E6533C" w:rsidP="00E6533C">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Collection Tool / Method</w:t>
            </w:r>
          </w:p>
        </w:tc>
        <w:tc>
          <w:tcPr>
            <w:tcW w:w="0" w:type="auto"/>
            <w:hideMark/>
          </w:tcPr>
          <w:p w14:paraId="25517C11" w14:textId="77777777" w:rsidR="00E6533C" w:rsidRPr="00E6533C" w:rsidRDefault="00E6533C" w:rsidP="00E6533C">
            <w:pPr>
              <w:spacing w:after="16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Timing</w:t>
            </w:r>
          </w:p>
        </w:tc>
      </w:tr>
      <w:tr w:rsidR="00E6533C" w:rsidRPr="00E6533C" w14:paraId="2450CB28"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0006CA"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Demographic</w:t>
            </w:r>
          </w:p>
        </w:tc>
        <w:tc>
          <w:tcPr>
            <w:tcW w:w="0" w:type="auto"/>
            <w:hideMark/>
          </w:tcPr>
          <w:p w14:paraId="52113000"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Age</w:t>
            </w:r>
          </w:p>
        </w:tc>
        <w:tc>
          <w:tcPr>
            <w:tcW w:w="0" w:type="auto"/>
            <w:hideMark/>
          </w:tcPr>
          <w:p w14:paraId="786B47D0"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Age in completed years</w:t>
            </w:r>
          </w:p>
        </w:tc>
        <w:tc>
          <w:tcPr>
            <w:tcW w:w="0" w:type="auto"/>
            <w:hideMark/>
          </w:tcPr>
          <w:p w14:paraId="46AEF245"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Continuous</w:t>
            </w:r>
          </w:p>
        </w:tc>
        <w:tc>
          <w:tcPr>
            <w:tcW w:w="0" w:type="auto"/>
            <w:hideMark/>
          </w:tcPr>
          <w:p w14:paraId="409116B6"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Patient Interview / Records</w:t>
            </w:r>
          </w:p>
        </w:tc>
        <w:tc>
          <w:tcPr>
            <w:tcW w:w="0" w:type="auto"/>
            <w:hideMark/>
          </w:tcPr>
          <w:p w14:paraId="19210F33"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Baseline</w:t>
            </w:r>
          </w:p>
        </w:tc>
      </w:tr>
      <w:tr w:rsidR="00E6533C" w:rsidRPr="00E6533C" w14:paraId="02D57D57"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4A8E76C7"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566F8170"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Sex</w:t>
            </w:r>
          </w:p>
        </w:tc>
        <w:tc>
          <w:tcPr>
            <w:tcW w:w="0" w:type="auto"/>
            <w:hideMark/>
          </w:tcPr>
          <w:p w14:paraId="0EC59B07"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Biological sex (Male/Female)</w:t>
            </w:r>
          </w:p>
        </w:tc>
        <w:tc>
          <w:tcPr>
            <w:tcW w:w="0" w:type="auto"/>
            <w:hideMark/>
          </w:tcPr>
          <w:p w14:paraId="4DD92040"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Categorical</w:t>
            </w:r>
          </w:p>
        </w:tc>
        <w:tc>
          <w:tcPr>
            <w:tcW w:w="0" w:type="auto"/>
            <w:hideMark/>
          </w:tcPr>
          <w:p w14:paraId="1DB726BF"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Patient Records</w:t>
            </w:r>
          </w:p>
        </w:tc>
        <w:tc>
          <w:tcPr>
            <w:tcW w:w="0" w:type="auto"/>
            <w:hideMark/>
          </w:tcPr>
          <w:p w14:paraId="16562BA8"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Baseline</w:t>
            </w:r>
          </w:p>
        </w:tc>
      </w:tr>
      <w:tr w:rsidR="00E6533C" w:rsidRPr="00E6533C" w14:paraId="7EA31CBD"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3613A6"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5C9CA51E"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BMI</w:t>
            </w:r>
          </w:p>
        </w:tc>
        <w:tc>
          <w:tcPr>
            <w:tcW w:w="0" w:type="auto"/>
            <w:hideMark/>
          </w:tcPr>
          <w:p w14:paraId="00774A44"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Weight (kg) / Height² (m²)</w:t>
            </w:r>
          </w:p>
        </w:tc>
        <w:tc>
          <w:tcPr>
            <w:tcW w:w="0" w:type="auto"/>
            <w:hideMark/>
          </w:tcPr>
          <w:p w14:paraId="7B68C86C"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Continuous</w:t>
            </w:r>
          </w:p>
        </w:tc>
        <w:tc>
          <w:tcPr>
            <w:tcW w:w="0" w:type="auto"/>
            <w:hideMark/>
          </w:tcPr>
          <w:p w14:paraId="7DDDE080"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Physical Measurement</w:t>
            </w:r>
          </w:p>
        </w:tc>
        <w:tc>
          <w:tcPr>
            <w:tcW w:w="0" w:type="auto"/>
            <w:hideMark/>
          </w:tcPr>
          <w:p w14:paraId="43FA9140"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Baseline</w:t>
            </w:r>
          </w:p>
        </w:tc>
      </w:tr>
      <w:tr w:rsidR="00E6533C" w:rsidRPr="00E6533C" w14:paraId="070095AE"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52926C5B"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Clinical</w:t>
            </w:r>
          </w:p>
        </w:tc>
        <w:tc>
          <w:tcPr>
            <w:tcW w:w="0" w:type="auto"/>
            <w:hideMark/>
          </w:tcPr>
          <w:p w14:paraId="5653B5E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Hemorrhoid Grade</w:t>
            </w:r>
          </w:p>
        </w:tc>
        <w:tc>
          <w:tcPr>
            <w:tcW w:w="0" w:type="auto"/>
            <w:hideMark/>
          </w:tcPr>
          <w:p w14:paraId="6476266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Grade III or IV</w:t>
            </w:r>
          </w:p>
        </w:tc>
        <w:tc>
          <w:tcPr>
            <w:tcW w:w="0" w:type="auto"/>
            <w:hideMark/>
          </w:tcPr>
          <w:p w14:paraId="23ABFBD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Ordinal</w:t>
            </w:r>
          </w:p>
        </w:tc>
        <w:tc>
          <w:tcPr>
            <w:tcW w:w="0" w:type="auto"/>
            <w:hideMark/>
          </w:tcPr>
          <w:p w14:paraId="17E8FFFC"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Physical Examination</w:t>
            </w:r>
          </w:p>
        </w:tc>
        <w:tc>
          <w:tcPr>
            <w:tcW w:w="0" w:type="auto"/>
            <w:hideMark/>
          </w:tcPr>
          <w:p w14:paraId="60B125B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Baseline</w:t>
            </w:r>
          </w:p>
        </w:tc>
      </w:tr>
      <w:tr w:rsidR="00E6533C" w:rsidRPr="00E6533C" w14:paraId="4A133AA9"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7AF087"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536A4D59"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Duration of Symptoms</w:t>
            </w:r>
          </w:p>
        </w:tc>
        <w:tc>
          <w:tcPr>
            <w:tcW w:w="0" w:type="auto"/>
            <w:hideMark/>
          </w:tcPr>
          <w:p w14:paraId="30263529"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Months since symptoms started</w:t>
            </w:r>
          </w:p>
        </w:tc>
        <w:tc>
          <w:tcPr>
            <w:tcW w:w="0" w:type="auto"/>
            <w:hideMark/>
          </w:tcPr>
          <w:p w14:paraId="44D239F7"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Continuous</w:t>
            </w:r>
          </w:p>
        </w:tc>
        <w:tc>
          <w:tcPr>
            <w:tcW w:w="0" w:type="auto"/>
            <w:hideMark/>
          </w:tcPr>
          <w:p w14:paraId="50068AED"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Patient History</w:t>
            </w:r>
          </w:p>
        </w:tc>
        <w:tc>
          <w:tcPr>
            <w:tcW w:w="0" w:type="auto"/>
            <w:hideMark/>
          </w:tcPr>
          <w:p w14:paraId="260C89E7"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Baseline</w:t>
            </w:r>
          </w:p>
        </w:tc>
      </w:tr>
      <w:tr w:rsidR="00E6533C" w:rsidRPr="00E6533C" w14:paraId="1A8D1D7A"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5EBE33C5"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Primary Outcome</w:t>
            </w:r>
          </w:p>
        </w:tc>
        <w:tc>
          <w:tcPr>
            <w:tcW w:w="0" w:type="auto"/>
            <w:hideMark/>
          </w:tcPr>
          <w:p w14:paraId="41D4E641"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POUR</w:t>
            </w:r>
          </w:p>
        </w:tc>
        <w:tc>
          <w:tcPr>
            <w:tcW w:w="0" w:type="auto"/>
            <w:hideMark/>
          </w:tcPr>
          <w:p w14:paraId="1F9235B7"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Postoperative Urinary Retention</w:t>
            </w:r>
          </w:p>
        </w:tc>
        <w:tc>
          <w:tcPr>
            <w:tcW w:w="0" w:type="auto"/>
            <w:hideMark/>
          </w:tcPr>
          <w:p w14:paraId="472368C0"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34765B3A"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Bladder volume &gt;400ml + inability to void</w:t>
            </w:r>
          </w:p>
        </w:tc>
        <w:tc>
          <w:tcPr>
            <w:tcW w:w="0" w:type="auto"/>
            <w:hideMark/>
          </w:tcPr>
          <w:p w14:paraId="3B9692DE"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Up to 6h Post-op</w:t>
            </w:r>
          </w:p>
        </w:tc>
      </w:tr>
      <w:tr w:rsidR="00E6533C" w:rsidRPr="00E6533C" w14:paraId="4082C6F7"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B08818"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3961D217"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Catheterization</w:t>
            </w:r>
          </w:p>
        </w:tc>
        <w:tc>
          <w:tcPr>
            <w:tcW w:w="0" w:type="auto"/>
            <w:hideMark/>
          </w:tcPr>
          <w:p w14:paraId="78C5A03B"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Need for urethral catheterization</w:t>
            </w:r>
          </w:p>
        </w:tc>
        <w:tc>
          <w:tcPr>
            <w:tcW w:w="0" w:type="auto"/>
            <w:hideMark/>
          </w:tcPr>
          <w:p w14:paraId="50A0FC81"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4B03D17B"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Clinical Procedure</w:t>
            </w:r>
          </w:p>
        </w:tc>
        <w:tc>
          <w:tcPr>
            <w:tcW w:w="0" w:type="auto"/>
            <w:hideMark/>
          </w:tcPr>
          <w:p w14:paraId="6C8835BF"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Up to 6h Post-op</w:t>
            </w:r>
          </w:p>
        </w:tc>
      </w:tr>
      <w:tr w:rsidR="00E6533C" w:rsidRPr="00E6533C" w14:paraId="369EEF3F"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7417BED4"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Secondary Outcomes</w:t>
            </w:r>
          </w:p>
        </w:tc>
        <w:tc>
          <w:tcPr>
            <w:tcW w:w="0" w:type="auto"/>
            <w:hideMark/>
          </w:tcPr>
          <w:p w14:paraId="4E00C7B2"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Acute Pain</w:t>
            </w:r>
          </w:p>
        </w:tc>
        <w:tc>
          <w:tcPr>
            <w:tcW w:w="0" w:type="auto"/>
            <w:hideMark/>
          </w:tcPr>
          <w:p w14:paraId="0EF9DB19"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Intensity of pain (0–10)</w:t>
            </w:r>
          </w:p>
        </w:tc>
        <w:tc>
          <w:tcPr>
            <w:tcW w:w="0" w:type="auto"/>
            <w:hideMark/>
          </w:tcPr>
          <w:p w14:paraId="225702FC"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Ordinal (Scale)</w:t>
            </w:r>
          </w:p>
        </w:tc>
        <w:tc>
          <w:tcPr>
            <w:tcW w:w="0" w:type="auto"/>
            <w:hideMark/>
          </w:tcPr>
          <w:p w14:paraId="7F1A3A29"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Visual Analogue Scale (VAS)</w:t>
            </w:r>
          </w:p>
        </w:tc>
        <w:tc>
          <w:tcPr>
            <w:tcW w:w="0" w:type="auto"/>
            <w:hideMark/>
          </w:tcPr>
          <w:p w14:paraId="2C363513"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24h Post-op</w:t>
            </w:r>
          </w:p>
        </w:tc>
      </w:tr>
      <w:tr w:rsidR="00E6533C" w:rsidRPr="00E6533C" w14:paraId="1785469C"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4D1975"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4AD6619D"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Follow-up Pain</w:t>
            </w:r>
          </w:p>
        </w:tc>
        <w:tc>
          <w:tcPr>
            <w:tcW w:w="0" w:type="auto"/>
            <w:hideMark/>
          </w:tcPr>
          <w:p w14:paraId="1D6BA226"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Intensity of pain (0–10)</w:t>
            </w:r>
          </w:p>
        </w:tc>
        <w:tc>
          <w:tcPr>
            <w:tcW w:w="0" w:type="auto"/>
            <w:hideMark/>
          </w:tcPr>
          <w:p w14:paraId="453844AD"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Ordinal (Scale)</w:t>
            </w:r>
          </w:p>
        </w:tc>
        <w:tc>
          <w:tcPr>
            <w:tcW w:w="0" w:type="auto"/>
            <w:hideMark/>
          </w:tcPr>
          <w:p w14:paraId="1AAF7585"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VAS</w:t>
            </w:r>
          </w:p>
        </w:tc>
        <w:tc>
          <w:tcPr>
            <w:tcW w:w="0" w:type="auto"/>
            <w:hideMark/>
          </w:tcPr>
          <w:p w14:paraId="583C2C88"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Week 1 &amp; 2</w:t>
            </w:r>
          </w:p>
        </w:tc>
      </w:tr>
      <w:tr w:rsidR="00E6533C" w:rsidRPr="00E6533C" w14:paraId="1FC62255"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6EF2830B"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689A3BEC"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Opioid Intake</w:t>
            </w:r>
          </w:p>
        </w:tc>
        <w:tc>
          <w:tcPr>
            <w:tcW w:w="0" w:type="auto"/>
            <w:hideMark/>
          </w:tcPr>
          <w:p w14:paraId="7FF9C18B"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Cumulative morphine equivalents</w:t>
            </w:r>
          </w:p>
        </w:tc>
        <w:tc>
          <w:tcPr>
            <w:tcW w:w="0" w:type="auto"/>
            <w:hideMark/>
          </w:tcPr>
          <w:p w14:paraId="2B82F885"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Continuous (mg)</w:t>
            </w:r>
          </w:p>
        </w:tc>
        <w:tc>
          <w:tcPr>
            <w:tcW w:w="0" w:type="auto"/>
            <w:hideMark/>
          </w:tcPr>
          <w:p w14:paraId="5A84C614"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Nursing Records</w:t>
            </w:r>
          </w:p>
        </w:tc>
        <w:tc>
          <w:tcPr>
            <w:tcW w:w="0" w:type="auto"/>
            <w:hideMark/>
          </w:tcPr>
          <w:p w14:paraId="32AFDD3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24h Post-op</w:t>
            </w:r>
          </w:p>
        </w:tc>
      </w:tr>
      <w:tr w:rsidR="00E6533C" w:rsidRPr="00E6533C" w14:paraId="2F0592C4"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1FD5D2"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535AA2F1"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NSAID Intake</w:t>
            </w:r>
          </w:p>
        </w:tc>
        <w:tc>
          <w:tcPr>
            <w:tcW w:w="0" w:type="auto"/>
            <w:hideMark/>
          </w:tcPr>
          <w:p w14:paraId="5729E698"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Total doses of non-steroidal drugs</w:t>
            </w:r>
          </w:p>
        </w:tc>
        <w:tc>
          <w:tcPr>
            <w:tcW w:w="0" w:type="auto"/>
            <w:hideMark/>
          </w:tcPr>
          <w:p w14:paraId="7D803666"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Continuous (mg)</w:t>
            </w:r>
          </w:p>
        </w:tc>
        <w:tc>
          <w:tcPr>
            <w:tcW w:w="0" w:type="auto"/>
            <w:hideMark/>
          </w:tcPr>
          <w:p w14:paraId="3AB3D773"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Nursing Records</w:t>
            </w:r>
          </w:p>
        </w:tc>
        <w:tc>
          <w:tcPr>
            <w:tcW w:w="0" w:type="auto"/>
            <w:hideMark/>
          </w:tcPr>
          <w:p w14:paraId="205D1BF0"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24h Post-op</w:t>
            </w:r>
          </w:p>
        </w:tc>
      </w:tr>
      <w:tr w:rsidR="00E6533C" w:rsidRPr="00E6533C" w14:paraId="2E71E798"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03DC351C" w14:textId="77777777" w:rsidR="00E6533C" w:rsidRPr="00E6533C" w:rsidRDefault="00E6533C" w:rsidP="00E6533C">
            <w:pPr>
              <w:spacing w:after="160" w:line="360" w:lineRule="auto"/>
              <w:jc w:val="both"/>
              <w:rPr>
                <w:rFonts w:asciiTheme="majorBidi" w:hAnsiTheme="majorBidi" w:cstheme="majorBidi"/>
                <w:sz w:val="20"/>
                <w:szCs w:val="20"/>
              </w:rPr>
            </w:pPr>
            <w:r w:rsidRPr="00E6533C">
              <w:rPr>
                <w:rFonts w:asciiTheme="majorBidi" w:hAnsiTheme="majorBidi" w:cstheme="majorBidi"/>
                <w:sz w:val="20"/>
                <w:szCs w:val="20"/>
              </w:rPr>
              <w:t>Safety</w:t>
            </w:r>
          </w:p>
        </w:tc>
        <w:tc>
          <w:tcPr>
            <w:tcW w:w="0" w:type="auto"/>
            <w:hideMark/>
          </w:tcPr>
          <w:p w14:paraId="31EE26B9"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Gas Incontinence</w:t>
            </w:r>
          </w:p>
        </w:tc>
        <w:tc>
          <w:tcPr>
            <w:tcW w:w="0" w:type="auto"/>
            <w:hideMark/>
          </w:tcPr>
          <w:p w14:paraId="18505FDA"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Involuntary passage of gas</w:t>
            </w:r>
          </w:p>
        </w:tc>
        <w:tc>
          <w:tcPr>
            <w:tcW w:w="0" w:type="auto"/>
            <w:hideMark/>
          </w:tcPr>
          <w:p w14:paraId="5E79DD19"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0423FD0D"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Patient Interview</w:t>
            </w:r>
          </w:p>
        </w:tc>
        <w:tc>
          <w:tcPr>
            <w:tcW w:w="0" w:type="auto"/>
            <w:hideMark/>
          </w:tcPr>
          <w:p w14:paraId="73AF7D9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Week 1 &amp; 2</w:t>
            </w:r>
          </w:p>
        </w:tc>
      </w:tr>
      <w:tr w:rsidR="00E6533C" w:rsidRPr="00E6533C" w14:paraId="63CFA929"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CE6EAF"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24791FD2"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Fecal Incontinence</w:t>
            </w:r>
          </w:p>
        </w:tc>
        <w:tc>
          <w:tcPr>
            <w:tcW w:w="0" w:type="auto"/>
            <w:hideMark/>
          </w:tcPr>
          <w:p w14:paraId="55C67283"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Involuntary passage of stool</w:t>
            </w:r>
          </w:p>
        </w:tc>
        <w:tc>
          <w:tcPr>
            <w:tcW w:w="0" w:type="auto"/>
            <w:hideMark/>
          </w:tcPr>
          <w:p w14:paraId="3923E069"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3064E74D"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Patient Interview / Wexner Score</w:t>
            </w:r>
          </w:p>
        </w:tc>
        <w:tc>
          <w:tcPr>
            <w:tcW w:w="0" w:type="auto"/>
            <w:hideMark/>
          </w:tcPr>
          <w:p w14:paraId="2A0A2F91"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Week 1 &amp; 2</w:t>
            </w:r>
          </w:p>
        </w:tc>
      </w:tr>
      <w:tr w:rsidR="00E6533C" w:rsidRPr="00E6533C" w14:paraId="7803838A" w14:textId="77777777" w:rsidTr="00E6533C">
        <w:tc>
          <w:tcPr>
            <w:cnfStyle w:val="001000000000" w:firstRow="0" w:lastRow="0" w:firstColumn="1" w:lastColumn="0" w:oddVBand="0" w:evenVBand="0" w:oddHBand="0" w:evenHBand="0" w:firstRowFirstColumn="0" w:firstRowLastColumn="0" w:lastRowFirstColumn="0" w:lastRowLastColumn="0"/>
            <w:tcW w:w="0" w:type="auto"/>
            <w:hideMark/>
          </w:tcPr>
          <w:p w14:paraId="309981C8"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0C14A11D"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Post-op Bleeding</w:t>
            </w:r>
          </w:p>
        </w:tc>
        <w:tc>
          <w:tcPr>
            <w:tcW w:w="0" w:type="auto"/>
            <w:hideMark/>
          </w:tcPr>
          <w:p w14:paraId="0E7585A4"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Active bleeding requiring intervention</w:t>
            </w:r>
          </w:p>
        </w:tc>
        <w:tc>
          <w:tcPr>
            <w:tcW w:w="0" w:type="auto"/>
            <w:hideMark/>
          </w:tcPr>
          <w:p w14:paraId="4D94AF95"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5C20BA26"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Physical Examination</w:t>
            </w:r>
          </w:p>
        </w:tc>
        <w:tc>
          <w:tcPr>
            <w:tcW w:w="0" w:type="auto"/>
            <w:hideMark/>
          </w:tcPr>
          <w:p w14:paraId="6E922788" w14:textId="77777777" w:rsidR="00E6533C" w:rsidRPr="00E6533C" w:rsidRDefault="00E6533C" w:rsidP="00E6533C">
            <w:pPr>
              <w:spacing w:after="16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Up to Week 2</w:t>
            </w:r>
          </w:p>
        </w:tc>
      </w:tr>
      <w:tr w:rsidR="00E6533C" w:rsidRPr="00E6533C" w14:paraId="470C4B9D" w14:textId="77777777" w:rsidTr="00E653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DA3E25" w14:textId="77777777" w:rsidR="00E6533C" w:rsidRPr="00E6533C" w:rsidRDefault="00E6533C" w:rsidP="00E6533C">
            <w:pPr>
              <w:spacing w:after="160" w:line="360" w:lineRule="auto"/>
              <w:jc w:val="both"/>
              <w:rPr>
                <w:rFonts w:asciiTheme="majorBidi" w:hAnsiTheme="majorBidi" w:cstheme="majorBidi"/>
                <w:sz w:val="20"/>
                <w:szCs w:val="20"/>
              </w:rPr>
            </w:pPr>
          </w:p>
        </w:tc>
        <w:tc>
          <w:tcPr>
            <w:tcW w:w="0" w:type="auto"/>
            <w:hideMark/>
          </w:tcPr>
          <w:p w14:paraId="048ED268"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Anal Stenosis</w:t>
            </w:r>
          </w:p>
        </w:tc>
        <w:tc>
          <w:tcPr>
            <w:tcW w:w="0" w:type="auto"/>
            <w:hideMark/>
          </w:tcPr>
          <w:p w14:paraId="762AA5C3"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Narrowing of the anal canal</w:t>
            </w:r>
          </w:p>
        </w:tc>
        <w:tc>
          <w:tcPr>
            <w:tcW w:w="0" w:type="auto"/>
            <w:hideMark/>
          </w:tcPr>
          <w:p w14:paraId="5D261CB4"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Dichotomous (Yes/No)</w:t>
            </w:r>
          </w:p>
        </w:tc>
        <w:tc>
          <w:tcPr>
            <w:tcW w:w="0" w:type="auto"/>
            <w:hideMark/>
          </w:tcPr>
          <w:p w14:paraId="1A2810C4"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Digital Rectal Examination</w:t>
            </w:r>
          </w:p>
        </w:tc>
        <w:tc>
          <w:tcPr>
            <w:tcW w:w="0" w:type="auto"/>
            <w:hideMark/>
          </w:tcPr>
          <w:p w14:paraId="0E17EDD9" w14:textId="77777777" w:rsidR="00E6533C" w:rsidRPr="00E6533C" w:rsidRDefault="00E6533C" w:rsidP="00E6533C">
            <w:pPr>
              <w:spacing w:after="160"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E6533C">
              <w:rPr>
                <w:rFonts w:asciiTheme="majorBidi" w:hAnsiTheme="majorBidi" w:cstheme="majorBidi"/>
                <w:sz w:val="20"/>
                <w:szCs w:val="20"/>
              </w:rPr>
              <w:t>Week 2</w:t>
            </w:r>
          </w:p>
        </w:tc>
      </w:tr>
    </w:tbl>
    <w:p w14:paraId="05373840" w14:textId="77777777" w:rsidR="00E6533C" w:rsidRPr="00E6533C" w:rsidRDefault="00E6533C" w:rsidP="00E6533C">
      <w:pPr>
        <w:spacing w:line="360" w:lineRule="auto"/>
        <w:jc w:val="both"/>
        <w:rPr>
          <w:rFonts w:asciiTheme="majorBidi" w:hAnsiTheme="majorBidi" w:cstheme="majorBidi"/>
        </w:rPr>
      </w:pPr>
    </w:p>
    <w:p w14:paraId="1F3ABF61" w14:textId="55279CEC" w:rsidR="00E6533C" w:rsidRPr="00E6533C" w:rsidRDefault="00E6533C" w:rsidP="00E6533C">
      <w:pPr>
        <w:pStyle w:val="ListParagraph"/>
        <w:spacing w:line="360" w:lineRule="auto"/>
        <w:ind w:left="1080"/>
        <w:jc w:val="both"/>
        <w:rPr>
          <w:rFonts w:asciiTheme="majorBidi" w:hAnsiTheme="majorBidi" w:cstheme="majorBidi"/>
        </w:rPr>
      </w:pPr>
      <w:r w:rsidRPr="00E6533C">
        <w:rPr>
          <w:rFonts w:asciiTheme="majorBidi" w:hAnsiTheme="majorBidi" w:cstheme="majorBidi"/>
          <w:b/>
          <w:bCs/>
        </w:rPr>
        <w:t xml:space="preserve"> </w:t>
      </w:r>
    </w:p>
    <w:p w14:paraId="7977ED88" w14:textId="6BBBDC61" w:rsidR="00F52E87" w:rsidRPr="00E6533C" w:rsidRDefault="00F52E87" w:rsidP="00E6533C">
      <w:pPr>
        <w:pStyle w:val="ListParagraph"/>
        <w:numPr>
          <w:ilvl w:val="1"/>
          <w:numId w:val="10"/>
        </w:numPr>
        <w:spacing w:line="360" w:lineRule="auto"/>
        <w:jc w:val="both"/>
        <w:rPr>
          <w:rFonts w:asciiTheme="majorBidi" w:hAnsiTheme="majorBidi" w:cstheme="majorBidi"/>
        </w:rPr>
      </w:pPr>
      <w:r w:rsidRPr="00E6533C">
        <w:rPr>
          <w:rFonts w:asciiTheme="majorBidi" w:hAnsiTheme="majorBidi" w:cstheme="majorBidi"/>
          <w:b/>
          <w:bCs/>
        </w:rPr>
        <w:t>Quality and Management</w:t>
      </w:r>
      <w:r w:rsidRPr="00E6533C">
        <w:rPr>
          <w:rFonts w:asciiTheme="majorBidi" w:hAnsiTheme="majorBidi" w:cstheme="majorBidi"/>
        </w:rPr>
        <w:t xml:space="preserve"> </w:t>
      </w:r>
      <w:r w:rsidR="00E6533C" w:rsidRPr="00E6533C">
        <w:rPr>
          <w:rFonts w:asciiTheme="majorBidi" w:hAnsiTheme="majorBidi" w:cstheme="majorBidi"/>
          <w:b/>
          <w:bCs/>
        </w:rPr>
        <w:t>Data</w:t>
      </w:r>
    </w:p>
    <w:p w14:paraId="384C66B6" w14:textId="4CE40511" w:rsidR="00F52E87" w:rsidRPr="00F52E87" w:rsidRDefault="00F52E87" w:rsidP="00F52E87">
      <w:pPr>
        <w:pStyle w:val="ListParagraph"/>
        <w:spacing w:line="360" w:lineRule="auto"/>
        <w:jc w:val="both"/>
        <w:rPr>
          <w:rFonts w:asciiTheme="majorBidi" w:hAnsiTheme="majorBidi" w:cstheme="majorBidi"/>
        </w:rPr>
      </w:pPr>
      <w:r w:rsidRPr="00F52E87">
        <w:rPr>
          <w:rFonts w:asciiTheme="majorBidi" w:hAnsiTheme="majorBidi" w:cstheme="majorBidi"/>
        </w:rPr>
        <w:t>To ensure data integrity, a double-entry method will be employed where two independent researchers enter the data into a secure electronic database. Automated range checks and logical consistency checks will be integrated into the system to identify outliers or entry errors immediately. All patient identifiers will be replaced with unique alphanumeric codes to maintain anonymity during the analysis phase. Original Case Report Forms (CRFs) will be stored in a locked cabinet at the Department of Surgery for a minimum of five years following study completion.</w:t>
      </w:r>
    </w:p>
    <w:p w14:paraId="1C0EF891" w14:textId="77777777" w:rsidR="001E5563" w:rsidRPr="001E5563" w:rsidRDefault="001E5563" w:rsidP="00F52E87">
      <w:pPr>
        <w:spacing w:line="360" w:lineRule="auto"/>
        <w:jc w:val="both"/>
        <w:rPr>
          <w:rFonts w:asciiTheme="majorBidi" w:hAnsiTheme="majorBidi" w:cstheme="majorBidi"/>
        </w:rPr>
      </w:pPr>
    </w:p>
    <w:p w14:paraId="592D08B5" w14:textId="6512D9E3" w:rsidR="001E5563" w:rsidRPr="00F52E87" w:rsidRDefault="001E5563" w:rsidP="00F52E87">
      <w:pPr>
        <w:pStyle w:val="ListParagraph"/>
        <w:numPr>
          <w:ilvl w:val="0"/>
          <w:numId w:val="10"/>
        </w:numPr>
        <w:spacing w:line="360" w:lineRule="auto"/>
        <w:jc w:val="both"/>
        <w:rPr>
          <w:rFonts w:asciiTheme="majorBidi" w:hAnsiTheme="majorBidi" w:cstheme="majorBidi"/>
          <w:b/>
          <w:bCs/>
          <w:sz w:val="28"/>
          <w:szCs w:val="28"/>
        </w:rPr>
      </w:pPr>
      <w:r w:rsidRPr="00F52E87">
        <w:rPr>
          <w:rFonts w:asciiTheme="majorBidi" w:hAnsiTheme="majorBidi" w:cstheme="majorBidi"/>
          <w:b/>
          <w:bCs/>
          <w:sz w:val="28"/>
          <w:szCs w:val="28"/>
        </w:rPr>
        <w:t>Sample Size and Statistical Analysis</w:t>
      </w:r>
    </w:p>
    <w:p w14:paraId="1DFF4550" w14:textId="77777777" w:rsidR="00F52E87" w:rsidRPr="00F52E87" w:rsidRDefault="00F52E87" w:rsidP="00F52E87">
      <w:pPr>
        <w:spacing w:line="360" w:lineRule="auto"/>
        <w:jc w:val="both"/>
        <w:rPr>
          <w:rFonts w:asciiTheme="majorBidi" w:hAnsiTheme="majorBidi" w:cstheme="majorBidi"/>
          <w:b/>
          <w:bCs/>
          <w:sz w:val="28"/>
          <w:szCs w:val="28"/>
        </w:rPr>
      </w:pPr>
    </w:p>
    <w:p w14:paraId="2FB3DAC7" w14:textId="19B3E349" w:rsidR="001E5563" w:rsidRPr="00F52E87" w:rsidRDefault="001E5563" w:rsidP="00F52E87">
      <w:pPr>
        <w:pStyle w:val="ListParagraph"/>
        <w:numPr>
          <w:ilvl w:val="1"/>
          <w:numId w:val="10"/>
        </w:numPr>
        <w:spacing w:line="360" w:lineRule="auto"/>
        <w:jc w:val="both"/>
        <w:rPr>
          <w:rFonts w:asciiTheme="majorBidi" w:hAnsiTheme="majorBidi" w:cstheme="majorBidi"/>
          <w:b/>
          <w:bCs/>
        </w:rPr>
      </w:pPr>
      <w:r w:rsidRPr="00F52E87">
        <w:rPr>
          <w:rFonts w:asciiTheme="majorBidi" w:hAnsiTheme="majorBidi" w:cstheme="majorBidi"/>
          <w:b/>
          <w:bCs/>
        </w:rPr>
        <w:t>Sample Size Determination</w:t>
      </w:r>
    </w:p>
    <w:p w14:paraId="21DCC1A9"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The sample size was calculated based on the primary outcome, which is the incidence of Postoperative Urinary Retention (POUR). According to preliminary studies and clinical data from our centers, the baseline incidence of POUR after stapled </w:t>
      </w:r>
      <w:proofErr w:type="spellStart"/>
      <w:r w:rsidRPr="001E5563">
        <w:rPr>
          <w:rFonts w:asciiTheme="majorBidi" w:hAnsiTheme="majorBidi" w:cstheme="majorBidi"/>
        </w:rPr>
        <w:t>hemorrhoidopexy</w:t>
      </w:r>
      <w:proofErr w:type="spellEnd"/>
      <w:r w:rsidRPr="001E5563">
        <w:rPr>
          <w:rFonts w:asciiTheme="majorBidi" w:hAnsiTheme="majorBidi" w:cstheme="majorBidi"/>
        </w:rPr>
        <w:t xml:space="preserve"> is estimated at approximately 45%. We hypothesized that </w:t>
      </w:r>
      <w:proofErr w:type="spellStart"/>
      <w:r w:rsidRPr="001E5563">
        <w:rPr>
          <w:rFonts w:asciiTheme="majorBidi" w:hAnsiTheme="majorBidi" w:cstheme="majorBidi"/>
        </w:rPr>
        <w:t>intrasphincteric</w:t>
      </w:r>
      <w:proofErr w:type="spellEnd"/>
      <w:r w:rsidRPr="001E5563">
        <w:rPr>
          <w:rFonts w:asciiTheme="majorBidi" w:hAnsiTheme="majorBidi" w:cstheme="majorBidi"/>
        </w:rPr>
        <w:t xml:space="preserve"> Botulinum Toxin (BTX) injection would reduce this incidence to 15%.</w:t>
      </w:r>
    </w:p>
    <w:p w14:paraId="2CFE412B"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 xml:space="preserve">To achieve a power (1-β) of 80% with a significance level (α) of 0.05 using a two-sided test, a minimum of 30 patients per group was required. Accounting for a potential 10% dropout rate during the follow-up period, the final sample size was set at </w:t>
      </w:r>
      <w:r w:rsidRPr="001E5563">
        <w:rPr>
          <w:rFonts w:asciiTheme="majorBidi" w:hAnsiTheme="majorBidi" w:cstheme="majorBidi"/>
          <w:b/>
          <w:bCs/>
        </w:rPr>
        <w:t>68 patients (34 per group)</w:t>
      </w:r>
      <w:r w:rsidRPr="001E5563">
        <w:rPr>
          <w:rFonts w:asciiTheme="majorBidi" w:hAnsiTheme="majorBidi" w:cstheme="majorBidi"/>
        </w:rPr>
        <w:t>.</w:t>
      </w:r>
    </w:p>
    <w:p w14:paraId="3116E11E" w14:textId="2D973D2B" w:rsidR="001E5563" w:rsidRDefault="001E5563" w:rsidP="00F52E87">
      <w:pPr>
        <w:pStyle w:val="ListParagraph"/>
        <w:numPr>
          <w:ilvl w:val="1"/>
          <w:numId w:val="10"/>
        </w:numPr>
        <w:spacing w:line="360" w:lineRule="auto"/>
        <w:jc w:val="both"/>
        <w:rPr>
          <w:rFonts w:asciiTheme="majorBidi" w:hAnsiTheme="majorBidi" w:cstheme="majorBidi"/>
          <w:b/>
          <w:bCs/>
        </w:rPr>
      </w:pPr>
      <w:r w:rsidRPr="00F52E87">
        <w:rPr>
          <w:rFonts w:asciiTheme="majorBidi" w:hAnsiTheme="majorBidi" w:cstheme="majorBidi"/>
          <w:b/>
          <w:bCs/>
        </w:rPr>
        <w:t>Statistical Analysis Plan</w:t>
      </w:r>
    </w:p>
    <w:p w14:paraId="376CD471" w14:textId="77777777" w:rsidR="00F52E87" w:rsidRPr="00F52E87" w:rsidRDefault="00F52E87" w:rsidP="00F52E87">
      <w:pPr>
        <w:pStyle w:val="NormalWeb"/>
        <w:spacing w:line="360" w:lineRule="auto"/>
        <w:rPr>
          <w:sz w:val="22"/>
          <w:szCs w:val="22"/>
        </w:rPr>
      </w:pPr>
      <w:r w:rsidRPr="00F52E87">
        <w:rPr>
          <w:sz w:val="22"/>
          <w:szCs w:val="22"/>
        </w:rPr>
        <w:t>The statistical analysis will follow the Intention-to-Treat (ITT) principle. All randomized participants will be included in the final analysis according to their initial group assignment, regardless of whether they received the full intervention or completed the follow-up. This approach preserves the integrity of randomization and minimizes bias associated with non-random loss to follow-up.</w:t>
      </w:r>
    </w:p>
    <w:p w14:paraId="55C71536" w14:textId="77777777" w:rsidR="001E5563" w:rsidRPr="001E5563" w:rsidRDefault="001E5563" w:rsidP="00F52E87">
      <w:pPr>
        <w:spacing w:line="360" w:lineRule="auto"/>
        <w:jc w:val="both"/>
        <w:rPr>
          <w:rFonts w:asciiTheme="majorBidi" w:hAnsiTheme="majorBidi" w:cstheme="majorBidi"/>
        </w:rPr>
      </w:pPr>
      <w:r w:rsidRPr="001E5563">
        <w:rPr>
          <w:rFonts w:asciiTheme="majorBidi" w:hAnsiTheme="majorBidi" w:cstheme="majorBidi"/>
        </w:rPr>
        <w:lastRenderedPageBreak/>
        <w:t>All data will be analyzed using SPSS software (Version 26.0, IBM Corp, Armonk, NY). A p-value of less than 0.05 will be considered statistically significant.</w:t>
      </w:r>
    </w:p>
    <w:p w14:paraId="5185A63D" w14:textId="77777777" w:rsidR="001E5563" w:rsidRPr="001E5563" w:rsidRDefault="001E5563" w:rsidP="00F52E87">
      <w:pPr>
        <w:numPr>
          <w:ilvl w:val="0"/>
          <w:numId w:val="8"/>
        </w:numPr>
        <w:spacing w:line="360" w:lineRule="auto"/>
        <w:jc w:val="both"/>
        <w:rPr>
          <w:rFonts w:asciiTheme="majorBidi" w:hAnsiTheme="majorBidi" w:cstheme="majorBidi"/>
        </w:rPr>
      </w:pPr>
      <w:r w:rsidRPr="001E5563">
        <w:rPr>
          <w:rFonts w:asciiTheme="majorBidi" w:hAnsiTheme="majorBidi" w:cstheme="majorBidi"/>
          <w:b/>
          <w:bCs/>
        </w:rPr>
        <w:t>Descriptive Statistics:</w:t>
      </w:r>
      <w:r w:rsidRPr="001E5563">
        <w:rPr>
          <w:rFonts w:asciiTheme="majorBidi" w:hAnsiTheme="majorBidi" w:cstheme="majorBidi"/>
        </w:rPr>
        <w:t xml:space="preserve"> Continuous variables (e.g., age, pain scores) will be presented as mean ± standard deviation (SD) or median with interquartile range (IQR) based on the normality of distribution, which will be assessed using the Shapiro-Wilk test. Categorical variables (e.g., sex, incidence of POUR) will be reported as frequencies and percentages.</w:t>
      </w:r>
    </w:p>
    <w:p w14:paraId="0F474209" w14:textId="77777777" w:rsidR="001E5563" w:rsidRPr="001E5563" w:rsidRDefault="001E5563" w:rsidP="00F52E87">
      <w:pPr>
        <w:numPr>
          <w:ilvl w:val="0"/>
          <w:numId w:val="8"/>
        </w:numPr>
        <w:spacing w:line="360" w:lineRule="auto"/>
        <w:jc w:val="both"/>
        <w:rPr>
          <w:rFonts w:asciiTheme="majorBidi" w:hAnsiTheme="majorBidi" w:cstheme="majorBidi"/>
        </w:rPr>
      </w:pPr>
      <w:r w:rsidRPr="001E5563">
        <w:rPr>
          <w:rFonts w:asciiTheme="majorBidi" w:hAnsiTheme="majorBidi" w:cstheme="majorBidi"/>
          <w:b/>
          <w:bCs/>
        </w:rPr>
        <w:t>Comparison of Groups:</w:t>
      </w:r>
      <w:r w:rsidRPr="001E5563">
        <w:rPr>
          <w:rFonts w:asciiTheme="majorBidi" w:hAnsiTheme="majorBidi" w:cstheme="majorBidi"/>
        </w:rPr>
        <w:t xml:space="preserve"> * For categorical outcomes (POUR, presence of complications), the </w:t>
      </w:r>
      <w:r w:rsidRPr="001E5563">
        <w:rPr>
          <w:rFonts w:asciiTheme="majorBidi" w:hAnsiTheme="majorBidi" w:cstheme="majorBidi"/>
          <w:b/>
          <w:bCs/>
        </w:rPr>
        <w:t>Chi-square test</w:t>
      </w:r>
      <w:r w:rsidRPr="001E5563">
        <w:rPr>
          <w:rFonts w:asciiTheme="majorBidi" w:hAnsiTheme="majorBidi" w:cstheme="majorBidi"/>
        </w:rPr>
        <w:t xml:space="preserve"> or </w:t>
      </w:r>
      <w:r w:rsidRPr="001E5563">
        <w:rPr>
          <w:rFonts w:asciiTheme="majorBidi" w:hAnsiTheme="majorBidi" w:cstheme="majorBidi"/>
          <w:b/>
          <w:bCs/>
        </w:rPr>
        <w:t>Fisher’s exact test</w:t>
      </w:r>
      <w:r w:rsidRPr="001E5563">
        <w:rPr>
          <w:rFonts w:asciiTheme="majorBidi" w:hAnsiTheme="majorBidi" w:cstheme="majorBidi"/>
        </w:rPr>
        <w:t xml:space="preserve"> will be utilized.</w:t>
      </w:r>
    </w:p>
    <w:p w14:paraId="3BBD1EDF" w14:textId="77777777" w:rsidR="001E5563" w:rsidRPr="001E5563" w:rsidRDefault="001E5563" w:rsidP="00F52E87">
      <w:pPr>
        <w:numPr>
          <w:ilvl w:val="1"/>
          <w:numId w:val="8"/>
        </w:numPr>
        <w:spacing w:line="360" w:lineRule="auto"/>
        <w:jc w:val="both"/>
        <w:rPr>
          <w:rFonts w:asciiTheme="majorBidi" w:hAnsiTheme="majorBidi" w:cstheme="majorBidi"/>
        </w:rPr>
      </w:pPr>
      <w:r w:rsidRPr="001E5563">
        <w:rPr>
          <w:rFonts w:asciiTheme="majorBidi" w:hAnsiTheme="majorBidi" w:cstheme="majorBidi"/>
        </w:rPr>
        <w:t xml:space="preserve">For continuous outcomes with normal distribution, the </w:t>
      </w:r>
      <w:r w:rsidRPr="001E5563">
        <w:rPr>
          <w:rFonts w:asciiTheme="majorBidi" w:hAnsiTheme="majorBidi" w:cstheme="majorBidi"/>
          <w:b/>
          <w:bCs/>
        </w:rPr>
        <w:t>Independent Samples T-test</w:t>
      </w:r>
      <w:r w:rsidRPr="001E5563">
        <w:rPr>
          <w:rFonts w:asciiTheme="majorBidi" w:hAnsiTheme="majorBidi" w:cstheme="majorBidi"/>
        </w:rPr>
        <w:t xml:space="preserve"> will be used.</w:t>
      </w:r>
    </w:p>
    <w:p w14:paraId="6156356A" w14:textId="77777777" w:rsidR="001E5563" w:rsidRPr="001E5563" w:rsidRDefault="001E5563" w:rsidP="00F52E87">
      <w:pPr>
        <w:numPr>
          <w:ilvl w:val="1"/>
          <w:numId w:val="8"/>
        </w:numPr>
        <w:spacing w:line="360" w:lineRule="auto"/>
        <w:jc w:val="both"/>
        <w:rPr>
          <w:rFonts w:asciiTheme="majorBidi" w:hAnsiTheme="majorBidi" w:cstheme="majorBidi"/>
        </w:rPr>
      </w:pPr>
      <w:r w:rsidRPr="001E5563">
        <w:rPr>
          <w:rFonts w:asciiTheme="majorBidi" w:hAnsiTheme="majorBidi" w:cstheme="majorBidi"/>
        </w:rPr>
        <w:t xml:space="preserve">For non-normally distributed data or ordinal variables (VAS pain scores), the </w:t>
      </w:r>
      <w:r w:rsidRPr="001E5563">
        <w:rPr>
          <w:rFonts w:asciiTheme="majorBidi" w:hAnsiTheme="majorBidi" w:cstheme="majorBidi"/>
          <w:b/>
          <w:bCs/>
        </w:rPr>
        <w:t>Mann-Whitney U test</w:t>
      </w:r>
      <w:r w:rsidRPr="001E5563">
        <w:rPr>
          <w:rFonts w:asciiTheme="majorBidi" w:hAnsiTheme="majorBidi" w:cstheme="majorBidi"/>
        </w:rPr>
        <w:t xml:space="preserve"> will be applied.</w:t>
      </w:r>
    </w:p>
    <w:p w14:paraId="434C0CA2" w14:textId="77777777" w:rsidR="001E5563" w:rsidRPr="001E5563" w:rsidRDefault="001E5563" w:rsidP="00F52E87">
      <w:pPr>
        <w:numPr>
          <w:ilvl w:val="0"/>
          <w:numId w:val="8"/>
        </w:numPr>
        <w:spacing w:line="360" w:lineRule="auto"/>
        <w:jc w:val="both"/>
        <w:rPr>
          <w:rFonts w:asciiTheme="majorBidi" w:hAnsiTheme="majorBidi" w:cstheme="majorBidi"/>
        </w:rPr>
      </w:pPr>
      <w:r w:rsidRPr="001E5563">
        <w:rPr>
          <w:rFonts w:asciiTheme="majorBidi" w:hAnsiTheme="majorBidi" w:cstheme="majorBidi"/>
          <w:b/>
          <w:bCs/>
        </w:rPr>
        <w:t>Longitudinal Analysis:</w:t>
      </w:r>
      <w:r w:rsidRPr="001E5563">
        <w:rPr>
          <w:rFonts w:asciiTheme="majorBidi" w:hAnsiTheme="majorBidi" w:cstheme="majorBidi"/>
        </w:rPr>
        <w:t xml:space="preserve"> To assess the change in pain scores over multiple time points (24h, 1 week, 2 weeks), a </w:t>
      </w:r>
      <w:r w:rsidRPr="001E5563">
        <w:rPr>
          <w:rFonts w:asciiTheme="majorBidi" w:hAnsiTheme="majorBidi" w:cstheme="majorBidi"/>
          <w:b/>
          <w:bCs/>
        </w:rPr>
        <w:t>Repeated Measures ANOVA</w:t>
      </w:r>
      <w:r w:rsidRPr="001E5563">
        <w:rPr>
          <w:rFonts w:asciiTheme="majorBidi" w:hAnsiTheme="majorBidi" w:cstheme="majorBidi"/>
        </w:rPr>
        <w:t xml:space="preserve"> or a non-parametric equivalent will be performed to evaluate the group × time interaction.</w:t>
      </w:r>
    </w:p>
    <w:p w14:paraId="578D769F" w14:textId="77777777" w:rsidR="001E5563" w:rsidRPr="001E5563" w:rsidRDefault="001E5563" w:rsidP="00F52E87">
      <w:pPr>
        <w:numPr>
          <w:ilvl w:val="0"/>
          <w:numId w:val="8"/>
        </w:numPr>
        <w:spacing w:line="360" w:lineRule="auto"/>
        <w:jc w:val="both"/>
        <w:rPr>
          <w:rFonts w:asciiTheme="majorBidi" w:hAnsiTheme="majorBidi" w:cstheme="majorBidi"/>
        </w:rPr>
      </w:pPr>
      <w:r w:rsidRPr="001E5563">
        <w:rPr>
          <w:rFonts w:asciiTheme="majorBidi" w:hAnsiTheme="majorBidi" w:cstheme="majorBidi"/>
          <w:b/>
          <w:bCs/>
        </w:rPr>
        <w:t>Multivariable Analysis:</w:t>
      </w:r>
      <w:r w:rsidRPr="001E5563">
        <w:rPr>
          <w:rFonts w:asciiTheme="majorBidi" w:hAnsiTheme="majorBidi" w:cstheme="majorBidi"/>
        </w:rPr>
        <w:t xml:space="preserve"> To control for potential confounders such as age, sex, and opioid consumption, a </w:t>
      </w:r>
      <w:r w:rsidRPr="001E5563">
        <w:rPr>
          <w:rFonts w:asciiTheme="majorBidi" w:hAnsiTheme="majorBidi" w:cstheme="majorBidi"/>
          <w:b/>
          <w:bCs/>
        </w:rPr>
        <w:t>Multivariable Logistic Regression</w:t>
      </w:r>
      <w:r w:rsidRPr="001E5563">
        <w:rPr>
          <w:rFonts w:asciiTheme="majorBidi" w:hAnsiTheme="majorBidi" w:cstheme="majorBidi"/>
        </w:rPr>
        <w:t xml:space="preserve"> model will be constructed to determine the independent effect of BTX injection on the likelihood of POUR.</w:t>
      </w:r>
    </w:p>
    <w:p w14:paraId="690C8E72" w14:textId="231F6CD1" w:rsidR="001E5563" w:rsidRPr="001E5563" w:rsidRDefault="001E5563" w:rsidP="00F52E87">
      <w:pPr>
        <w:spacing w:line="360" w:lineRule="auto"/>
        <w:jc w:val="both"/>
        <w:rPr>
          <w:rFonts w:asciiTheme="majorBidi" w:hAnsiTheme="majorBidi" w:cstheme="majorBidi"/>
        </w:rPr>
      </w:pPr>
    </w:p>
    <w:p w14:paraId="21C19FB4" w14:textId="77680377" w:rsidR="001E5563" w:rsidRPr="001E5563" w:rsidRDefault="00F52E87" w:rsidP="00F52E87">
      <w:pPr>
        <w:spacing w:line="360" w:lineRule="auto"/>
        <w:jc w:val="both"/>
        <w:rPr>
          <w:rFonts w:asciiTheme="majorBidi" w:hAnsiTheme="majorBidi" w:cstheme="majorBidi"/>
          <w:b/>
          <w:bCs/>
          <w:sz w:val="28"/>
          <w:szCs w:val="28"/>
        </w:rPr>
      </w:pPr>
      <w:r w:rsidRPr="00F52E87">
        <w:rPr>
          <w:rFonts w:asciiTheme="majorBidi" w:hAnsiTheme="majorBidi" w:cstheme="majorBidi"/>
          <w:b/>
          <w:bCs/>
          <w:sz w:val="28"/>
          <w:szCs w:val="28"/>
        </w:rPr>
        <w:t xml:space="preserve">6. </w:t>
      </w:r>
      <w:r w:rsidR="001E5563" w:rsidRPr="001E5563">
        <w:rPr>
          <w:rFonts w:asciiTheme="majorBidi" w:hAnsiTheme="majorBidi" w:cstheme="majorBidi"/>
          <w:b/>
          <w:bCs/>
          <w:sz w:val="28"/>
          <w:szCs w:val="28"/>
        </w:rPr>
        <w:t>Safety and Ethical Considerations</w:t>
      </w:r>
    </w:p>
    <w:p w14:paraId="684C6025" w14:textId="77777777" w:rsidR="00F52E87" w:rsidRDefault="00F52E87" w:rsidP="00F52E87">
      <w:pPr>
        <w:spacing w:line="360" w:lineRule="auto"/>
        <w:jc w:val="both"/>
        <w:rPr>
          <w:rFonts w:asciiTheme="majorBidi" w:hAnsiTheme="majorBidi" w:cstheme="majorBidi"/>
          <w:b/>
          <w:bCs/>
        </w:rPr>
      </w:pPr>
    </w:p>
    <w:p w14:paraId="1C1892A3" w14:textId="0E702CCC" w:rsidR="001E5563" w:rsidRPr="001E5563" w:rsidRDefault="00F52E87" w:rsidP="00F52E87">
      <w:pPr>
        <w:spacing w:line="360" w:lineRule="auto"/>
        <w:jc w:val="both"/>
        <w:rPr>
          <w:rFonts w:asciiTheme="majorBidi" w:hAnsiTheme="majorBidi" w:cstheme="majorBidi"/>
          <w:b/>
          <w:bCs/>
        </w:rPr>
      </w:pPr>
      <w:r>
        <w:rPr>
          <w:rFonts w:asciiTheme="majorBidi" w:hAnsiTheme="majorBidi" w:cstheme="majorBidi"/>
          <w:b/>
          <w:bCs/>
        </w:rPr>
        <w:t xml:space="preserve">6.1. </w:t>
      </w:r>
      <w:r w:rsidR="001E5563" w:rsidRPr="001E5563">
        <w:rPr>
          <w:rFonts w:asciiTheme="majorBidi" w:hAnsiTheme="majorBidi" w:cstheme="majorBidi"/>
          <w:b/>
          <w:bCs/>
        </w:rPr>
        <w:t>Safety Monitoring</w:t>
      </w:r>
    </w:p>
    <w:p w14:paraId="75BE2D4F" w14:textId="77777777" w:rsid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The safety of participants is the foremost priority. Patients will be monitored closely during the first 24 hours of hospitalization and at follow-up visits (1 and 2 weeks). Any adverse events, specifically related to the chemical sphincterotomy (e.g., temporary fecal or gas incontinence) or the surgical procedure (e.g., bleeding, infection), will be recorded and reported to the Institutional Review Board (IRB). Criteria for early termination of an individual's participation include severe allergic reaction to BTX or any complication deemed by the surgeon to jeopardize the patient’s health.</w:t>
      </w:r>
    </w:p>
    <w:p w14:paraId="658235DD" w14:textId="77777777" w:rsidR="007E772D" w:rsidRPr="007E772D" w:rsidRDefault="007E772D" w:rsidP="007E772D">
      <w:pPr>
        <w:spacing w:line="360" w:lineRule="auto"/>
        <w:jc w:val="both"/>
        <w:rPr>
          <w:rFonts w:asciiTheme="majorBidi" w:hAnsiTheme="majorBidi" w:cstheme="majorBidi"/>
        </w:rPr>
      </w:pPr>
      <w:r w:rsidRPr="007E772D">
        <w:rPr>
          <w:rFonts w:asciiTheme="majorBidi" w:hAnsiTheme="majorBidi" w:cstheme="majorBidi"/>
          <w:b/>
          <w:bCs/>
        </w:rPr>
        <w:lastRenderedPageBreak/>
        <w:t>6.1.1. Individual Stopping Rules:</w:t>
      </w:r>
      <w:r w:rsidRPr="007E772D">
        <w:rPr>
          <w:rFonts w:asciiTheme="majorBidi" w:hAnsiTheme="majorBidi" w:cstheme="majorBidi"/>
        </w:rPr>
        <w:t xml:space="preserve"> Participation </w:t>
      </w:r>
      <w:proofErr w:type="gramStart"/>
      <w:r w:rsidRPr="007E772D">
        <w:rPr>
          <w:rFonts w:asciiTheme="majorBidi" w:hAnsiTheme="majorBidi" w:cstheme="majorBidi"/>
        </w:rPr>
        <w:t>for</w:t>
      </w:r>
      <w:proofErr w:type="gramEnd"/>
      <w:r w:rsidRPr="007E772D">
        <w:rPr>
          <w:rFonts w:asciiTheme="majorBidi" w:hAnsiTheme="majorBidi" w:cstheme="majorBidi"/>
        </w:rPr>
        <w:t xml:space="preserve"> an individual will be discontinued if any of the following occur:</w:t>
      </w:r>
    </w:p>
    <w:p w14:paraId="4F594124" w14:textId="77777777" w:rsidR="007E772D" w:rsidRPr="007E772D" w:rsidRDefault="007E772D" w:rsidP="007E772D">
      <w:pPr>
        <w:numPr>
          <w:ilvl w:val="0"/>
          <w:numId w:val="11"/>
        </w:numPr>
        <w:spacing w:line="360" w:lineRule="auto"/>
        <w:jc w:val="both"/>
        <w:rPr>
          <w:rFonts w:asciiTheme="majorBidi" w:hAnsiTheme="majorBidi" w:cstheme="majorBidi"/>
        </w:rPr>
      </w:pPr>
      <w:r w:rsidRPr="007E772D">
        <w:rPr>
          <w:rFonts w:asciiTheme="majorBidi" w:hAnsiTheme="majorBidi" w:cstheme="majorBidi"/>
        </w:rPr>
        <w:t>Development of severe postoperative complications requiring emergency re-operation.</w:t>
      </w:r>
    </w:p>
    <w:p w14:paraId="2E24E476" w14:textId="77777777" w:rsidR="007E772D" w:rsidRPr="007E772D" w:rsidRDefault="007E772D" w:rsidP="007E772D">
      <w:pPr>
        <w:numPr>
          <w:ilvl w:val="0"/>
          <w:numId w:val="11"/>
        </w:numPr>
        <w:spacing w:line="360" w:lineRule="auto"/>
        <w:jc w:val="both"/>
        <w:rPr>
          <w:rFonts w:asciiTheme="majorBidi" w:hAnsiTheme="majorBidi" w:cstheme="majorBidi"/>
        </w:rPr>
      </w:pPr>
      <w:r w:rsidRPr="007E772D">
        <w:rPr>
          <w:rFonts w:asciiTheme="majorBidi" w:hAnsiTheme="majorBidi" w:cstheme="majorBidi"/>
        </w:rPr>
        <w:t>Emergence of systemic symptoms suggestive of botulinum toxicity (e.g., generalized muscle weakness or respiratory distress), although not expected at this localized dose.</w:t>
      </w:r>
    </w:p>
    <w:p w14:paraId="585D494C" w14:textId="77777777" w:rsidR="007E772D" w:rsidRPr="007E772D" w:rsidRDefault="007E772D" w:rsidP="007E772D">
      <w:pPr>
        <w:numPr>
          <w:ilvl w:val="0"/>
          <w:numId w:val="11"/>
        </w:numPr>
        <w:spacing w:line="360" w:lineRule="auto"/>
        <w:jc w:val="both"/>
        <w:rPr>
          <w:rFonts w:asciiTheme="majorBidi" w:hAnsiTheme="majorBidi" w:cstheme="majorBidi"/>
        </w:rPr>
      </w:pPr>
      <w:r w:rsidRPr="007E772D">
        <w:rPr>
          <w:rFonts w:asciiTheme="majorBidi" w:hAnsiTheme="majorBidi" w:cstheme="majorBidi"/>
        </w:rPr>
        <w:t>New-onset severe fecal incontinence (Wexner score &gt;10).</w:t>
      </w:r>
    </w:p>
    <w:p w14:paraId="0DD1DEED" w14:textId="77777777" w:rsidR="007E772D" w:rsidRPr="007E772D" w:rsidRDefault="007E772D" w:rsidP="007E772D">
      <w:pPr>
        <w:numPr>
          <w:ilvl w:val="0"/>
          <w:numId w:val="11"/>
        </w:numPr>
        <w:spacing w:line="360" w:lineRule="auto"/>
        <w:jc w:val="both"/>
        <w:rPr>
          <w:rFonts w:asciiTheme="majorBidi" w:hAnsiTheme="majorBidi" w:cstheme="majorBidi"/>
        </w:rPr>
      </w:pPr>
      <w:r w:rsidRPr="007E772D">
        <w:rPr>
          <w:rFonts w:asciiTheme="majorBidi" w:hAnsiTheme="majorBidi" w:cstheme="majorBidi"/>
        </w:rPr>
        <w:t>Withdrawal of consent by the patient at any stage of the trial.</w:t>
      </w:r>
    </w:p>
    <w:p w14:paraId="1BDD3573" w14:textId="4B21B595" w:rsidR="001E5563" w:rsidRPr="001E5563" w:rsidRDefault="00F52E87" w:rsidP="00F52E87">
      <w:pPr>
        <w:spacing w:line="360" w:lineRule="auto"/>
        <w:jc w:val="both"/>
        <w:rPr>
          <w:rFonts w:asciiTheme="majorBidi" w:hAnsiTheme="majorBidi" w:cstheme="majorBidi"/>
          <w:b/>
          <w:bCs/>
        </w:rPr>
      </w:pPr>
      <w:r>
        <w:rPr>
          <w:rFonts w:asciiTheme="majorBidi" w:hAnsiTheme="majorBidi" w:cstheme="majorBidi"/>
          <w:b/>
          <w:bCs/>
        </w:rPr>
        <w:t xml:space="preserve">6.2. </w:t>
      </w:r>
      <w:r w:rsidR="001E5563" w:rsidRPr="001E5563">
        <w:rPr>
          <w:rFonts w:asciiTheme="majorBidi" w:hAnsiTheme="majorBidi" w:cstheme="majorBidi"/>
          <w:b/>
          <w:bCs/>
        </w:rPr>
        <w:t>Ethical Considerations</w:t>
      </w:r>
    </w:p>
    <w:p w14:paraId="10583919" w14:textId="6B7286D9" w:rsidR="001E5563" w:rsidRPr="001E5563" w:rsidRDefault="001E5563" w:rsidP="00F52E87">
      <w:pPr>
        <w:numPr>
          <w:ilvl w:val="0"/>
          <w:numId w:val="9"/>
        </w:numPr>
        <w:spacing w:line="360" w:lineRule="auto"/>
        <w:jc w:val="both"/>
        <w:rPr>
          <w:rFonts w:asciiTheme="majorBidi" w:hAnsiTheme="majorBidi" w:cstheme="majorBidi"/>
        </w:rPr>
      </w:pPr>
      <w:r w:rsidRPr="001E5563">
        <w:rPr>
          <w:rFonts w:asciiTheme="majorBidi" w:hAnsiTheme="majorBidi" w:cstheme="majorBidi"/>
          <w:b/>
          <w:bCs/>
        </w:rPr>
        <w:t>Ethics Approval:</w:t>
      </w:r>
      <w:r w:rsidRPr="001E5563">
        <w:rPr>
          <w:rFonts w:asciiTheme="majorBidi" w:hAnsiTheme="majorBidi" w:cstheme="majorBidi"/>
        </w:rPr>
        <w:t xml:space="preserve"> The study protocol has been reviewed and approved by the Ethics Committee of Mazandaran University of Medical Sciences (IR.MAZUMS.REC.140</w:t>
      </w:r>
      <w:r w:rsidR="007E772D">
        <w:rPr>
          <w:rFonts w:asciiTheme="majorBidi" w:hAnsiTheme="majorBidi" w:cstheme="majorBidi"/>
        </w:rPr>
        <w:t>3</w:t>
      </w:r>
      <w:r w:rsidRPr="001E5563">
        <w:rPr>
          <w:rFonts w:asciiTheme="majorBidi" w:hAnsiTheme="majorBidi" w:cstheme="majorBidi"/>
        </w:rPr>
        <w:t>.</w:t>
      </w:r>
      <w:r w:rsidR="007E772D">
        <w:rPr>
          <w:rFonts w:asciiTheme="majorBidi" w:hAnsiTheme="majorBidi" w:cstheme="majorBidi"/>
        </w:rPr>
        <w:t>796</w:t>
      </w:r>
      <w:r w:rsidRPr="001E5563">
        <w:rPr>
          <w:rFonts w:asciiTheme="majorBidi" w:hAnsiTheme="majorBidi" w:cstheme="majorBidi"/>
        </w:rPr>
        <w:t>).</w:t>
      </w:r>
    </w:p>
    <w:p w14:paraId="23933007" w14:textId="77777777" w:rsidR="001E5563" w:rsidRPr="001E5563" w:rsidRDefault="001E5563" w:rsidP="00F52E87">
      <w:pPr>
        <w:numPr>
          <w:ilvl w:val="0"/>
          <w:numId w:val="9"/>
        </w:numPr>
        <w:spacing w:line="360" w:lineRule="auto"/>
        <w:jc w:val="both"/>
        <w:rPr>
          <w:rFonts w:asciiTheme="majorBidi" w:hAnsiTheme="majorBidi" w:cstheme="majorBidi"/>
        </w:rPr>
      </w:pPr>
      <w:r w:rsidRPr="001E5563">
        <w:rPr>
          <w:rFonts w:asciiTheme="majorBidi" w:hAnsiTheme="majorBidi" w:cstheme="majorBidi"/>
          <w:b/>
          <w:bCs/>
        </w:rPr>
        <w:t>Trial Registration:</w:t>
      </w:r>
      <w:r w:rsidRPr="001E5563">
        <w:rPr>
          <w:rFonts w:asciiTheme="majorBidi" w:hAnsiTheme="majorBidi" w:cstheme="majorBidi"/>
        </w:rPr>
        <w:t xml:space="preserve"> The trial is registered at the Iranian Registry of Clinical Trials (IRCT20140519017756N6).</w:t>
      </w:r>
    </w:p>
    <w:p w14:paraId="60A63C01" w14:textId="77777777" w:rsidR="001E5563" w:rsidRPr="001E5563" w:rsidRDefault="001E5563" w:rsidP="00F52E87">
      <w:pPr>
        <w:numPr>
          <w:ilvl w:val="0"/>
          <w:numId w:val="9"/>
        </w:numPr>
        <w:spacing w:line="360" w:lineRule="auto"/>
        <w:jc w:val="both"/>
        <w:rPr>
          <w:rFonts w:asciiTheme="majorBidi" w:hAnsiTheme="majorBidi" w:cstheme="majorBidi"/>
        </w:rPr>
      </w:pPr>
      <w:r w:rsidRPr="001E5563">
        <w:rPr>
          <w:rFonts w:asciiTheme="majorBidi" w:hAnsiTheme="majorBidi" w:cstheme="majorBidi"/>
          <w:b/>
          <w:bCs/>
        </w:rPr>
        <w:t>Informed Consent:</w:t>
      </w:r>
      <w:r w:rsidRPr="001E5563">
        <w:rPr>
          <w:rFonts w:asciiTheme="majorBidi" w:hAnsiTheme="majorBidi" w:cstheme="majorBidi"/>
        </w:rPr>
        <w:t xml:space="preserve"> Prior to enrollment, the purpose of the study, the nature of the interventions, and potential risks will be explained to each patient. Written informed consent will be obtained from all participants.</w:t>
      </w:r>
    </w:p>
    <w:p w14:paraId="6458ECCB" w14:textId="77777777" w:rsidR="001E5563" w:rsidRPr="001E5563" w:rsidRDefault="001E5563" w:rsidP="00F52E87">
      <w:pPr>
        <w:numPr>
          <w:ilvl w:val="0"/>
          <w:numId w:val="9"/>
        </w:numPr>
        <w:spacing w:line="360" w:lineRule="auto"/>
        <w:jc w:val="both"/>
        <w:rPr>
          <w:rFonts w:asciiTheme="majorBidi" w:hAnsiTheme="majorBidi" w:cstheme="majorBidi"/>
        </w:rPr>
      </w:pPr>
      <w:r w:rsidRPr="001E5563">
        <w:rPr>
          <w:rFonts w:asciiTheme="majorBidi" w:hAnsiTheme="majorBidi" w:cstheme="majorBidi"/>
          <w:b/>
          <w:bCs/>
        </w:rPr>
        <w:t>Confidentiality:</w:t>
      </w:r>
      <w:r w:rsidRPr="001E5563">
        <w:rPr>
          <w:rFonts w:asciiTheme="majorBidi" w:hAnsiTheme="majorBidi" w:cstheme="majorBidi"/>
        </w:rPr>
        <w:t xml:space="preserve"> Patient data will be de-identified using unique code numbers. All records will be stored in a secure, password-protected database accessible only to the primary investigators.</w:t>
      </w:r>
    </w:p>
    <w:p w14:paraId="4281204E" w14:textId="673FF75C" w:rsidR="001E5563" w:rsidRPr="001E5563" w:rsidRDefault="001E5563" w:rsidP="00F52E87">
      <w:pPr>
        <w:spacing w:line="360" w:lineRule="auto"/>
        <w:jc w:val="both"/>
        <w:rPr>
          <w:rFonts w:asciiTheme="majorBidi" w:hAnsiTheme="majorBidi" w:cstheme="majorBidi"/>
        </w:rPr>
      </w:pPr>
    </w:p>
    <w:p w14:paraId="6EC13423" w14:textId="17C8F737" w:rsidR="001E5563" w:rsidRPr="00F52E87" w:rsidRDefault="001E5563" w:rsidP="00F52E87">
      <w:pPr>
        <w:pStyle w:val="ListParagraph"/>
        <w:numPr>
          <w:ilvl w:val="0"/>
          <w:numId w:val="10"/>
        </w:numPr>
        <w:spacing w:line="360" w:lineRule="auto"/>
        <w:jc w:val="both"/>
        <w:rPr>
          <w:rFonts w:asciiTheme="majorBidi" w:hAnsiTheme="majorBidi" w:cstheme="majorBidi"/>
          <w:b/>
          <w:bCs/>
          <w:sz w:val="28"/>
          <w:szCs w:val="28"/>
        </w:rPr>
      </w:pPr>
      <w:r w:rsidRPr="00F52E87">
        <w:rPr>
          <w:rFonts w:asciiTheme="majorBidi" w:hAnsiTheme="majorBidi" w:cstheme="majorBidi"/>
          <w:b/>
          <w:bCs/>
          <w:sz w:val="28"/>
          <w:szCs w:val="28"/>
        </w:rPr>
        <w:t>Project Management and Timeline</w:t>
      </w:r>
    </w:p>
    <w:p w14:paraId="5326EFC3" w14:textId="77777777" w:rsidR="00F52E87" w:rsidRPr="00F52E87" w:rsidRDefault="00F52E87" w:rsidP="00F52E87">
      <w:pPr>
        <w:spacing w:line="360" w:lineRule="auto"/>
        <w:jc w:val="both"/>
        <w:rPr>
          <w:rFonts w:asciiTheme="majorBidi" w:hAnsiTheme="majorBidi" w:cstheme="majorBidi"/>
          <w:b/>
          <w:bCs/>
          <w:sz w:val="28"/>
          <w:szCs w:val="28"/>
        </w:rPr>
      </w:pPr>
    </w:p>
    <w:p w14:paraId="04FA20D3" w14:textId="6C166D19" w:rsidR="001E5563" w:rsidRPr="001E5563" w:rsidRDefault="00F52E87" w:rsidP="00F52E87">
      <w:pPr>
        <w:spacing w:line="360" w:lineRule="auto"/>
        <w:jc w:val="both"/>
        <w:rPr>
          <w:rFonts w:asciiTheme="majorBidi" w:hAnsiTheme="majorBidi" w:cstheme="majorBidi"/>
          <w:b/>
          <w:bCs/>
        </w:rPr>
      </w:pPr>
      <w:r>
        <w:rPr>
          <w:rFonts w:asciiTheme="majorBidi" w:hAnsiTheme="majorBidi" w:cstheme="majorBidi"/>
          <w:b/>
          <w:bCs/>
        </w:rPr>
        <w:t xml:space="preserve">7.1. </w:t>
      </w:r>
      <w:r w:rsidR="001E5563" w:rsidRPr="001E5563">
        <w:rPr>
          <w:rFonts w:asciiTheme="majorBidi" w:hAnsiTheme="majorBidi" w:cstheme="majorBidi"/>
          <w:b/>
          <w:bCs/>
        </w:rPr>
        <w:t xml:space="preserve"> Project Management</w:t>
      </w:r>
    </w:p>
    <w:p w14:paraId="0AC9E6BE" w14:textId="77777777" w:rsidR="001E5563" w:rsidRDefault="001E5563" w:rsidP="00F52E87">
      <w:pPr>
        <w:spacing w:line="360" w:lineRule="auto"/>
        <w:jc w:val="both"/>
        <w:rPr>
          <w:rFonts w:asciiTheme="majorBidi" w:hAnsiTheme="majorBidi" w:cstheme="majorBidi"/>
        </w:rPr>
      </w:pPr>
      <w:r w:rsidRPr="001E5563">
        <w:rPr>
          <w:rFonts w:asciiTheme="majorBidi" w:hAnsiTheme="majorBidi" w:cstheme="majorBidi"/>
        </w:rPr>
        <w:t>The Principal Investigator (PI) will be responsible for the overall conduct of the trial. The surgical procedures will be standardized and performed by an experienced specialist. An independent nurse will handle the blinding and syringe preparation, while a separate outcome assessor (blinded to the groups) will collect postoperative data.</w:t>
      </w:r>
    </w:p>
    <w:p w14:paraId="0D205D12" w14:textId="1AF3BAD4" w:rsidR="007E772D" w:rsidRPr="007E772D" w:rsidRDefault="007E772D" w:rsidP="007E772D">
      <w:pPr>
        <w:spacing w:line="360" w:lineRule="auto"/>
        <w:jc w:val="both"/>
        <w:rPr>
          <w:rFonts w:asciiTheme="majorBidi" w:hAnsiTheme="majorBidi" w:cstheme="majorBidi"/>
        </w:rPr>
      </w:pPr>
      <w:r w:rsidRPr="007E772D">
        <w:rPr>
          <w:rFonts w:asciiTheme="majorBidi" w:hAnsiTheme="majorBidi" w:cstheme="majorBidi"/>
          <w:b/>
          <w:bCs/>
        </w:rPr>
        <w:t>7.1.</w:t>
      </w:r>
      <w:r>
        <w:rPr>
          <w:rFonts w:asciiTheme="majorBidi" w:hAnsiTheme="majorBidi" w:cstheme="majorBidi"/>
          <w:b/>
          <w:bCs/>
        </w:rPr>
        <w:t>1.</w:t>
      </w:r>
      <w:r w:rsidRPr="007E772D">
        <w:rPr>
          <w:rFonts w:asciiTheme="majorBidi" w:hAnsiTheme="majorBidi" w:cstheme="majorBidi"/>
          <w:b/>
          <w:bCs/>
        </w:rPr>
        <w:t xml:space="preserve"> Project Timeline</w:t>
      </w:r>
      <w:r w:rsidRPr="007E772D">
        <w:rPr>
          <w:rFonts w:asciiTheme="majorBidi" w:hAnsiTheme="majorBidi" w:cstheme="majorBidi"/>
        </w:rPr>
        <w:t xml:space="preserve"> The trial is scheduled over a 24-month period as follows:</w:t>
      </w:r>
    </w:p>
    <w:p w14:paraId="2D9F2161" w14:textId="77777777" w:rsidR="007E772D" w:rsidRPr="007E772D" w:rsidRDefault="007E772D" w:rsidP="007E772D">
      <w:pPr>
        <w:numPr>
          <w:ilvl w:val="0"/>
          <w:numId w:val="12"/>
        </w:numPr>
        <w:spacing w:line="360" w:lineRule="auto"/>
        <w:jc w:val="both"/>
        <w:rPr>
          <w:rFonts w:asciiTheme="majorBidi" w:hAnsiTheme="majorBidi" w:cstheme="majorBidi"/>
        </w:rPr>
      </w:pPr>
      <w:r w:rsidRPr="007E772D">
        <w:rPr>
          <w:rFonts w:asciiTheme="majorBidi" w:hAnsiTheme="majorBidi" w:cstheme="majorBidi"/>
          <w:b/>
          <w:bCs/>
        </w:rPr>
        <w:t>Months 1–2:</w:t>
      </w:r>
      <w:r w:rsidRPr="007E772D">
        <w:rPr>
          <w:rFonts w:asciiTheme="majorBidi" w:hAnsiTheme="majorBidi" w:cstheme="majorBidi"/>
        </w:rPr>
        <w:t xml:space="preserve"> Finalization of protocol, ethics approval, and staff training on blinding procedures.</w:t>
      </w:r>
    </w:p>
    <w:p w14:paraId="4CD055A9" w14:textId="77777777" w:rsidR="007E772D" w:rsidRPr="007E772D" w:rsidRDefault="007E772D" w:rsidP="007E772D">
      <w:pPr>
        <w:numPr>
          <w:ilvl w:val="0"/>
          <w:numId w:val="12"/>
        </w:numPr>
        <w:spacing w:line="360" w:lineRule="auto"/>
        <w:jc w:val="both"/>
        <w:rPr>
          <w:rFonts w:asciiTheme="majorBidi" w:hAnsiTheme="majorBidi" w:cstheme="majorBidi"/>
        </w:rPr>
      </w:pPr>
      <w:r w:rsidRPr="007E772D">
        <w:rPr>
          <w:rFonts w:asciiTheme="majorBidi" w:hAnsiTheme="majorBidi" w:cstheme="majorBidi"/>
          <w:b/>
          <w:bCs/>
        </w:rPr>
        <w:lastRenderedPageBreak/>
        <w:t>Months 3–18:</w:t>
      </w:r>
      <w:r w:rsidRPr="007E772D">
        <w:rPr>
          <w:rFonts w:asciiTheme="majorBidi" w:hAnsiTheme="majorBidi" w:cstheme="majorBidi"/>
        </w:rPr>
        <w:t xml:space="preserve"> Patient recruitment, randomization, and surgical interventions.</w:t>
      </w:r>
    </w:p>
    <w:p w14:paraId="6F7322E9" w14:textId="77777777" w:rsidR="007E772D" w:rsidRPr="007E772D" w:rsidRDefault="007E772D" w:rsidP="007E772D">
      <w:pPr>
        <w:numPr>
          <w:ilvl w:val="0"/>
          <w:numId w:val="12"/>
        </w:numPr>
        <w:spacing w:line="360" w:lineRule="auto"/>
        <w:jc w:val="both"/>
        <w:rPr>
          <w:rFonts w:asciiTheme="majorBidi" w:hAnsiTheme="majorBidi" w:cstheme="majorBidi"/>
        </w:rPr>
      </w:pPr>
      <w:r w:rsidRPr="007E772D">
        <w:rPr>
          <w:rFonts w:asciiTheme="majorBidi" w:hAnsiTheme="majorBidi" w:cstheme="majorBidi"/>
          <w:b/>
          <w:bCs/>
        </w:rPr>
        <w:t>Months 19–20:</w:t>
      </w:r>
      <w:r w:rsidRPr="007E772D">
        <w:rPr>
          <w:rFonts w:asciiTheme="majorBidi" w:hAnsiTheme="majorBidi" w:cstheme="majorBidi"/>
        </w:rPr>
        <w:t xml:space="preserve"> Completion of long-term follow-up and final data collection.</w:t>
      </w:r>
    </w:p>
    <w:p w14:paraId="2F0F41C7" w14:textId="77777777" w:rsidR="007E772D" w:rsidRPr="007E772D" w:rsidRDefault="007E772D" w:rsidP="007E772D">
      <w:pPr>
        <w:numPr>
          <w:ilvl w:val="0"/>
          <w:numId w:val="12"/>
        </w:numPr>
        <w:spacing w:line="360" w:lineRule="auto"/>
        <w:jc w:val="both"/>
        <w:rPr>
          <w:rFonts w:asciiTheme="majorBidi" w:hAnsiTheme="majorBidi" w:cstheme="majorBidi"/>
        </w:rPr>
      </w:pPr>
      <w:r w:rsidRPr="007E772D">
        <w:rPr>
          <w:rFonts w:asciiTheme="majorBidi" w:hAnsiTheme="majorBidi" w:cstheme="majorBidi"/>
          <w:b/>
          <w:bCs/>
        </w:rPr>
        <w:t>Months 21–22:</w:t>
      </w:r>
      <w:r w:rsidRPr="007E772D">
        <w:rPr>
          <w:rFonts w:asciiTheme="majorBidi" w:hAnsiTheme="majorBidi" w:cstheme="majorBidi"/>
        </w:rPr>
        <w:t xml:space="preserve"> Data cleaning, statistical analysis, and internal reporting.</w:t>
      </w:r>
    </w:p>
    <w:p w14:paraId="775B2FF4" w14:textId="77777777" w:rsidR="007E772D" w:rsidRPr="007E772D" w:rsidRDefault="007E772D" w:rsidP="007E772D">
      <w:pPr>
        <w:numPr>
          <w:ilvl w:val="0"/>
          <w:numId w:val="12"/>
        </w:numPr>
        <w:spacing w:line="360" w:lineRule="auto"/>
        <w:jc w:val="both"/>
        <w:rPr>
          <w:rFonts w:asciiTheme="majorBidi" w:hAnsiTheme="majorBidi" w:cstheme="majorBidi"/>
        </w:rPr>
      </w:pPr>
      <w:r w:rsidRPr="007E772D">
        <w:rPr>
          <w:rFonts w:asciiTheme="majorBidi" w:hAnsiTheme="majorBidi" w:cstheme="majorBidi"/>
          <w:b/>
          <w:bCs/>
        </w:rPr>
        <w:t>Months 23–24:</w:t>
      </w:r>
      <w:r w:rsidRPr="007E772D">
        <w:rPr>
          <w:rFonts w:asciiTheme="majorBidi" w:hAnsiTheme="majorBidi" w:cstheme="majorBidi"/>
        </w:rPr>
        <w:t xml:space="preserve"> Manuscript preparation and submission to a peer-reviewed journal.</w:t>
      </w:r>
    </w:p>
    <w:p w14:paraId="2BEE841B" w14:textId="77777777" w:rsidR="007E772D" w:rsidRPr="001E5563" w:rsidRDefault="007E772D" w:rsidP="00F52E87">
      <w:pPr>
        <w:spacing w:line="360" w:lineRule="auto"/>
        <w:jc w:val="both"/>
        <w:rPr>
          <w:rFonts w:asciiTheme="majorBidi" w:hAnsiTheme="majorBidi" w:cstheme="majorBidi"/>
        </w:rPr>
      </w:pPr>
    </w:p>
    <w:p w14:paraId="7EA5C150" w14:textId="336AB3D3" w:rsidR="001E5563" w:rsidRPr="001E5563" w:rsidRDefault="00F52E87" w:rsidP="00F52E87">
      <w:pPr>
        <w:spacing w:line="360" w:lineRule="auto"/>
        <w:jc w:val="both"/>
        <w:rPr>
          <w:rFonts w:asciiTheme="majorBidi" w:hAnsiTheme="majorBidi" w:cstheme="majorBidi"/>
          <w:b/>
          <w:bCs/>
        </w:rPr>
      </w:pPr>
      <w:r>
        <w:rPr>
          <w:rFonts w:asciiTheme="majorBidi" w:hAnsiTheme="majorBidi" w:cstheme="majorBidi"/>
          <w:b/>
          <w:bCs/>
        </w:rPr>
        <w:t>7.2.</w:t>
      </w:r>
      <w:r w:rsidR="001E5563" w:rsidRPr="001E5563">
        <w:rPr>
          <w:rFonts w:asciiTheme="majorBidi" w:hAnsiTheme="majorBidi" w:cstheme="majorBidi"/>
          <w:b/>
          <w:bCs/>
        </w:rPr>
        <w:t xml:space="preserve"> Expected Outcomes and Dissemination</w:t>
      </w:r>
    </w:p>
    <w:p w14:paraId="685918D3" w14:textId="77777777" w:rsidR="007E772D" w:rsidRPr="007E772D" w:rsidRDefault="007E772D" w:rsidP="007E772D">
      <w:pPr>
        <w:spacing w:line="360" w:lineRule="auto"/>
        <w:jc w:val="both"/>
        <w:rPr>
          <w:rFonts w:asciiTheme="majorBidi" w:hAnsiTheme="majorBidi" w:cstheme="majorBidi"/>
        </w:rPr>
      </w:pPr>
      <w:r w:rsidRPr="007E772D">
        <w:rPr>
          <w:rFonts w:asciiTheme="majorBidi" w:hAnsiTheme="majorBidi" w:cstheme="majorBidi"/>
        </w:rPr>
        <w:t xml:space="preserve">The investigators commit to publishing the results in full, regardless of whether the findings are positive, negative, or neutral. The primary results will be submitted to a high-impact surgical journal. Any secondary </w:t>
      </w:r>
      <w:proofErr w:type="gramStart"/>
      <w:r w:rsidRPr="007E772D">
        <w:rPr>
          <w:rFonts w:asciiTheme="majorBidi" w:hAnsiTheme="majorBidi" w:cstheme="majorBidi"/>
        </w:rPr>
        <w:t>analyses</w:t>
      </w:r>
      <w:proofErr w:type="gramEnd"/>
      <w:r w:rsidRPr="007E772D">
        <w:rPr>
          <w:rFonts w:asciiTheme="majorBidi" w:hAnsiTheme="majorBidi" w:cstheme="majorBidi"/>
        </w:rPr>
        <w:t>, such as the specific impact on POUR (Postoperative Urinary Retention), will be clearly identified as such in future publications to ensure transparent reporting.</w:t>
      </w:r>
    </w:p>
    <w:p w14:paraId="3B0FD023" w14:textId="77777777" w:rsidR="00E6533C" w:rsidRDefault="00E6533C" w:rsidP="00F52E87">
      <w:pPr>
        <w:spacing w:line="360" w:lineRule="auto"/>
        <w:jc w:val="both"/>
        <w:rPr>
          <w:rFonts w:asciiTheme="majorBidi" w:hAnsiTheme="majorBidi" w:cstheme="majorBidi"/>
        </w:rPr>
      </w:pPr>
    </w:p>
    <w:p w14:paraId="5ACC51F1" w14:textId="77777777" w:rsidR="00E6533C" w:rsidRDefault="00E6533C" w:rsidP="00F52E87">
      <w:pPr>
        <w:spacing w:line="360" w:lineRule="auto"/>
        <w:jc w:val="both"/>
        <w:rPr>
          <w:rFonts w:asciiTheme="majorBidi" w:hAnsiTheme="majorBidi" w:cstheme="majorBidi"/>
        </w:rPr>
      </w:pPr>
    </w:p>
    <w:p w14:paraId="49CF0F24" w14:textId="77777777" w:rsidR="00E6533C" w:rsidRPr="00E6533C" w:rsidRDefault="00E6533C" w:rsidP="00E6533C">
      <w:pPr>
        <w:pStyle w:val="EndNoteBibliography"/>
        <w:spacing w:after="0"/>
      </w:pPr>
      <w:r>
        <w:rPr>
          <w:rFonts w:asciiTheme="majorBidi" w:hAnsiTheme="majorBidi" w:cstheme="majorBidi"/>
        </w:rPr>
        <w:fldChar w:fldCharType="begin"/>
      </w:r>
      <w:r>
        <w:rPr>
          <w:rFonts w:asciiTheme="majorBidi" w:hAnsiTheme="majorBidi" w:cstheme="majorBidi"/>
        </w:rPr>
        <w:instrText xml:space="preserve"> ADDIN EN.REFLIST </w:instrText>
      </w:r>
      <w:r>
        <w:rPr>
          <w:rFonts w:asciiTheme="majorBidi" w:hAnsiTheme="majorBidi" w:cstheme="majorBidi"/>
        </w:rPr>
        <w:fldChar w:fldCharType="separate"/>
      </w:r>
      <w:r w:rsidRPr="00E6533C">
        <w:t>1.</w:t>
      </w:r>
      <w:r w:rsidRPr="00E6533C">
        <w:tab/>
        <w:t>Dressler D. Clinical applications of botulinum toxin. Current Opinion in Microbiology. 2012;15(3):325-36.</w:t>
      </w:r>
    </w:p>
    <w:p w14:paraId="219BB8B4" w14:textId="77777777" w:rsidR="00E6533C" w:rsidRPr="00E6533C" w:rsidRDefault="00E6533C" w:rsidP="00E6533C">
      <w:pPr>
        <w:pStyle w:val="EndNoteBibliography"/>
        <w:spacing w:after="0"/>
      </w:pPr>
      <w:r w:rsidRPr="00E6533C">
        <w:t>2.</w:t>
      </w:r>
      <w:r w:rsidRPr="00E6533C">
        <w:tab/>
        <w:t>James AN, Ryan JP, Parkman HP. Inhibitory effects of botulinum toxin on pyloric and antral smooth muscle. Am J Physiol Gastrointest Liver Physiol. 2003;285(2):G291-7.</w:t>
      </w:r>
    </w:p>
    <w:p w14:paraId="0300B35C" w14:textId="77777777" w:rsidR="00E6533C" w:rsidRPr="00E6533C" w:rsidRDefault="00E6533C" w:rsidP="00E6533C">
      <w:pPr>
        <w:pStyle w:val="EndNoteBibliography"/>
        <w:spacing w:after="0"/>
      </w:pPr>
      <w:r w:rsidRPr="00E6533C">
        <w:t>3.</w:t>
      </w:r>
      <w:r w:rsidRPr="00E6533C">
        <w:tab/>
        <w:t>Farsi AH. Risk Factors and Outcomes of Postoperative Catheter-Associated Urinary Tract Infection in Colorectal Surgery Patients: A Retrospective Cohort Study. Cureus. 2021;13(5):e15111.</w:t>
      </w:r>
    </w:p>
    <w:p w14:paraId="149B26A9" w14:textId="77777777" w:rsidR="00E6533C" w:rsidRPr="00E6533C" w:rsidRDefault="00E6533C" w:rsidP="00E6533C">
      <w:pPr>
        <w:pStyle w:val="EndNoteBibliography"/>
        <w:spacing w:after="0"/>
      </w:pPr>
      <w:r w:rsidRPr="00E6533C">
        <w:t>4.</w:t>
      </w:r>
      <w:r w:rsidRPr="00E6533C">
        <w:tab/>
        <w:t>Shafik A, Shafik I, El-Sibai O. Effect of rectal distension on vesical motor activity in humans: the identification of the recto-vesicourethral reflex. J Spinal Cord Med. 2007;30(1):36-9.</w:t>
      </w:r>
    </w:p>
    <w:p w14:paraId="27A91B18" w14:textId="77777777" w:rsidR="00E6533C" w:rsidRPr="00E6533C" w:rsidRDefault="00E6533C" w:rsidP="00E6533C">
      <w:pPr>
        <w:pStyle w:val="EndNoteBibliography"/>
        <w:spacing w:after="0"/>
      </w:pPr>
      <w:r w:rsidRPr="00E6533C">
        <w:t>5.</w:t>
      </w:r>
      <w:r w:rsidRPr="00E6533C">
        <w:tab/>
        <w:t>Huang L, Yin Y, Liao Y, Liu J, Zhu K, Yuan X, et al. Risk factors for postoperative urinary retention in patients undergoing colorectal surgery: a systematic review and meta-analysis. Int J Colorectal Dis. 2022;37(12):2409-20.</w:t>
      </w:r>
    </w:p>
    <w:p w14:paraId="63F79CB7" w14:textId="77777777" w:rsidR="00E6533C" w:rsidRPr="00E6533C" w:rsidRDefault="00E6533C" w:rsidP="00E6533C">
      <w:pPr>
        <w:pStyle w:val="EndNoteBibliography"/>
      </w:pPr>
      <w:r w:rsidRPr="00E6533C">
        <w:t>6.</w:t>
      </w:r>
      <w:r w:rsidRPr="00E6533C">
        <w:tab/>
        <w:t>Sitaraman L, Lewicky-Gaupp C, Rao SS. Postpartum Anorectal and Pelvic Floor Disorders: Evaluation, Treatment, and Prevention. Curr Gastroenterol Rep. 2025;27(1):48.</w:t>
      </w:r>
    </w:p>
    <w:p w14:paraId="7E26C298" w14:textId="7F4A6452" w:rsidR="001E5563" w:rsidRPr="001E5563" w:rsidRDefault="00E6533C" w:rsidP="00E6533C">
      <w:pPr>
        <w:spacing w:line="360" w:lineRule="auto"/>
        <w:jc w:val="both"/>
        <w:rPr>
          <w:rFonts w:asciiTheme="majorBidi" w:hAnsiTheme="majorBidi" w:cstheme="majorBidi"/>
        </w:rPr>
      </w:pPr>
      <w:r>
        <w:rPr>
          <w:rFonts w:asciiTheme="majorBidi" w:hAnsiTheme="majorBidi" w:cstheme="majorBidi"/>
        </w:rPr>
        <w:fldChar w:fldCharType="end"/>
      </w:r>
    </w:p>
    <w:sectPr w:rsidR="001E5563" w:rsidRPr="001E5563" w:rsidSect="00F52E87">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3BD6"/>
    <w:multiLevelType w:val="multilevel"/>
    <w:tmpl w:val="639A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40F5B"/>
    <w:multiLevelType w:val="multilevel"/>
    <w:tmpl w:val="A2EC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E70A7"/>
    <w:multiLevelType w:val="multilevel"/>
    <w:tmpl w:val="00040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7232D"/>
    <w:multiLevelType w:val="multilevel"/>
    <w:tmpl w:val="6FB2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54B3B"/>
    <w:multiLevelType w:val="multilevel"/>
    <w:tmpl w:val="C55C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41401"/>
    <w:multiLevelType w:val="multilevel"/>
    <w:tmpl w:val="3D5C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5955B3"/>
    <w:multiLevelType w:val="multilevel"/>
    <w:tmpl w:val="E6C6C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9E2755"/>
    <w:multiLevelType w:val="multilevel"/>
    <w:tmpl w:val="356A6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2545B3"/>
    <w:multiLevelType w:val="multilevel"/>
    <w:tmpl w:val="53C4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A81E63"/>
    <w:multiLevelType w:val="multilevel"/>
    <w:tmpl w:val="0D3283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70676FF7"/>
    <w:multiLevelType w:val="multilevel"/>
    <w:tmpl w:val="4BC2A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7923F5"/>
    <w:multiLevelType w:val="multilevel"/>
    <w:tmpl w:val="5DDE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114809">
    <w:abstractNumId w:val="1"/>
  </w:num>
  <w:num w:numId="2" w16cid:durableId="1790278976">
    <w:abstractNumId w:val="5"/>
  </w:num>
  <w:num w:numId="3" w16cid:durableId="1641417679">
    <w:abstractNumId w:val="6"/>
  </w:num>
  <w:num w:numId="4" w16cid:durableId="1987124284">
    <w:abstractNumId w:val="4"/>
  </w:num>
  <w:num w:numId="5" w16cid:durableId="839659152">
    <w:abstractNumId w:val="10"/>
  </w:num>
  <w:num w:numId="6" w16cid:durableId="697632435">
    <w:abstractNumId w:val="0"/>
  </w:num>
  <w:num w:numId="7" w16cid:durableId="2020503502">
    <w:abstractNumId w:val="3"/>
  </w:num>
  <w:num w:numId="8" w16cid:durableId="1016879699">
    <w:abstractNumId w:val="2"/>
  </w:num>
  <w:num w:numId="9" w16cid:durableId="1984506364">
    <w:abstractNumId w:val="8"/>
  </w:num>
  <w:num w:numId="10" w16cid:durableId="212280793">
    <w:abstractNumId w:val="9"/>
  </w:num>
  <w:num w:numId="11" w16cid:durableId="1162543645">
    <w:abstractNumId w:val="7"/>
  </w:num>
  <w:num w:numId="12" w16cid:durableId="1869876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a09z59cdardreaex9pptzbxw2w90r29aet&quot;&gt;My EndNote Library&lt;record-ids&gt;&lt;item&gt;1&lt;/item&gt;&lt;item&gt;2&lt;/item&gt;&lt;item&gt;3&lt;/item&gt;&lt;item&gt;4&lt;/item&gt;&lt;item&gt;5&lt;/item&gt;&lt;item&gt;6&lt;/item&gt;&lt;/record-ids&gt;&lt;/item&gt;&lt;/Libraries&gt;"/>
  </w:docVars>
  <w:rsids>
    <w:rsidRoot w:val="001E5563"/>
    <w:rsid w:val="00117E7D"/>
    <w:rsid w:val="001E5563"/>
    <w:rsid w:val="003E205B"/>
    <w:rsid w:val="004C6878"/>
    <w:rsid w:val="00681626"/>
    <w:rsid w:val="007E772D"/>
    <w:rsid w:val="00854ACB"/>
    <w:rsid w:val="009304C1"/>
    <w:rsid w:val="00AF178B"/>
    <w:rsid w:val="00E6533C"/>
    <w:rsid w:val="00F52E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1657"/>
  <w15:chartTrackingRefBased/>
  <w15:docId w15:val="{D9781864-8741-483F-8AB4-364C8FE3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56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E556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1E556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E556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E556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E5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56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E556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1E556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E556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E556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E5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563"/>
    <w:rPr>
      <w:rFonts w:eastAsiaTheme="majorEastAsia" w:cstheme="majorBidi"/>
      <w:color w:val="272727" w:themeColor="text1" w:themeTint="D8"/>
    </w:rPr>
  </w:style>
  <w:style w:type="paragraph" w:styleId="Title">
    <w:name w:val="Title"/>
    <w:basedOn w:val="Normal"/>
    <w:next w:val="Normal"/>
    <w:link w:val="TitleChar"/>
    <w:uiPriority w:val="10"/>
    <w:qFormat/>
    <w:rsid w:val="001E5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563"/>
    <w:pPr>
      <w:spacing w:before="160"/>
      <w:jc w:val="center"/>
    </w:pPr>
    <w:rPr>
      <w:i/>
      <w:iCs/>
      <w:color w:val="404040" w:themeColor="text1" w:themeTint="BF"/>
    </w:rPr>
  </w:style>
  <w:style w:type="character" w:customStyle="1" w:styleId="QuoteChar">
    <w:name w:val="Quote Char"/>
    <w:basedOn w:val="DefaultParagraphFont"/>
    <w:link w:val="Quote"/>
    <w:uiPriority w:val="29"/>
    <w:rsid w:val="001E5563"/>
    <w:rPr>
      <w:i/>
      <w:iCs/>
      <w:color w:val="404040" w:themeColor="text1" w:themeTint="BF"/>
    </w:rPr>
  </w:style>
  <w:style w:type="paragraph" w:styleId="ListParagraph">
    <w:name w:val="List Paragraph"/>
    <w:basedOn w:val="Normal"/>
    <w:uiPriority w:val="34"/>
    <w:qFormat/>
    <w:rsid w:val="001E5563"/>
    <w:pPr>
      <w:ind w:left="720"/>
      <w:contextualSpacing/>
    </w:pPr>
  </w:style>
  <w:style w:type="character" w:styleId="IntenseEmphasis">
    <w:name w:val="Intense Emphasis"/>
    <w:basedOn w:val="DefaultParagraphFont"/>
    <w:uiPriority w:val="21"/>
    <w:qFormat/>
    <w:rsid w:val="001E5563"/>
    <w:rPr>
      <w:i/>
      <w:iCs/>
      <w:color w:val="2E74B5" w:themeColor="accent1" w:themeShade="BF"/>
    </w:rPr>
  </w:style>
  <w:style w:type="paragraph" w:styleId="IntenseQuote">
    <w:name w:val="Intense Quote"/>
    <w:basedOn w:val="Normal"/>
    <w:next w:val="Normal"/>
    <w:link w:val="IntenseQuoteChar"/>
    <w:uiPriority w:val="30"/>
    <w:qFormat/>
    <w:rsid w:val="001E55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E5563"/>
    <w:rPr>
      <w:i/>
      <w:iCs/>
      <w:color w:val="2E74B5" w:themeColor="accent1" w:themeShade="BF"/>
    </w:rPr>
  </w:style>
  <w:style w:type="character" w:styleId="IntenseReference">
    <w:name w:val="Intense Reference"/>
    <w:basedOn w:val="DefaultParagraphFont"/>
    <w:uiPriority w:val="32"/>
    <w:qFormat/>
    <w:rsid w:val="001E5563"/>
    <w:rPr>
      <w:b/>
      <w:bCs/>
      <w:smallCaps/>
      <w:color w:val="2E74B5" w:themeColor="accent1" w:themeShade="BF"/>
      <w:spacing w:val="5"/>
    </w:rPr>
  </w:style>
  <w:style w:type="paragraph" w:styleId="NormalWeb">
    <w:name w:val="Normal (Web)"/>
    <w:basedOn w:val="Normal"/>
    <w:uiPriority w:val="99"/>
    <w:semiHidden/>
    <w:unhideWhenUsed/>
    <w:rsid w:val="00F52E87"/>
    <w:pPr>
      <w:spacing w:before="100" w:beforeAutospacing="1" w:after="100" w:afterAutospacing="1" w:line="240" w:lineRule="auto"/>
    </w:pPr>
    <w:rPr>
      <w:rFonts w:ascii="Times New Roman" w:eastAsia="Times New Roman" w:hAnsi="Times New Roman" w:cs="Times New Roman"/>
      <w:kern w:val="0"/>
      <w:sz w:val="24"/>
      <w:szCs w:val="24"/>
      <w:lang w:bidi="fa-IR"/>
      <w14:ligatures w14:val="none"/>
    </w:rPr>
  </w:style>
  <w:style w:type="paragraph" w:customStyle="1" w:styleId="EndNoteBibliographyTitle">
    <w:name w:val="EndNote Bibliography Title"/>
    <w:basedOn w:val="Normal"/>
    <w:link w:val="EndNoteBibliographyTitleChar"/>
    <w:rsid w:val="00E6533C"/>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6533C"/>
    <w:rPr>
      <w:rFonts w:ascii="Aptos" w:hAnsi="Aptos"/>
      <w:noProof/>
    </w:rPr>
  </w:style>
  <w:style w:type="paragraph" w:customStyle="1" w:styleId="EndNoteBibliography">
    <w:name w:val="EndNote Bibliography"/>
    <w:basedOn w:val="Normal"/>
    <w:link w:val="EndNoteBibliographyChar"/>
    <w:rsid w:val="00E6533C"/>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E6533C"/>
    <w:rPr>
      <w:rFonts w:ascii="Aptos" w:hAnsi="Aptos"/>
      <w:noProof/>
    </w:rPr>
  </w:style>
  <w:style w:type="table" w:styleId="PlainTable2">
    <w:name w:val="Plain Table 2"/>
    <w:basedOn w:val="TableNormal"/>
    <w:uiPriority w:val="42"/>
    <w:rsid w:val="00E653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2778</Words>
  <Characters>15839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Karimi</dc:creator>
  <cp:keywords/>
  <dc:description/>
  <cp:lastModifiedBy>Mehdi Karimi</cp:lastModifiedBy>
  <cp:revision>2</cp:revision>
  <dcterms:created xsi:type="dcterms:W3CDTF">2026-05-08T11:02:00Z</dcterms:created>
  <dcterms:modified xsi:type="dcterms:W3CDTF">2026-05-08T11:02:00Z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81915e93-65b2-49ba-aa88-17667cc6de5d</vt:lpwstr>
  </property>
</Properties>
</file>