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8D64" w14:textId="12317CEE" w:rsidR="00F678DE" w:rsidRPr="00417B68" w:rsidRDefault="001659A6">
      <w:pPr>
        <w:spacing w:after="0"/>
        <w:jc w:val="center"/>
        <w:rPr>
          <w:rFonts w:ascii="Times New Roman" w:hAnsi="Times New Roman" w:cs="Times New Roman"/>
          <w:sz w:val="22"/>
        </w:rPr>
      </w:pPr>
      <w:r w:rsidRPr="00417B68">
        <w:rPr>
          <w:rFonts w:ascii="Times New Roman" w:hAnsi="Times New Roman" w:cs="Times New Roman"/>
          <w:b/>
          <w:sz w:val="22"/>
        </w:rPr>
        <w:t xml:space="preserve">Supplementary </w:t>
      </w:r>
      <w:r w:rsidR="00417B68">
        <w:rPr>
          <w:rFonts w:ascii="Times New Roman" w:hAnsi="Times New Roman" w:cs="Times New Roman"/>
          <w:b/>
          <w:sz w:val="22"/>
        </w:rPr>
        <w:t>Material</w:t>
      </w:r>
    </w:p>
    <w:p w14:paraId="03EEA400" w14:textId="77777777" w:rsidR="00417B68" w:rsidRDefault="00417B68">
      <w:pPr>
        <w:spacing w:after="120"/>
        <w:rPr>
          <w:rFonts w:ascii="Times New Roman" w:hAnsi="Times New Roman" w:cs="Times New Roman"/>
          <w:i/>
        </w:rPr>
      </w:pPr>
    </w:p>
    <w:p w14:paraId="421FF5D1" w14:textId="013D6A09" w:rsidR="00F678DE" w:rsidRPr="00B26638" w:rsidRDefault="00417B68">
      <w:pPr>
        <w:spacing w:before="160" w:after="80"/>
        <w:rPr>
          <w:rFonts w:ascii="Times New Roman" w:hAnsi="Times New Roman" w:cs="Times New Roman"/>
          <w:bCs/>
          <w:sz w:val="20"/>
          <w:szCs w:val="20"/>
        </w:rPr>
      </w:pPr>
      <w:r w:rsidRPr="00B26638">
        <w:rPr>
          <w:rFonts w:ascii="Times New Roman" w:hAnsi="Times New Roman" w:cs="Times New Roman"/>
          <w:bCs/>
          <w:sz w:val="20"/>
          <w:szCs w:val="20"/>
        </w:rPr>
        <w:t>Table S1. Context, wellbeing, and relational background</w:t>
      </w:r>
    </w:p>
    <w:tbl>
      <w:tblPr>
        <w:tblStyle w:val="Tablaconcuadrcu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4"/>
        <w:gridCol w:w="2783"/>
        <w:gridCol w:w="955"/>
        <w:gridCol w:w="1692"/>
        <w:gridCol w:w="4340"/>
        <w:gridCol w:w="2242"/>
      </w:tblGrid>
      <w:tr w:rsidR="00417B68" w:rsidRPr="00417B68" w14:paraId="00C032D2" w14:textId="77777777" w:rsidTr="00417B68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6324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Domain / construct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4E34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Instrument or questionnaire block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102A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(n)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806A7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Response format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7FF80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Scoring / derived indicators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AAD8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Source / notes</w:t>
            </w:r>
          </w:p>
        </w:tc>
      </w:tr>
      <w:tr w:rsidR="00417B68" w:rsidRPr="00417B68" w14:paraId="7D8D97A7" w14:textId="77777777" w:rsidTr="00417B68">
        <w:trPr>
          <w:cantSplit/>
          <w:jc w:val="center"/>
        </w:trPr>
        <w:tc>
          <w:tcPr>
            <w:tcW w:w="22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6A51C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Sociodemographic background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0B8B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Study questionnaire, Block 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BB70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5 core items + age/sex variables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B939E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Categorical and ordinal items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EE26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Sex/gender self-report, age, perceived family economic situation/social class, living arrangement, and siblings. Used to describe the sample and profile differences.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1607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Ad hoc sociodemographic block in questionnaire; sample described in manuscript.</w:t>
            </w:r>
          </w:p>
        </w:tc>
      </w:tr>
      <w:tr w:rsidR="00417B68" w:rsidRPr="00417B68" w14:paraId="639807CB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FE23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General wellbeing and life satisfaction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7590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Study questionnaire, Block 0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F996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1 happiness item + 6 satisfaction items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D6DF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Happiness: 1-10; satisfaction items: 1-10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A0A39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 xml:space="preserve">Items </w:t>
            </w:r>
            <w:proofErr w:type="spellStart"/>
            <w:r w:rsidRPr="00417B68">
              <w:rPr>
                <w:rFonts w:ascii="Times New Roman" w:hAnsi="Times New Roman" w:cs="Times New Roman"/>
                <w:sz w:val="17"/>
              </w:rPr>
              <w:t>analysed</w:t>
            </w:r>
            <w:proofErr w:type="spellEnd"/>
            <w:r w:rsidRPr="00417B68">
              <w:rPr>
                <w:rFonts w:ascii="Times New Roman" w:hAnsi="Times New Roman" w:cs="Times New Roman"/>
                <w:sz w:val="17"/>
              </w:rPr>
              <w:t xml:space="preserve"> independently (e.g., family, studies, friends, leisure, economic situation, future prospects). These variables appear in descriptive profiling and Table 4 of the manuscript.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122F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Ad hoc wellbeing block in questionnaire.</w:t>
            </w:r>
          </w:p>
        </w:tc>
      </w:tr>
      <w:tr w:rsidR="00417B68" w:rsidRPr="00417B68" w14:paraId="2DA7F3B0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FE65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Perceived relational quality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376A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Study questionnaire, Block 1: positive relationships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C04F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7 items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66595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Relationship items: 1-5; image items: 1-5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7DEC2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 xml:space="preserve">Items </w:t>
            </w:r>
            <w:proofErr w:type="spellStart"/>
            <w:r w:rsidRPr="00417B68">
              <w:rPr>
                <w:rFonts w:ascii="Times New Roman" w:hAnsi="Times New Roman" w:cs="Times New Roman"/>
                <w:sz w:val="17"/>
              </w:rPr>
              <w:t>analysed</w:t>
            </w:r>
            <w:proofErr w:type="spellEnd"/>
            <w:r w:rsidRPr="00417B68">
              <w:rPr>
                <w:rFonts w:ascii="Times New Roman" w:hAnsi="Times New Roman" w:cs="Times New Roman"/>
                <w:sz w:val="17"/>
              </w:rPr>
              <w:t xml:space="preserve"> independently: family, teachers, friends, classmates, schoolmates, image according to friends, image according to family. Used in cluster </w:t>
            </w:r>
            <w:proofErr w:type="spellStart"/>
            <w:r w:rsidRPr="00417B68">
              <w:rPr>
                <w:rFonts w:ascii="Times New Roman" w:hAnsi="Times New Roman" w:cs="Times New Roman"/>
                <w:sz w:val="17"/>
              </w:rPr>
              <w:t>characterisation</w:t>
            </w:r>
            <w:proofErr w:type="spellEnd"/>
            <w:r w:rsidRPr="00417B68">
              <w:rPr>
                <w:rFonts w:ascii="Times New Roman" w:hAnsi="Times New Roman" w:cs="Times New Roman"/>
                <w:sz w:val="17"/>
              </w:rPr>
              <w:t xml:space="preserve"> and Table 4.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A02B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417B68">
              <w:rPr>
                <w:rFonts w:ascii="Times New Roman" w:hAnsi="Times New Roman" w:cs="Times New Roman"/>
                <w:sz w:val="17"/>
              </w:rPr>
              <w:t>Ad hoc relational context block in questionnaire.</w:t>
            </w:r>
          </w:p>
        </w:tc>
      </w:tr>
    </w:tbl>
    <w:p w14:paraId="1F3C776A" w14:textId="77777777" w:rsidR="00F678DE" w:rsidRPr="00417B68" w:rsidRDefault="00F678DE">
      <w:pPr>
        <w:rPr>
          <w:rFonts w:ascii="Times New Roman" w:hAnsi="Times New Roman" w:cs="Times New Roman"/>
        </w:rPr>
      </w:pPr>
    </w:p>
    <w:p w14:paraId="6DBDD421" w14:textId="5276C562" w:rsidR="00F678DE" w:rsidRPr="00B26638" w:rsidRDefault="00417B68">
      <w:pPr>
        <w:spacing w:before="160" w:after="80"/>
        <w:rPr>
          <w:rFonts w:ascii="Times New Roman" w:hAnsi="Times New Roman" w:cs="Times New Roman"/>
          <w:bCs/>
          <w:sz w:val="20"/>
          <w:szCs w:val="20"/>
        </w:rPr>
      </w:pPr>
      <w:r w:rsidRPr="00B26638">
        <w:rPr>
          <w:rFonts w:ascii="Times New Roman" w:hAnsi="Times New Roman" w:cs="Times New Roman"/>
          <w:bCs/>
          <w:sz w:val="20"/>
          <w:szCs w:val="20"/>
        </w:rPr>
        <w:t xml:space="preserve">Table S2. Core mental health and </w:t>
      </w:r>
      <w:proofErr w:type="spellStart"/>
      <w:r w:rsidRPr="00B26638">
        <w:rPr>
          <w:rFonts w:ascii="Times New Roman" w:hAnsi="Times New Roman" w:cs="Times New Roman"/>
          <w:bCs/>
          <w:sz w:val="20"/>
          <w:szCs w:val="20"/>
        </w:rPr>
        <w:t>victimisation</w:t>
      </w:r>
      <w:proofErr w:type="spellEnd"/>
      <w:r w:rsidRPr="00B26638">
        <w:rPr>
          <w:rFonts w:ascii="Times New Roman" w:hAnsi="Times New Roman" w:cs="Times New Roman"/>
          <w:bCs/>
          <w:sz w:val="20"/>
          <w:szCs w:val="20"/>
        </w:rPr>
        <w:t xml:space="preserve"> measures</w:t>
      </w:r>
    </w:p>
    <w:tbl>
      <w:tblPr>
        <w:tblStyle w:val="Tablaconcuadrcu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2847"/>
        <w:gridCol w:w="820"/>
        <w:gridCol w:w="1690"/>
        <w:gridCol w:w="4406"/>
        <w:gridCol w:w="2286"/>
      </w:tblGrid>
      <w:tr w:rsidR="00417B68" w:rsidRPr="00417B68" w14:paraId="189274DA" w14:textId="77777777" w:rsidTr="00417B68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7FDFC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Domain / construct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90E25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Instrument or questionnaire block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0590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(n)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4A5ED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Response format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E785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Scoring / derived indicators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CB75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Source / notes</w:t>
            </w:r>
          </w:p>
        </w:tc>
      </w:tr>
      <w:tr w:rsidR="00417B68" w:rsidRPr="00417B68" w14:paraId="2F6612C4" w14:textId="77777777" w:rsidTr="00417B68">
        <w:trPr>
          <w:cantSplit/>
          <w:jc w:val="center"/>
        </w:trPr>
        <w:tc>
          <w:tcPr>
            <w:tcW w:w="22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9866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General loneliness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68BB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RULS-6 short form (as named in questionnaire/manuscript)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E9D07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EED31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never to 4 = always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25419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Items averaged to obtain a general loneliness score (SOLEDAD). Item-level indicators were also available in the analytical </w:t>
            </w:r>
            <w:proofErr w:type="gramStart"/>
            <w:r w:rsidRPr="00417B68">
              <w:rPr>
                <w:rFonts w:ascii="Times New Roman" w:hAnsi="Times New Roman" w:cs="Times New Roman"/>
                <w:bCs/>
                <w:sz w:val="17"/>
              </w:rPr>
              <w:t>dataset</w:t>
            </w:r>
            <w:proofErr w:type="gram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and several were included in the cluster model.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514F9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RULS-6 named in questionnaire/manuscript; computation specified in questionnaire.</w:t>
            </w:r>
          </w:p>
        </w:tc>
      </w:tr>
      <w:tr w:rsidR="00417B68" w:rsidRPr="00417B68" w14:paraId="4EEB14BD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ABFA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loneliness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C7F47D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ESTE social loneliness subscale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B328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7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D698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never to 5 = always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785F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reverse-scored and averaged to obtain social loneliness (SOLEDAD_SOCIAL). Inverted item variables and composite score were available in the analytical dataset.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B279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Cardona Jiménez et al. (2010), as cited in questionnaire; adolescent use cited in questionnaire (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Cano</w:t>
            </w:r>
            <w:proofErr w:type="spell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et al., 2023).</w:t>
            </w:r>
          </w:p>
        </w:tc>
      </w:tr>
      <w:tr w:rsidR="00417B68" w:rsidRPr="00417B68" w14:paraId="2010C30C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76FAD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Family loneliness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4119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Family loneliness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B3D49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4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EEFBD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never to 5 = always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41662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reverse-scored and averaged to obtain family loneliness (SOLEDAD_FAMILIAR). Inverted item variables and composite score were available in the analytical dataset.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F83B8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with explicit recoding instructions.</w:t>
            </w:r>
          </w:p>
        </w:tc>
      </w:tr>
      <w:tr w:rsidR="00417B68" w:rsidRPr="00417B68" w14:paraId="59C5AB6E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779E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Suicidal ideation / suicidality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AC64E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Paykel Suicide Scale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A74DB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5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5DBCA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Dichotomous yes/no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1C061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Sum score from 0 to 5. The analytical dataset included both the full score and a partial ideation score (e.g., 3-item ideation indicator), while item-level suicidal ideation indicators were also available.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2D15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Fonseca-Pedrero et al. (2018), as cited in questionnaire.</w:t>
            </w:r>
          </w:p>
        </w:tc>
      </w:tr>
      <w:tr w:rsidR="00417B68" w:rsidRPr="00417B68" w14:paraId="653DC4BE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4E76F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lastRenderedPageBreak/>
              <w:t>Depressive symptoms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70A65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DASS-21 depression subscale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699A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7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1C17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0 = not at all to 3 = most of the time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88AC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Seven depression items averaged to obtain the depression score used in the analytical dataset (DEPRESION/DEPRESIÓN). Item-level indicators were also available.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B0371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Fonseca-Pedrero et al. (2010), as cited in questionnaire.</w:t>
            </w:r>
          </w:p>
        </w:tc>
      </w:tr>
      <w:tr w:rsidR="00417B68" w:rsidRPr="00417B68" w14:paraId="04BB7F55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B19BF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Bullying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A397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Study questionnaire, Block 1: relational bullying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C3E9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6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38DF2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never to 5 = always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6720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 means available for each bullying indicator; the analytical dataset also included a bullying composite (BULLYING). Used both at item level and as a descriptive composite.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2394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Ad hoc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block in questionnaire.</w:t>
            </w:r>
          </w:p>
        </w:tc>
      </w:tr>
      <w:tr w:rsidR="00417B68" w:rsidRPr="00417B68" w14:paraId="4B05B97D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10980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Cyberbullying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413B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Study questionnaire, Block 1: cyberbullying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5138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12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1BA0F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never to 5 = always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A6205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 means available for each cyberbullying indicator; the analytical dataset also included a cyberbullying composite (CYBERBULLYING). Used both at item level and as a descriptive composite.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F283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Ad hoc </w:t>
            </w:r>
            <w:proofErr w:type="spellStart"/>
            <w:r w:rsidRPr="00417B68">
              <w:rPr>
                <w:rFonts w:ascii="Times New Roman" w:hAnsi="Times New Roman" w:cs="Times New Roman"/>
                <w:bCs/>
                <w:sz w:val="17"/>
              </w:rPr>
              <w:t>victimisation</w:t>
            </w:r>
            <w:proofErr w:type="spell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block in questionnaire.</w:t>
            </w:r>
          </w:p>
        </w:tc>
      </w:tr>
    </w:tbl>
    <w:p w14:paraId="35A9DA96" w14:textId="77777777" w:rsidR="00F678DE" w:rsidRPr="00417B68" w:rsidRDefault="00F678DE">
      <w:pPr>
        <w:rPr>
          <w:rFonts w:ascii="Times New Roman" w:hAnsi="Times New Roman" w:cs="Times New Roman"/>
        </w:rPr>
      </w:pPr>
    </w:p>
    <w:p w14:paraId="50336EBA" w14:textId="3E696EF6" w:rsidR="00F678DE" w:rsidRPr="00B26638" w:rsidRDefault="00417B68">
      <w:pPr>
        <w:spacing w:before="160" w:after="80"/>
        <w:rPr>
          <w:rFonts w:ascii="Times New Roman" w:hAnsi="Times New Roman" w:cs="Times New Roman"/>
          <w:bCs/>
          <w:sz w:val="20"/>
          <w:szCs w:val="20"/>
        </w:rPr>
      </w:pPr>
      <w:r w:rsidRPr="00B26638">
        <w:rPr>
          <w:rFonts w:ascii="Times New Roman" w:hAnsi="Times New Roman" w:cs="Times New Roman"/>
          <w:bCs/>
          <w:sz w:val="20"/>
          <w:szCs w:val="20"/>
        </w:rPr>
        <w:t>Table S3. Digital use, socio-emotional functioning, and social skills</w:t>
      </w:r>
    </w:p>
    <w:tbl>
      <w:tblPr>
        <w:tblStyle w:val="Tablaconcuadrcu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9"/>
        <w:gridCol w:w="2803"/>
        <w:gridCol w:w="848"/>
        <w:gridCol w:w="1688"/>
        <w:gridCol w:w="4463"/>
        <w:gridCol w:w="2225"/>
      </w:tblGrid>
      <w:tr w:rsidR="00417B68" w:rsidRPr="00417B68" w14:paraId="3FD4A69A" w14:textId="77777777" w:rsidTr="00417B68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BC54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Domain / construct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C7B0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Instrument or questionnaire block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99363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(n)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A82BD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Response format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76A2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Scoring / derived indicators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A0C5E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Source / notes</w:t>
            </w:r>
          </w:p>
        </w:tc>
      </w:tr>
      <w:tr w:rsidR="00417B68" w:rsidRPr="00417B68" w14:paraId="27FBA236" w14:textId="77777777" w:rsidTr="00417B68">
        <w:trPr>
          <w:cantSplit/>
          <w:jc w:val="center"/>
        </w:trPr>
        <w:tc>
          <w:tcPr>
            <w:tcW w:w="22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835A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Problematic internet/mobile use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FEAA4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  <w:lang w:val="es-ES"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  <w:lang w:val="es-ES"/>
              </w:rPr>
              <w:t>CERM - Cuestionario de Experiencias Relacionadas con el Móvil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7F7A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44BDE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almost never to 5 = always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36008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Items averaged to obtain the problematic internet/mobile use score (PIU). The manuscript refers to this </w:t>
            </w:r>
            <w:proofErr w:type="gramStart"/>
            <w:r w:rsidRPr="00417B68">
              <w:rPr>
                <w:rFonts w:ascii="Times New Roman" w:hAnsi="Times New Roman" w:cs="Times New Roman"/>
                <w:bCs/>
                <w:sz w:val="17"/>
              </w:rPr>
              <w:t>construct</w:t>
            </w:r>
            <w:proofErr w:type="gram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as problematic internet use.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F7BC3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Instrument name and computation reported in questionnaire.</w:t>
            </w:r>
          </w:p>
        </w:tc>
      </w:tr>
      <w:tr w:rsidR="00417B68" w:rsidRPr="00417B68" w14:paraId="6844E658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AB83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Appearance concern in social media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95A6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media appearance concern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E5EE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3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ABF8A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totally disagree to 5 = totally agree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EB04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Three items averaged to obtain concern about appearance in social networks (APARIENCIA / concern about appearance). Used in Table 4 and discussion.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D619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on social media appearance.</w:t>
            </w:r>
          </w:p>
        </w:tc>
      </w:tr>
      <w:tr w:rsidR="00417B68" w:rsidRPr="00417B68" w14:paraId="085A81E3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5A2C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Online socio-emotional competences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815EF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E-socioemotional competences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25F57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25 (5 subscales x 5 items)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5A83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0 = never to 10 = always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45B9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Subscales: e-emotional awareness, e-regulation, e-</w:t>
            </w:r>
            <w:proofErr w:type="gramStart"/>
            <w:r w:rsidRPr="00417B68">
              <w:rPr>
                <w:rFonts w:ascii="Times New Roman" w:hAnsi="Times New Roman" w:cs="Times New Roman"/>
                <w:bCs/>
                <w:sz w:val="17"/>
              </w:rPr>
              <w:t>impulsivity</w:t>
            </w:r>
            <w:proofErr w:type="gram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self-control, e-emotional autonomy, and e-social competence. The analytical dataset included derived composites such as ECONCIENCIA, EREGULACION, EAUTOCONTROL, EAUTONOMIA, and ECSOCIAL.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9AC0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Cebollero et al. (2020), as named in questionnaire.</w:t>
            </w:r>
          </w:p>
        </w:tc>
      </w:tr>
      <w:tr w:rsidR="00417B68" w:rsidRPr="00417B68" w14:paraId="5B246D0C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5997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Offline emotional regulation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4C2B77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Offline emotional regulation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2C3C8A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10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B3879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totally disagree to 7 = totally agree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52589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Items averaged to obtain REGULACION_EMOCIONAL. Individual regulation items were also available in the analytical </w:t>
            </w:r>
            <w:proofErr w:type="gramStart"/>
            <w:r w:rsidRPr="00417B68">
              <w:rPr>
                <w:rFonts w:ascii="Times New Roman" w:hAnsi="Times New Roman" w:cs="Times New Roman"/>
                <w:bCs/>
                <w:sz w:val="17"/>
              </w:rPr>
              <w:t>dataset</w:t>
            </w:r>
            <w:proofErr w:type="gram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and some entered the cluster solution.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D828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with explicit scoring instructions.</w:t>
            </w:r>
          </w:p>
        </w:tc>
      </w:tr>
      <w:tr w:rsidR="00417B68" w:rsidRPr="00417B68" w14:paraId="3FC98C19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84B90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goals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F7A3DC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Social goals </w:t>
            </w:r>
            <w:proofErr w:type="gramStart"/>
            <w:r w:rsidRPr="00417B68">
              <w:rPr>
                <w:rFonts w:ascii="Times New Roman" w:hAnsi="Times New Roman" w:cs="Times New Roman"/>
                <w:bCs/>
                <w:sz w:val="17"/>
              </w:rPr>
              <w:t>block:</w:t>
            </w:r>
            <w:proofErr w:type="gramEnd"/>
            <w:r w:rsidRPr="00417B68">
              <w:rPr>
                <w:rFonts w:ascii="Times New Roman" w:hAnsi="Times New Roman" w:cs="Times New Roman"/>
                <w:bCs/>
                <w:sz w:val="17"/>
              </w:rPr>
              <w:t xml:space="preserve"> avoidance and popularity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612E1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8 (4 + 4)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F010F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not at all true to 5 = completely true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83C3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Two composite indicators were derived: social goals-avoidance and social goals-popularity (MS_EVITACION and MS_POPULARIDAD).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B0AC8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with explicit scoring instructions.</w:t>
            </w:r>
          </w:p>
        </w:tc>
      </w:tr>
      <w:tr w:rsidR="00417B68" w:rsidRPr="00417B68" w14:paraId="0FC08763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0751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self-esteem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81326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self-esteem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369F3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6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4849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not at all true to 5 = completely true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0664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Items with reverse coding where required; used to obtain AUTOESTIMA_SOCIAL / social self-esteem. Item-level variables were also available.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AFC90B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with explicit reverse-scoring instructions.</w:t>
            </w:r>
          </w:p>
        </w:tc>
      </w:tr>
      <w:tr w:rsidR="00417B68" w:rsidRPr="00417B68" w14:paraId="3885E08F" w14:textId="77777777" w:rsidTr="00417B68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16930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lastRenderedPageBreak/>
              <w:t>Social skills</w:t>
            </w:r>
          </w:p>
        </w:tc>
        <w:tc>
          <w:tcPr>
            <w:tcW w:w="29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12E72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Social skills block</w:t>
            </w:r>
          </w:p>
        </w:tc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3BAAAE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12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0F75F4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1 = totally false to 5 = totally true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CF9F2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The questionnaire generated derived composites for communication/social skills, assertiveness, and conflict resolution, reflected in the analytical dataset (HABILIDADES_COMYSOC, ASERTIVIDAD, RES_CONFLICTOS).</w:t>
            </w:r>
          </w:p>
        </w:tc>
        <w:tc>
          <w:tcPr>
            <w:tcW w:w="23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D71DD" w14:textId="77777777" w:rsidR="00F678DE" w:rsidRPr="00417B68" w:rsidRDefault="001659A6">
            <w:pPr>
              <w:spacing w:line="247" w:lineRule="auto"/>
              <w:rPr>
                <w:rFonts w:ascii="Times New Roman" w:hAnsi="Times New Roman" w:cs="Times New Roman"/>
                <w:bCs/>
              </w:rPr>
            </w:pPr>
            <w:r w:rsidRPr="00417B68">
              <w:rPr>
                <w:rFonts w:ascii="Times New Roman" w:hAnsi="Times New Roman" w:cs="Times New Roman"/>
                <w:bCs/>
                <w:sz w:val="17"/>
              </w:rPr>
              <w:t>Questionnaire block with specified derived indicators.</w:t>
            </w:r>
          </w:p>
        </w:tc>
      </w:tr>
    </w:tbl>
    <w:p w14:paraId="0304AD69" w14:textId="77777777" w:rsidR="00F678DE" w:rsidRPr="00417B68" w:rsidRDefault="00F678DE">
      <w:pPr>
        <w:rPr>
          <w:rFonts w:ascii="Times New Roman" w:hAnsi="Times New Roman" w:cs="Times New Roman"/>
        </w:rPr>
      </w:pPr>
    </w:p>
    <w:p w14:paraId="44D32219" w14:textId="60BD0C53" w:rsidR="00B26638" w:rsidRPr="00B26638" w:rsidRDefault="00B26638" w:rsidP="00B26638">
      <w:pPr>
        <w:spacing w:after="120"/>
        <w:rPr>
          <w:rFonts w:ascii="Times New Roman" w:hAnsi="Times New Roman" w:cs="Times New Roman"/>
          <w:bCs/>
          <w:sz w:val="20"/>
          <w:szCs w:val="20"/>
        </w:rPr>
      </w:pPr>
      <w:r w:rsidRPr="00B26638">
        <w:rPr>
          <w:rFonts w:ascii="Times New Roman" w:hAnsi="Times New Roman" w:cs="Times New Roman"/>
          <w:bCs/>
          <w:sz w:val="20"/>
          <w:szCs w:val="20"/>
        </w:rPr>
        <w:t>Note. Th</w:t>
      </w:r>
      <w:r w:rsidRPr="00B26638">
        <w:rPr>
          <w:rFonts w:ascii="Times New Roman" w:hAnsi="Times New Roman" w:cs="Times New Roman"/>
          <w:bCs/>
          <w:sz w:val="20"/>
          <w:szCs w:val="20"/>
        </w:rPr>
        <w:t>e</w:t>
      </w:r>
      <w:r w:rsidRPr="00B26638">
        <w:rPr>
          <w:rFonts w:ascii="Times New Roman" w:hAnsi="Times New Roman" w:cs="Times New Roman"/>
          <w:bCs/>
          <w:sz w:val="20"/>
          <w:szCs w:val="20"/>
        </w:rPr>
        <w:t>s</w:t>
      </w:r>
      <w:r w:rsidRPr="00B26638">
        <w:rPr>
          <w:rFonts w:ascii="Times New Roman" w:hAnsi="Times New Roman" w:cs="Times New Roman"/>
          <w:bCs/>
          <w:sz w:val="20"/>
          <w:szCs w:val="20"/>
        </w:rPr>
        <w:t>e</w:t>
      </w:r>
      <w:r w:rsidRPr="00B26638">
        <w:rPr>
          <w:rFonts w:ascii="Times New Roman" w:hAnsi="Times New Roman" w:cs="Times New Roman"/>
          <w:bCs/>
          <w:sz w:val="20"/>
          <w:szCs w:val="20"/>
        </w:rPr>
        <w:t xml:space="preserve"> table</w:t>
      </w:r>
      <w:r w:rsidRPr="00B26638">
        <w:rPr>
          <w:rFonts w:ascii="Times New Roman" w:hAnsi="Times New Roman" w:cs="Times New Roman"/>
          <w:bCs/>
          <w:sz w:val="20"/>
          <w:szCs w:val="20"/>
        </w:rPr>
        <w:t>s</w:t>
      </w:r>
      <w:r w:rsidRPr="00B26638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B26638">
        <w:rPr>
          <w:rFonts w:ascii="Times New Roman" w:hAnsi="Times New Roman" w:cs="Times New Roman"/>
          <w:bCs/>
          <w:sz w:val="20"/>
          <w:szCs w:val="20"/>
        </w:rPr>
        <w:t>summarise</w:t>
      </w:r>
      <w:proofErr w:type="spellEnd"/>
      <w:r w:rsidRPr="00B26638">
        <w:rPr>
          <w:rFonts w:ascii="Times New Roman" w:hAnsi="Times New Roman" w:cs="Times New Roman"/>
          <w:bCs/>
          <w:sz w:val="20"/>
          <w:szCs w:val="20"/>
        </w:rPr>
        <w:t xml:space="preserve"> the principal measures used to construct and </w:t>
      </w:r>
      <w:proofErr w:type="spellStart"/>
      <w:r w:rsidRPr="00B26638">
        <w:rPr>
          <w:rFonts w:ascii="Times New Roman" w:hAnsi="Times New Roman" w:cs="Times New Roman"/>
          <w:bCs/>
          <w:sz w:val="20"/>
          <w:szCs w:val="20"/>
        </w:rPr>
        <w:t>characterise</w:t>
      </w:r>
      <w:proofErr w:type="spellEnd"/>
      <w:r w:rsidRPr="00B26638">
        <w:rPr>
          <w:rFonts w:ascii="Times New Roman" w:hAnsi="Times New Roman" w:cs="Times New Roman"/>
          <w:bCs/>
          <w:sz w:val="20"/>
          <w:szCs w:val="20"/>
        </w:rPr>
        <w:t xml:space="preserve"> the cluster solution. When a formal source reference was explicitly available in the questionnaire, it is reported here. For ad hoc questionnaire blocks or derived composites without a full reference in the available materials, the instrument/block is labelled as such. The manuscript states that all indicators were </w:t>
      </w:r>
      <w:proofErr w:type="spellStart"/>
      <w:r w:rsidRPr="00B26638">
        <w:rPr>
          <w:rFonts w:ascii="Times New Roman" w:hAnsi="Times New Roman" w:cs="Times New Roman"/>
          <w:bCs/>
          <w:sz w:val="20"/>
          <w:szCs w:val="20"/>
        </w:rPr>
        <w:t>standardised</w:t>
      </w:r>
      <w:proofErr w:type="spellEnd"/>
      <w:r w:rsidRPr="00B26638">
        <w:rPr>
          <w:rFonts w:ascii="Times New Roman" w:hAnsi="Times New Roman" w:cs="Times New Roman"/>
          <w:bCs/>
          <w:sz w:val="20"/>
          <w:szCs w:val="20"/>
        </w:rPr>
        <w:t xml:space="preserve"> to Z scores prior to cluster estimation.</w:t>
      </w:r>
    </w:p>
    <w:p w14:paraId="657D585A" w14:textId="1D28E482" w:rsidR="00F678DE" w:rsidRPr="00B26638" w:rsidRDefault="001659A6">
      <w:pPr>
        <w:rPr>
          <w:rFonts w:ascii="Times New Roman" w:hAnsi="Times New Roman" w:cs="Times New Roman"/>
          <w:sz w:val="20"/>
          <w:szCs w:val="20"/>
        </w:rPr>
      </w:pPr>
      <w:r w:rsidRPr="00B26638">
        <w:rPr>
          <w:rFonts w:ascii="Times New Roman" w:hAnsi="Times New Roman" w:cs="Times New Roman"/>
          <w:bCs/>
          <w:sz w:val="20"/>
          <w:szCs w:val="20"/>
        </w:rPr>
        <w:t>Abbreviations.</w:t>
      </w:r>
      <w:r w:rsidRPr="00B266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26638">
        <w:rPr>
          <w:rFonts w:ascii="Times New Roman" w:hAnsi="Times New Roman" w:cs="Times New Roman"/>
          <w:sz w:val="20"/>
          <w:szCs w:val="20"/>
        </w:rPr>
        <w:t xml:space="preserve">PIU = problematic internet use; RULS-6 = six-item Revised UCLA Loneliness Scale short form; DASS-21 = Depression Anxiety and Stress Scales-21; CERM = </w:t>
      </w:r>
      <w:proofErr w:type="spellStart"/>
      <w:r w:rsidRPr="00B26638">
        <w:rPr>
          <w:rFonts w:ascii="Times New Roman" w:hAnsi="Times New Roman" w:cs="Times New Roman"/>
          <w:sz w:val="20"/>
          <w:szCs w:val="20"/>
        </w:rPr>
        <w:t>Cuestionario</w:t>
      </w:r>
      <w:proofErr w:type="spellEnd"/>
      <w:r w:rsidRPr="00B2663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6638">
        <w:rPr>
          <w:rFonts w:ascii="Times New Roman" w:hAnsi="Times New Roman" w:cs="Times New Roman"/>
          <w:sz w:val="20"/>
          <w:szCs w:val="20"/>
        </w:rPr>
        <w:t>Experiencias</w:t>
      </w:r>
      <w:proofErr w:type="spellEnd"/>
      <w:r w:rsidRPr="00B266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6638">
        <w:rPr>
          <w:rFonts w:ascii="Times New Roman" w:hAnsi="Times New Roman" w:cs="Times New Roman"/>
          <w:sz w:val="20"/>
          <w:szCs w:val="20"/>
        </w:rPr>
        <w:t>Relacionadas</w:t>
      </w:r>
      <w:proofErr w:type="spellEnd"/>
      <w:r w:rsidRPr="00B26638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B26638">
        <w:rPr>
          <w:rFonts w:ascii="Times New Roman" w:hAnsi="Times New Roman" w:cs="Times New Roman"/>
          <w:sz w:val="20"/>
          <w:szCs w:val="20"/>
        </w:rPr>
        <w:t>el</w:t>
      </w:r>
      <w:proofErr w:type="spellEnd"/>
      <w:r w:rsidRPr="00B266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6638">
        <w:rPr>
          <w:rFonts w:ascii="Times New Roman" w:hAnsi="Times New Roman" w:cs="Times New Roman"/>
          <w:sz w:val="20"/>
          <w:szCs w:val="20"/>
        </w:rPr>
        <w:t>Móvil</w:t>
      </w:r>
      <w:proofErr w:type="spellEnd"/>
      <w:r w:rsidRPr="00B26638">
        <w:rPr>
          <w:rFonts w:ascii="Times New Roman" w:hAnsi="Times New Roman" w:cs="Times New Roman"/>
          <w:sz w:val="20"/>
          <w:szCs w:val="20"/>
        </w:rPr>
        <w:t>.</w:t>
      </w:r>
    </w:p>
    <w:p w14:paraId="6EFCB7B1" w14:textId="77777777" w:rsidR="00502E11" w:rsidRDefault="00502E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E12A0A4" w14:textId="77777777" w:rsidR="00502E11" w:rsidRDefault="00502E11" w:rsidP="00502E11">
      <w:pPr>
        <w:rPr>
          <w:rFonts w:ascii="Times New Roman" w:hAnsi="Times New Roman" w:cs="Times New Roman"/>
          <w:sz w:val="20"/>
          <w:szCs w:val="20"/>
        </w:rPr>
        <w:sectPr w:rsidR="00502E11" w:rsidSect="00034616">
          <w:pgSz w:w="15840" w:h="12240" w:orient="landscape"/>
          <w:pgMar w:top="907" w:right="907" w:bottom="907" w:left="907" w:header="720" w:footer="720" w:gutter="0"/>
          <w:cols w:space="720"/>
          <w:docGrid w:linePitch="360"/>
        </w:sectPr>
      </w:pPr>
    </w:p>
    <w:p w14:paraId="0BDA8CEC" w14:textId="2C77A42D" w:rsidR="00502E11" w:rsidRPr="00502E11" w:rsidRDefault="00502E11" w:rsidP="00502E11">
      <w:pPr>
        <w:rPr>
          <w:rFonts w:ascii="Times New Roman" w:hAnsi="Times New Roman" w:cs="Times New Roman"/>
          <w:sz w:val="20"/>
          <w:szCs w:val="20"/>
        </w:rPr>
      </w:pPr>
      <w:r w:rsidRPr="00502E11">
        <w:rPr>
          <w:rFonts w:ascii="Times New Roman" w:hAnsi="Times New Roman" w:cs="Times New Roman"/>
          <w:sz w:val="20"/>
          <w:szCs w:val="20"/>
        </w:rPr>
        <w:lastRenderedPageBreak/>
        <w:t>This supplementary figure presents the within-cluster sum of squares (WSS) for K-means solutions from k = 2 to k = 6. The curve shows a visible inflection at k = 4, supporting the choice of the four-cluster solution on both statistical and interpretative grounds.</w:t>
      </w:r>
    </w:p>
    <w:p w14:paraId="18C931AB" w14:textId="1FF3DFAF" w:rsidR="00502E11" w:rsidRPr="00502E11" w:rsidRDefault="00502E11" w:rsidP="00502E11">
      <w:pPr>
        <w:rPr>
          <w:rFonts w:ascii="Times New Roman" w:hAnsi="Times New Roman" w:cs="Times New Roman"/>
          <w:sz w:val="20"/>
          <w:szCs w:val="20"/>
        </w:rPr>
      </w:pPr>
      <w:r w:rsidRPr="00502E11">
        <w:rPr>
          <w:rFonts w:ascii="Times New Roman" w:hAnsi="Times New Roman" w:cs="Times New Roman"/>
          <w:sz w:val="20"/>
          <w:szCs w:val="20"/>
        </w:rPr>
        <w:t>Figure S1. Elbow plot for cluster</w:t>
      </w:r>
      <w:r w:rsidR="001F714A">
        <w:rPr>
          <w:rFonts w:ascii="Times New Roman" w:hAnsi="Times New Roman" w:cs="Times New Roman"/>
          <w:sz w:val="20"/>
          <w:szCs w:val="20"/>
        </w:rPr>
        <w:t xml:space="preserve"> </w:t>
      </w:r>
      <w:r w:rsidRPr="00502E11">
        <w:rPr>
          <w:rFonts w:ascii="Times New Roman" w:hAnsi="Times New Roman" w:cs="Times New Roman"/>
          <w:sz w:val="20"/>
          <w:szCs w:val="20"/>
        </w:rPr>
        <w:t>solutions</w:t>
      </w:r>
      <w:r w:rsidR="001F714A" w:rsidRPr="001F714A">
        <w:rPr>
          <w:rFonts w:ascii="Times New Roman" w:hAnsi="Times New Roman" w:cs="Times New Roman"/>
          <w:sz w:val="20"/>
          <w:szCs w:val="20"/>
        </w:rPr>
        <w:t xml:space="preserve"> from k = 2 to k = 6.</w:t>
      </w:r>
    </w:p>
    <w:p w14:paraId="3A5A9328" w14:textId="77777777" w:rsidR="00502E11" w:rsidRPr="00502E11" w:rsidRDefault="00502E11" w:rsidP="00502E11">
      <w:pPr>
        <w:rPr>
          <w:rFonts w:ascii="Times New Roman" w:hAnsi="Times New Roman" w:cs="Times New Roman"/>
        </w:rPr>
      </w:pPr>
      <w:r w:rsidRPr="00502E11">
        <w:rPr>
          <w:rFonts w:ascii="Times New Roman" w:hAnsi="Times New Roman" w:cs="Times New Roman"/>
          <w:noProof/>
        </w:rPr>
        <w:drawing>
          <wp:inline distT="0" distB="0" distL="0" distR="0" wp14:anchorId="15F91B9B" wp14:editId="10A4C554">
            <wp:extent cx="5303520" cy="37560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bow_plot_k2_k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5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FBDD4" w14:textId="5C561A32" w:rsidR="00502E11" w:rsidRPr="001F714A" w:rsidRDefault="001F714A" w:rsidP="001F714A">
      <w:pPr>
        <w:rPr>
          <w:rFonts w:ascii="Times New Roman" w:hAnsi="Times New Roman" w:cs="Times New Roman"/>
          <w:sz w:val="20"/>
          <w:szCs w:val="20"/>
        </w:rPr>
      </w:pPr>
      <w:r w:rsidRPr="001F714A">
        <w:rPr>
          <w:rFonts w:ascii="Times New Roman" w:hAnsi="Times New Roman" w:cs="Times New Roman"/>
          <w:sz w:val="20"/>
          <w:szCs w:val="20"/>
        </w:rPr>
        <w:t xml:space="preserve">Note. The figure presents the within-cluster sum of squares (WSS) across candidate cluster solutions. The visible inflection at k = 4 supports the choice of </w:t>
      </w:r>
      <w:proofErr w:type="gramStart"/>
      <w:r w:rsidRPr="001F714A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1F714A">
        <w:rPr>
          <w:rFonts w:ascii="Times New Roman" w:hAnsi="Times New Roman" w:cs="Times New Roman"/>
          <w:sz w:val="20"/>
          <w:szCs w:val="20"/>
        </w:rPr>
        <w:t xml:space="preserve"> four-cluster solution.</w:t>
      </w:r>
    </w:p>
    <w:sectPr w:rsidR="00502E11" w:rsidRPr="001F714A" w:rsidSect="00502E11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9542373">
    <w:abstractNumId w:val="8"/>
  </w:num>
  <w:num w:numId="2" w16cid:durableId="1426224426">
    <w:abstractNumId w:val="6"/>
  </w:num>
  <w:num w:numId="3" w16cid:durableId="1536236070">
    <w:abstractNumId w:val="5"/>
  </w:num>
  <w:num w:numId="4" w16cid:durableId="1405100925">
    <w:abstractNumId w:val="4"/>
  </w:num>
  <w:num w:numId="5" w16cid:durableId="677848397">
    <w:abstractNumId w:val="7"/>
  </w:num>
  <w:num w:numId="6" w16cid:durableId="1343773647">
    <w:abstractNumId w:val="3"/>
  </w:num>
  <w:num w:numId="7" w16cid:durableId="825828034">
    <w:abstractNumId w:val="2"/>
  </w:num>
  <w:num w:numId="8" w16cid:durableId="850528539">
    <w:abstractNumId w:val="1"/>
  </w:num>
  <w:num w:numId="9" w16cid:durableId="215095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9A6"/>
    <w:rsid w:val="001F714A"/>
    <w:rsid w:val="0029639D"/>
    <w:rsid w:val="00312972"/>
    <w:rsid w:val="00326F90"/>
    <w:rsid w:val="00417B68"/>
    <w:rsid w:val="00502E11"/>
    <w:rsid w:val="00867176"/>
    <w:rsid w:val="00AA1D8D"/>
    <w:rsid w:val="00B26638"/>
    <w:rsid w:val="00B47730"/>
    <w:rsid w:val="00CB0664"/>
    <w:rsid w:val="00F678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6396D"/>
  <w14:defaultImageDpi w14:val="300"/>
  <w15:docId w15:val="{6FA73C1E-5AD9-4BA9-B313-B28B8B72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1163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Tatiana Íñiguez Berrozpe</cp:lastModifiedBy>
  <cp:revision>5</cp:revision>
  <dcterms:created xsi:type="dcterms:W3CDTF">2013-12-23T23:15:00Z</dcterms:created>
  <dcterms:modified xsi:type="dcterms:W3CDTF">2026-04-18T03:56:00Z</dcterms:modified>
  <cp:category/>
</cp:coreProperties>
</file>