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69A21" w14:textId="77777777" w:rsidR="006F6FAA" w:rsidRPr="00574DEF" w:rsidRDefault="006F6FAA" w:rsidP="006F6FAA">
      <w:pPr>
        <w:jc w:val="both"/>
      </w:pPr>
      <w:r w:rsidRPr="00574DEF">
        <w:rPr>
          <w:b/>
          <w:bCs/>
          <w:color w:val="000000" w:themeColor="text1"/>
        </w:rPr>
        <w:t>Supplementary Figures</w:t>
      </w:r>
    </w:p>
    <w:p w14:paraId="7CA38D1F" w14:textId="77777777" w:rsidR="006F6FAA" w:rsidRPr="00574DEF" w:rsidRDefault="006F6FAA" w:rsidP="006F6FAA">
      <w:pPr>
        <w:jc w:val="both"/>
      </w:pPr>
    </w:p>
    <w:p w14:paraId="2969D3C0" w14:textId="77777777" w:rsidR="006F6FAA" w:rsidRPr="00574DEF" w:rsidRDefault="006F6FAA" w:rsidP="006F6FAA">
      <w:pPr>
        <w:jc w:val="both"/>
        <w:rPr>
          <w:b/>
          <w:bCs/>
        </w:rPr>
      </w:pPr>
    </w:p>
    <w:p w14:paraId="5BED3F65" w14:textId="77777777" w:rsidR="006F6FAA" w:rsidRPr="00574DEF" w:rsidRDefault="006F6FAA" w:rsidP="006F6FAA">
      <w:pPr>
        <w:jc w:val="both"/>
      </w:pPr>
      <w:r w:rsidRPr="00574DEF">
        <w:rPr>
          <w:noProof/>
        </w:rPr>
        <w:drawing>
          <wp:inline distT="0" distB="0" distL="0" distR="0" wp14:anchorId="3C17158D" wp14:editId="5CA2A4FA">
            <wp:extent cx="5486400" cy="7391400"/>
            <wp:effectExtent l="0" t="0" r="0" b="0"/>
            <wp:docPr id="7"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pic:cNvPicPr>
                      <a:picLocks noChangeAspect="1" noChangeArrowheads="1"/>
                    </pic:cNvPicPr>
                  </pic:nvPicPr>
                  <pic:blipFill>
                    <a:blip r:embed="rId6"/>
                    <a:stretch>
                      <a:fillRect/>
                    </a:stretch>
                  </pic:blipFill>
                  <pic:spPr bwMode="auto">
                    <a:xfrm>
                      <a:off x="0" y="0"/>
                      <a:ext cx="5486400" cy="7391400"/>
                    </a:xfrm>
                    <a:prstGeom prst="rect">
                      <a:avLst/>
                    </a:prstGeom>
                  </pic:spPr>
                </pic:pic>
              </a:graphicData>
            </a:graphic>
          </wp:inline>
        </w:drawing>
      </w:r>
    </w:p>
    <w:p w14:paraId="37A5ECF2" w14:textId="77777777" w:rsidR="006F6FAA" w:rsidRPr="00574DEF" w:rsidRDefault="006F6FAA" w:rsidP="006F6FAA">
      <w:pPr>
        <w:jc w:val="both"/>
      </w:pPr>
      <w:r w:rsidRPr="00574DEF">
        <w:rPr>
          <w:b/>
          <w:bCs/>
          <w:color w:val="000000" w:themeColor="text1"/>
          <w:sz w:val="22"/>
          <w:szCs w:val="22"/>
        </w:rPr>
        <w:lastRenderedPageBreak/>
        <w:t xml:space="preserve">Figure S1: </w:t>
      </w:r>
      <w:r w:rsidRPr="00574DEF">
        <w:rPr>
          <w:color w:val="000000" w:themeColor="text1"/>
          <w:sz w:val="22"/>
          <w:szCs w:val="22"/>
        </w:rPr>
        <w:t xml:space="preserve">Violin plot representing A: Diversity (Shannon’s diversity), B: Richness (Observed species), C: Evenness (Pielou’s) in each delivery group and in different phases of menstrual cycle </w:t>
      </w:r>
      <w:r w:rsidRPr="00574DEF">
        <w:rPr>
          <w:color w:val="000000" w:themeColor="text1"/>
          <w:sz w:val="22"/>
          <w:szCs w:val="22"/>
          <w:lang w:val="en-GB"/>
        </w:rPr>
        <w:t>for the entire cohort</w:t>
      </w:r>
      <w:r w:rsidRPr="00574DEF">
        <w:rPr>
          <w:color w:val="000000" w:themeColor="text1"/>
          <w:sz w:val="22"/>
          <w:szCs w:val="22"/>
        </w:rPr>
        <w:t>.</w:t>
      </w:r>
      <w:r w:rsidRPr="00574DEF">
        <w:rPr>
          <w:b/>
          <w:bCs/>
          <w:color w:val="000000" w:themeColor="text1"/>
          <w:sz w:val="22"/>
          <w:szCs w:val="22"/>
        </w:rPr>
        <w:t xml:space="preserve"> </w:t>
      </w:r>
      <w:r w:rsidRPr="00574DEF">
        <w:rPr>
          <w:color w:val="000000" w:themeColor="text1"/>
          <w:sz w:val="22"/>
          <w:szCs w:val="22"/>
        </w:rPr>
        <w:t>Orange: Menstrual. Brown: Follicular. Pink: Luteal. Blue: Vaginal delivery. Purple: C-section</w:t>
      </w:r>
    </w:p>
    <w:p w14:paraId="737FBEED" w14:textId="77777777" w:rsidR="006F6FAA" w:rsidRPr="00574DEF" w:rsidRDefault="006F6FAA" w:rsidP="006F6FAA">
      <w:pPr>
        <w:jc w:val="both"/>
        <w:rPr>
          <w:color w:val="000000" w:themeColor="text1"/>
        </w:rPr>
      </w:pPr>
    </w:p>
    <w:p w14:paraId="06CC8116" w14:textId="77777777" w:rsidR="006F6FAA" w:rsidRPr="00574DEF" w:rsidRDefault="006F6FAA" w:rsidP="006F6FAA">
      <w:pPr>
        <w:jc w:val="both"/>
      </w:pPr>
      <w:r w:rsidRPr="00574DEF">
        <w:rPr>
          <w:noProof/>
        </w:rPr>
        <w:drawing>
          <wp:inline distT="0" distB="0" distL="0" distR="0" wp14:anchorId="669FF418" wp14:editId="21641E6D">
            <wp:extent cx="5486400" cy="6916420"/>
            <wp:effectExtent l="0" t="0" r="0" b="0"/>
            <wp:docPr id="8"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pic:cNvPicPr>
                      <a:picLocks noChangeAspect="1" noChangeArrowheads="1"/>
                    </pic:cNvPicPr>
                  </pic:nvPicPr>
                  <pic:blipFill>
                    <a:blip r:embed="rId7"/>
                    <a:stretch>
                      <a:fillRect/>
                    </a:stretch>
                  </pic:blipFill>
                  <pic:spPr bwMode="auto">
                    <a:xfrm>
                      <a:off x="0" y="0"/>
                      <a:ext cx="5486400" cy="6916420"/>
                    </a:xfrm>
                    <a:prstGeom prst="rect">
                      <a:avLst/>
                    </a:prstGeom>
                  </pic:spPr>
                </pic:pic>
              </a:graphicData>
            </a:graphic>
          </wp:inline>
        </w:drawing>
      </w:r>
    </w:p>
    <w:p w14:paraId="6E80ED8D" w14:textId="77777777" w:rsidR="006F6FAA" w:rsidRPr="00574DEF" w:rsidRDefault="006F6FAA" w:rsidP="006F6FAA">
      <w:pPr>
        <w:jc w:val="both"/>
      </w:pPr>
      <w:r w:rsidRPr="00574DEF">
        <w:rPr>
          <w:b/>
          <w:bCs/>
          <w:color w:val="000000" w:themeColor="text1"/>
          <w:sz w:val="22"/>
          <w:szCs w:val="22"/>
        </w:rPr>
        <w:t xml:space="preserve">Figure S2: </w:t>
      </w:r>
      <w:r w:rsidRPr="00574DEF">
        <w:rPr>
          <w:color w:val="000000" w:themeColor="text1"/>
          <w:sz w:val="22"/>
          <w:szCs w:val="22"/>
        </w:rPr>
        <w:t xml:space="preserve">Violin plot representing A: Diversity (Shannon’s diversity), B: Richness (Observed species), C: Evenness (Pielou’s) in each delivery group and in different phases of menstrual cycle, </w:t>
      </w:r>
      <w:r w:rsidRPr="00574DEF">
        <w:rPr>
          <w:color w:val="000000" w:themeColor="text1"/>
          <w:sz w:val="22"/>
          <w:szCs w:val="22"/>
          <w:lang w:val="en-GB"/>
        </w:rPr>
        <w:t>excluding smokers, heavy drinkers, cannabis and snus users and participants with known somatic disease.</w:t>
      </w:r>
    </w:p>
    <w:p w14:paraId="63261BC7" w14:textId="77777777" w:rsidR="006F6FAA" w:rsidRPr="00574DEF" w:rsidRDefault="006F6FAA" w:rsidP="006F6FAA">
      <w:pPr>
        <w:jc w:val="both"/>
      </w:pPr>
      <w:r w:rsidRPr="00574DEF">
        <w:rPr>
          <w:color w:val="000000" w:themeColor="text1"/>
          <w:sz w:val="22"/>
          <w:szCs w:val="22"/>
        </w:rPr>
        <w:t>Orange: Menstrual. Brown: Follicular. Pink: Luteal. Blue: Vaginal delivery. Purple: C-section</w:t>
      </w:r>
    </w:p>
    <w:p w14:paraId="48048E2A" w14:textId="77777777" w:rsidR="006F6FAA" w:rsidRPr="00574DEF" w:rsidRDefault="006F6FAA" w:rsidP="006F6FAA">
      <w:pPr>
        <w:jc w:val="both"/>
        <w:rPr>
          <w:color w:val="000000" w:themeColor="text1"/>
          <w:sz w:val="22"/>
          <w:szCs w:val="22"/>
          <w:lang w:val="en-GB"/>
        </w:rPr>
      </w:pPr>
    </w:p>
    <w:p w14:paraId="71CEB82C" w14:textId="77777777" w:rsidR="006F6FAA" w:rsidRPr="00574DEF" w:rsidRDefault="006F6FAA" w:rsidP="006F6FAA">
      <w:pPr>
        <w:jc w:val="both"/>
        <w:rPr>
          <w:color w:val="000000" w:themeColor="text1"/>
          <w:sz w:val="22"/>
          <w:szCs w:val="22"/>
          <w:lang w:val="en-GB"/>
        </w:rPr>
      </w:pPr>
    </w:p>
    <w:p w14:paraId="227C64CD" w14:textId="77777777" w:rsidR="006F6FAA" w:rsidRPr="00574DEF" w:rsidRDefault="006F6FAA" w:rsidP="006F6FAA">
      <w:pPr>
        <w:jc w:val="both"/>
      </w:pPr>
      <w:r w:rsidRPr="00574DEF">
        <w:rPr>
          <w:noProof/>
        </w:rPr>
        <w:drawing>
          <wp:inline distT="0" distB="0" distL="0" distR="0" wp14:anchorId="18F0100B" wp14:editId="4CA444AC">
            <wp:extent cx="6700520" cy="429387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8"/>
                    <a:stretch>
                      <a:fillRect/>
                    </a:stretch>
                  </pic:blipFill>
                  <pic:spPr bwMode="auto">
                    <a:xfrm>
                      <a:off x="0" y="0"/>
                      <a:ext cx="6700520" cy="4293870"/>
                    </a:xfrm>
                    <a:prstGeom prst="rect">
                      <a:avLst/>
                    </a:prstGeom>
                  </pic:spPr>
                </pic:pic>
              </a:graphicData>
            </a:graphic>
          </wp:inline>
        </w:drawing>
      </w:r>
    </w:p>
    <w:p w14:paraId="1933C6D8" w14:textId="77777777" w:rsidR="006F6FAA" w:rsidRPr="00574DEF" w:rsidRDefault="006F6FAA" w:rsidP="006F6FAA">
      <w:pPr>
        <w:jc w:val="both"/>
      </w:pPr>
      <w:r w:rsidRPr="00574DEF">
        <w:rPr>
          <w:b/>
          <w:bCs/>
          <w:color w:val="000000" w:themeColor="text1"/>
          <w:sz w:val="22"/>
          <w:szCs w:val="22"/>
          <w:lang w:val="en-GB"/>
        </w:rPr>
        <w:t>Figure S3:</w:t>
      </w:r>
      <w:r w:rsidRPr="00574DEF">
        <w:rPr>
          <w:color w:val="000000" w:themeColor="text1"/>
          <w:sz w:val="22"/>
          <w:szCs w:val="22"/>
          <w:lang w:val="en-GB"/>
        </w:rPr>
        <w:t xml:space="preserve"> </w:t>
      </w:r>
      <w:r w:rsidRPr="00574DEF">
        <w:rPr>
          <w:rFonts w:eastAsia="Calibri"/>
          <w:b/>
          <w:bCs/>
          <w:sz w:val="22"/>
          <w:szCs w:val="22"/>
          <w:lang w:val="en-GB" w:eastAsia="en-US"/>
        </w:rPr>
        <w:t>Beta diversity analysis of salivary microbiota between pregnant and non-pregnant women.</w:t>
      </w:r>
      <w:r w:rsidRPr="00574DEF">
        <w:rPr>
          <w:rFonts w:eastAsia="Calibri"/>
          <w:sz w:val="22"/>
          <w:szCs w:val="22"/>
          <w:lang w:val="en-GB" w:eastAsia="en-US"/>
        </w:rPr>
        <w:t xml:space="preserve"> The plot shows beta diversity calculated using Aitchison distance, visualized through Principal Component Analysis (PCA). PC1 and PC2 represent the first two principal components. Grey arrows with numbers indicate the species that most strongly influence the principal components. Each point represents an individual sample, with golden yellow circles representing non-pregnant women and purple triangles representing pregnant women. The numbered species and their corresponding names are displayed alongside the plot.</w:t>
      </w:r>
    </w:p>
    <w:p w14:paraId="7260130C" w14:textId="77777777" w:rsidR="006F6FAA" w:rsidRPr="00574DEF" w:rsidRDefault="006F6FAA" w:rsidP="006F6FAA">
      <w:pPr>
        <w:jc w:val="both"/>
        <w:rPr>
          <w:rFonts w:cstheme="minorHAnsi"/>
          <w:b/>
          <w:bCs/>
          <w:sz w:val="22"/>
          <w:szCs w:val="22"/>
        </w:rPr>
      </w:pPr>
    </w:p>
    <w:p w14:paraId="6AC7B79B" w14:textId="77777777" w:rsidR="006F6FAA" w:rsidRPr="00574DEF" w:rsidRDefault="006F6FAA" w:rsidP="006F6FAA">
      <w:pPr>
        <w:jc w:val="both"/>
      </w:pPr>
      <w:r w:rsidRPr="00574DEF">
        <w:rPr>
          <w:noProof/>
        </w:rPr>
        <w:lastRenderedPageBreak/>
        <w:drawing>
          <wp:inline distT="0" distB="0" distL="0" distR="0" wp14:anchorId="54EB49AF" wp14:editId="61769830">
            <wp:extent cx="5943600" cy="3566160"/>
            <wp:effectExtent l="0" t="0" r="0" b="0"/>
            <wp:docPr id="10"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pic:cNvPicPr>
                      <a:picLocks noChangeAspect="1" noChangeArrowheads="1"/>
                    </pic:cNvPicPr>
                  </pic:nvPicPr>
                  <pic:blipFill>
                    <a:blip r:embed="rId9"/>
                    <a:stretch>
                      <a:fillRect/>
                    </a:stretch>
                  </pic:blipFill>
                  <pic:spPr bwMode="auto">
                    <a:xfrm>
                      <a:off x="0" y="0"/>
                      <a:ext cx="5943600" cy="3566160"/>
                    </a:xfrm>
                    <a:prstGeom prst="rect">
                      <a:avLst/>
                    </a:prstGeom>
                  </pic:spPr>
                </pic:pic>
              </a:graphicData>
            </a:graphic>
          </wp:inline>
        </w:drawing>
      </w:r>
    </w:p>
    <w:p w14:paraId="0ADBA614" w14:textId="77777777" w:rsidR="006F6FAA" w:rsidRPr="00574DEF" w:rsidRDefault="006F6FAA" w:rsidP="006F6FAA">
      <w:pPr>
        <w:jc w:val="both"/>
      </w:pPr>
      <w:r w:rsidRPr="00574DEF">
        <w:rPr>
          <w:b/>
          <w:bCs/>
          <w:color w:val="000000" w:themeColor="text1"/>
          <w:sz w:val="22"/>
          <w:szCs w:val="22"/>
        </w:rPr>
        <w:t xml:space="preserve">Figure S4: </w:t>
      </w:r>
      <w:r w:rsidRPr="00574DEF">
        <w:rPr>
          <w:color w:val="000000" w:themeColor="text1"/>
          <w:sz w:val="22"/>
          <w:szCs w:val="22"/>
          <w:lang w:val="en-GB"/>
        </w:rPr>
        <w:t xml:space="preserve">Violin plot representing the </w:t>
      </w:r>
      <w:proofErr w:type="spellStart"/>
      <w:r w:rsidRPr="00574DEF">
        <w:rPr>
          <w:color w:val="000000" w:themeColor="text1"/>
          <w:sz w:val="22"/>
          <w:szCs w:val="22"/>
          <w:lang w:val="en-GB"/>
        </w:rPr>
        <w:t>Socransky´s</w:t>
      </w:r>
      <w:proofErr w:type="spellEnd"/>
      <w:r w:rsidRPr="00574DEF">
        <w:rPr>
          <w:color w:val="000000" w:themeColor="text1"/>
          <w:sz w:val="22"/>
          <w:szCs w:val="22"/>
          <w:lang w:val="en-GB"/>
        </w:rPr>
        <w:t xml:space="preserve"> </w:t>
      </w:r>
      <w:proofErr w:type="spellStart"/>
      <w:r w:rsidRPr="00574DEF">
        <w:rPr>
          <w:color w:val="000000" w:themeColor="text1"/>
          <w:sz w:val="22"/>
          <w:szCs w:val="22"/>
          <w:lang w:val="en-GB"/>
        </w:rPr>
        <w:t>color</w:t>
      </w:r>
      <w:proofErr w:type="spellEnd"/>
      <w:r w:rsidRPr="00574DEF">
        <w:rPr>
          <w:color w:val="000000" w:themeColor="text1"/>
          <w:sz w:val="22"/>
          <w:szCs w:val="22"/>
          <w:lang w:val="en-GB"/>
        </w:rPr>
        <w:t xml:space="preserve"> complex relative abundances when excluding smokers, heavy drinkers, cannabis and snus users and participants with known somatic disease.</w:t>
      </w:r>
    </w:p>
    <w:p w14:paraId="277F0EFB" w14:textId="77777777" w:rsidR="006F6FAA" w:rsidRPr="00574DEF" w:rsidRDefault="006F6FAA" w:rsidP="006F6FAA">
      <w:pPr>
        <w:jc w:val="both"/>
        <w:rPr>
          <w:b/>
          <w:bCs/>
          <w:color w:val="000000" w:themeColor="text1"/>
        </w:rPr>
      </w:pPr>
    </w:p>
    <w:p w14:paraId="506E721F" w14:textId="77777777" w:rsidR="006F6FAA" w:rsidRPr="00574DEF" w:rsidRDefault="006F6FAA" w:rsidP="006F6FAA">
      <w:pPr>
        <w:jc w:val="both"/>
        <w:rPr>
          <w:b/>
          <w:bCs/>
          <w:color w:val="000000" w:themeColor="text1"/>
        </w:rPr>
      </w:pPr>
    </w:p>
    <w:p w14:paraId="381CFF48" w14:textId="77777777" w:rsidR="006F6FAA" w:rsidRPr="00574DEF" w:rsidRDefault="006F6FAA" w:rsidP="006F6FAA">
      <w:pPr>
        <w:jc w:val="both"/>
        <w:rPr>
          <w:rFonts w:cstheme="minorHAnsi"/>
          <w:b/>
          <w:bCs/>
        </w:rPr>
      </w:pPr>
    </w:p>
    <w:p w14:paraId="4B7A35D6" w14:textId="77777777" w:rsidR="006F6FAA" w:rsidRPr="00574DEF" w:rsidRDefault="006F6FAA" w:rsidP="006F6FAA">
      <w:pPr>
        <w:jc w:val="both"/>
      </w:pPr>
      <w:r w:rsidRPr="00574DEF">
        <w:rPr>
          <w:noProof/>
        </w:rPr>
        <w:lastRenderedPageBreak/>
        <w:drawing>
          <wp:inline distT="0" distB="0" distL="0" distR="0" wp14:anchorId="1DB94C92" wp14:editId="68BB3C6D">
            <wp:extent cx="5819140" cy="8229600"/>
            <wp:effectExtent l="0" t="0" r="0" b="0"/>
            <wp:docPr id="11"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
                    <pic:cNvPicPr>
                      <a:picLocks noChangeAspect="1" noChangeArrowheads="1"/>
                    </pic:cNvPicPr>
                  </pic:nvPicPr>
                  <pic:blipFill>
                    <a:blip r:embed="rId10"/>
                    <a:stretch>
                      <a:fillRect/>
                    </a:stretch>
                  </pic:blipFill>
                  <pic:spPr bwMode="auto">
                    <a:xfrm>
                      <a:off x="0" y="0"/>
                      <a:ext cx="5819140" cy="8229600"/>
                    </a:xfrm>
                    <a:prstGeom prst="rect">
                      <a:avLst/>
                    </a:prstGeom>
                  </pic:spPr>
                </pic:pic>
              </a:graphicData>
            </a:graphic>
          </wp:inline>
        </w:drawing>
      </w:r>
    </w:p>
    <w:p w14:paraId="2A7033ED" w14:textId="77777777" w:rsidR="006F6FAA" w:rsidRPr="00574DEF" w:rsidRDefault="006F6FAA" w:rsidP="006F6FAA">
      <w:pPr>
        <w:jc w:val="both"/>
        <w:rPr>
          <w:rFonts w:cstheme="minorHAnsi"/>
          <w:b/>
          <w:bCs/>
        </w:rPr>
      </w:pPr>
    </w:p>
    <w:p w14:paraId="2D84D521" w14:textId="77777777" w:rsidR="006F6FAA" w:rsidRPr="00574DEF" w:rsidRDefault="006F6FAA" w:rsidP="006F6FAA">
      <w:pPr>
        <w:pStyle w:val="HTMLPreformatted"/>
      </w:pPr>
      <w:r w:rsidRPr="00574DEF">
        <w:rPr>
          <w:rFonts w:ascii="Times New Roman" w:hAnsi="Times New Roman" w:cs="Times New Roman"/>
          <w:b/>
          <w:bCs/>
          <w:color w:val="000000" w:themeColor="text1"/>
          <w:sz w:val="22"/>
          <w:szCs w:val="22"/>
        </w:rPr>
        <w:t>Figure S5</w:t>
      </w:r>
      <w:r w:rsidRPr="00574DEF">
        <w:rPr>
          <w:rFonts w:ascii="Times New Roman" w:hAnsi="Times New Roman" w:cs="Times New Roman"/>
          <w:color w:val="000000" w:themeColor="text1"/>
          <w:sz w:val="22"/>
          <w:szCs w:val="22"/>
        </w:rPr>
        <w:t>:</w:t>
      </w:r>
      <w:r w:rsidRPr="00574DEF">
        <w:rPr>
          <w:rFonts w:ascii="Times New Roman" w:hAnsi="Times New Roman" w:cs="Times New Roman"/>
          <w:b/>
          <w:bCs/>
          <w:color w:val="000000" w:themeColor="text1"/>
          <w:sz w:val="22"/>
          <w:szCs w:val="22"/>
        </w:rPr>
        <w:t xml:space="preserve"> (A) Violin plot representing the distribution of red complex microbes in pregnant and non-pregnant saliva samples.</w:t>
      </w:r>
      <w:r w:rsidRPr="00574DEF">
        <w:rPr>
          <w:rFonts w:ascii="Times New Roman" w:hAnsi="Times New Roman" w:cs="Times New Roman"/>
          <w:color w:val="000000" w:themeColor="text1"/>
          <w:sz w:val="22"/>
          <w:szCs w:val="22"/>
        </w:rPr>
        <w:t xml:space="preserve"> Each colour shades represents specific species which is displayed on the right side of the plot. The relative abundances of </w:t>
      </w:r>
      <w:r w:rsidRPr="00574DEF">
        <w:rPr>
          <w:rFonts w:ascii="Times New Roman" w:hAnsi="Times New Roman" w:cs="Times New Roman"/>
          <w:i/>
          <w:iCs/>
          <w:color w:val="000000" w:themeColor="text1"/>
          <w:sz w:val="22"/>
          <w:szCs w:val="22"/>
        </w:rPr>
        <w:t>Tannerella forsythia</w:t>
      </w:r>
      <w:r w:rsidRPr="00574DEF">
        <w:rPr>
          <w:rFonts w:ascii="Times New Roman" w:hAnsi="Times New Roman" w:cs="Times New Roman"/>
          <w:color w:val="000000" w:themeColor="text1"/>
          <w:sz w:val="22"/>
          <w:szCs w:val="22"/>
        </w:rPr>
        <w:t xml:space="preserve"> and </w:t>
      </w:r>
      <w:r w:rsidRPr="00574DEF">
        <w:rPr>
          <w:rFonts w:ascii="Times New Roman" w:hAnsi="Times New Roman" w:cs="Times New Roman"/>
          <w:i/>
          <w:iCs/>
          <w:color w:val="000000" w:themeColor="text1"/>
          <w:sz w:val="22"/>
          <w:szCs w:val="22"/>
        </w:rPr>
        <w:t>Porphyromonas gingivalis</w:t>
      </w:r>
      <w:r w:rsidRPr="00574DEF">
        <w:rPr>
          <w:rFonts w:ascii="Times New Roman" w:hAnsi="Times New Roman" w:cs="Times New Roman"/>
          <w:color w:val="000000" w:themeColor="text1"/>
          <w:sz w:val="22"/>
          <w:szCs w:val="22"/>
        </w:rPr>
        <w:t xml:space="preserve"> were found to differ significantly between pregnant and non-pregnant women, with p values of 0.004 and 0.002, respectively. </w:t>
      </w:r>
    </w:p>
    <w:p w14:paraId="5BF11825" w14:textId="77777777" w:rsidR="006F6FAA" w:rsidRPr="00574DEF" w:rsidRDefault="006F6FAA" w:rsidP="006F6FAA">
      <w:pPr>
        <w:pStyle w:val="HTMLPreformatted"/>
      </w:pPr>
      <w:r w:rsidRPr="00574DEF">
        <w:rPr>
          <w:rFonts w:ascii="Times New Roman" w:hAnsi="Times New Roman" w:cs="Times New Roman"/>
          <w:b/>
          <w:bCs/>
          <w:color w:val="000000" w:themeColor="text1"/>
          <w:sz w:val="22"/>
          <w:szCs w:val="22"/>
        </w:rPr>
        <w:t>(B) The Socransky group's green complex microorganism distribution in saliva samples from pregnant and non-pregnant women.</w:t>
      </w:r>
      <w:r w:rsidRPr="00574DEF">
        <w:rPr>
          <w:rFonts w:ascii="Times New Roman" w:hAnsi="Times New Roman" w:cs="Times New Roman"/>
          <w:color w:val="000000" w:themeColor="text1"/>
          <w:sz w:val="22"/>
          <w:szCs w:val="22"/>
        </w:rPr>
        <w:t xml:space="preserve"> Each shade of green represents a specific species, which is displayed on the right side of the plot. The relative abundance of </w:t>
      </w:r>
      <w:r w:rsidRPr="00574DEF">
        <w:rPr>
          <w:rFonts w:ascii="Times New Roman" w:hAnsi="Times New Roman" w:cs="Times New Roman"/>
          <w:i/>
          <w:iCs/>
          <w:color w:val="000000" w:themeColor="text1"/>
          <w:sz w:val="22"/>
          <w:szCs w:val="22"/>
        </w:rPr>
        <w:t>Capnocytophaga sputigena</w:t>
      </w:r>
      <w:r w:rsidRPr="00574DEF">
        <w:rPr>
          <w:rFonts w:ascii="Times New Roman" w:hAnsi="Times New Roman" w:cs="Times New Roman"/>
          <w:color w:val="000000" w:themeColor="text1"/>
          <w:sz w:val="22"/>
          <w:szCs w:val="22"/>
        </w:rPr>
        <w:t xml:space="preserve"> and </w:t>
      </w:r>
      <w:r w:rsidRPr="00574DEF">
        <w:rPr>
          <w:rFonts w:ascii="Times New Roman" w:hAnsi="Times New Roman" w:cs="Times New Roman"/>
          <w:i/>
          <w:iCs/>
          <w:color w:val="000000" w:themeColor="text1"/>
          <w:sz w:val="22"/>
          <w:szCs w:val="22"/>
        </w:rPr>
        <w:t>Campylobacter concisus</w:t>
      </w:r>
      <w:r w:rsidRPr="00574DEF">
        <w:rPr>
          <w:rFonts w:ascii="Times New Roman" w:hAnsi="Times New Roman" w:cs="Times New Roman"/>
          <w:color w:val="000000" w:themeColor="text1"/>
          <w:sz w:val="22"/>
          <w:szCs w:val="22"/>
        </w:rPr>
        <w:t xml:space="preserve"> were found to differ significantly between pregnant and non-pregnant women, with p values of 0.0001 and 0.001 respectively. </w:t>
      </w:r>
    </w:p>
    <w:p w14:paraId="4B383662" w14:textId="77777777" w:rsidR="006F6FAA" w:rsidRPr="00574DEF" w:rsidRDefault="006F6FAA" w:rsidP="006F6FAA">
      <w:pPr>
        <w:pStyle w:val="HTMLPreformatted"/>
      </w:pPr>
      <w:r w:rsidRPr="00574DEF">
        <w:rPr>
          <w:rFonts w:ascii="Times New Roman" w:hAnsi="Times New Roman" w:cs="Times New Roman"/>
          <w:color w:val="000000" w:themeColor="text1"/>
          <w:sz w:val="22"/>
          <w:szCs w:val="22"/>
        </w:rPr>
        <w:t xml:space="preserve">(C) </w:t>
      </w:r>
      <w:r w:rsidRPr="00574DEF">
        <w:rPr>
          <w:rFonts w:ascii="Times New Roman" w:hAnsi="Times New Roman" w:cs="Times New Roman"/>
          <w:b/>
          <w:bCs/>
          <w:color w:val="000000" w:themeColor="text1"/>
          <w:sz w:val="22"/>
          <w:szCs w:val="22"/>
        </w:rPr>
        <w:t xml:space="preserve">Violin plot representing the distribution of purple complex microbes in pregnant and non-pregnant saliva samples. </w:t>
      </w:r>
      <w:r w:rsidRPr="00574DEF">
        <w:rPr>
          <w:rFonts w:ascii="Times New Roman" w:eastAsia="Calibri" w:hAnsi="Times New Roman" w:cs="Times New Roman"/>
          <w:sz w:val="22"/>
          <w:szCs w:val="22"/>
          <w:lang w:val="en-GB" w:eastAsia="en-US"/>
        </w:rPr>
        <w:t xml:space="preserve">Each colour shades represents specific species which is displayed on the right side of the plot. The relative abundances of </w:t>
      </w:r>
      <w:proofErr w:type="spellStart"/>
      <w:r w:rsidRPr="00574DEF">
        <w:rPr>
          <w:rFonts w:ascii="Times New Roman" w:eastAsia="Calibri" w:hAnsi="Times New Roman" w:cs="Times New Roman"/>
          <w:i/>
          <w:iCs/>
          <w:sz w:val="22"/>
          <w:szCs w:val="22"/>
          <w:lang w:val="en-GB" w:eastAsia="en-US"/>
        </w:rPr>
        <w:t>Veillonella</w:t>
      </w:r>
      <w:proofErr w:type="spellEnd"/>
      <w:r w:rsidRPr="00574DEF">
        <w:rPr>
          <w:rFonts w:ascii="Times New Roman" w:eastAsia="Calibri" w:hAnsi="Times New Roman" w:cs="Times New Roman"/>
          <w:i/>
          <w:iCs/>
          <w:sz w:val="22"/>
          <w:szCs w:val="22"/>
          <w:lang w:val="en-GB" w:eastAsia="en-US"/>
        </w:rPr>
        <w:t xml:space="preserve"> parvula</w:t>
      </w:r>
      <w:r w:rsidRPr="00574DEF">
        <w:rPr>
          <w:rFonts w:ascii="Times New Roman" w:eastAsia="Calibri" w:hAnsi="Times New Roman" w:cs="Times New Roman"/>
          <w:sz w:val="22"/>
          <w:szCs w:val="22"/>
          <w:lang w:val="en-GB" w:eastAsia="en-US"/>
        </w:rPr>
        <w:t xml:space="preserve"> and </w:t>
      </w:r>
      <w:r w:rsidRPr="00574DEF">
        <w:rPr>
          <w:rFonts w:ascii="Times New Roman" w:eastAsia="Calibri" w:hAnsi="Times New Roman" w:cs="Times New Roman"/>
          <w:i/>
          <w:iCs/>
          <w:sz w:val="22"/>
          <w:szCs w:val="22"/>
          <w:lang w:val="en-GB" w:eastAsia="en-US"/>
        </w:rPr>
        <w:t xml:space="preserve">Actinomyces </w:t>
      </w:r>
      <w:proofErr w:type="spellStart"/>
      <w:r w:rsidRPr="00574DEF">
        <w:rPr>
          <w:rFonts w:ascii="Times New Roman" w:eastAsia="Calibri" w:hAnsi="Times New Roman" w:cs="Times New Roman"/>
          <w:i/>
          <w:iCs/>
          <w:sz w:val="22"/>
          <w:szCs w:val="22"/>
          <w:lang w:val="en-GB" w:eastAsia="en-US"/>
        </w:rPr>
        <w:t>odontolyticus</w:t>
      </w:r>
      <w:proofErr w:type="spellEnd"/>
      <w:r w:rsidRPr="00574DEF">
        <w:rPr>
          <w:rFonts w:ascii="Times New Roman" w:eastAsia="Calibri" w:hAnsi="Times New Roman" w:cs="Times New Roman"/>
          <w:sz w:val="22"/>
          <w:szCs w:val="22"/>
          <w:lang w:val="en-GB" w:eastAsia="en-US"/>
        </w:rPr>
        <w:t xml:space="preserve"> were found to differ significantly between pregnant and non-pregnant women, with p values of 0.05 and </w:t>
      </w:r>
      <w:r w:rsidRPr="00574DEF">
        <w:rPr>
          <w:rFonts w:ascii="Times New Roman" w:hAnsi="Times New Roman" w:cs="Times New Roman"/>
          <w:sz w:val="22"/>
          <w:szCs w:val="22"/>
        </w:rPr>
        <w:t>1.4e-</w:t>
      </w:r>
      <w:r w:rsidRPr="00574DEF">
        <w:rPr>
          <w:rFonts w:ascii="Times New Roman" w:hAnsi="Times New Roman" w:cs="Times New Roman"/>
          <w:sz w:val="22"/>
          <w:szCs w:val="22"/>
          <w:vertAlign w:val="superscript"/>
        </w:rPr>
        <w:t>05</w:t>
      </w:r>
      <w:r w:rsidRPr="00574DEF">
        <w:rPr>
          <w:rFonts w:ascii="Times New Roman" w:eastAsia="Calibri" w:hAnsi="Times New Roman" w:cs="Times New Roman"/>
          <w:sz w:val="22"/>
          <w:szCs w:val="22"/>
          <w:lang w:val="en-GB" w:eastAsia="en-US"/>
        </w:rPr>
        <w:t>, respectively.</w:t>
      </w:r>
    </w:p>
    <w:p w14:paraId="468B1981" w14:textId="77777777" w:rsidR="006F6FAA" w:rsidRPr="00574DEF" w:rsidRDefault="006F6FAA" w:rsidP="006F6FAA">
      <w:pPr>
        <w:jc w:val="both"/>
        <w:rPr>
          <w:color w:val="000000" w:themeColor="text1"/>
          <w:sz w:val="22"/>
          <w:szCs w:val="22"/>
        </w:rPr>
      </w:pPr>
    </w:p>
    <w:p w14:paraId="615E43C7" w14:textId="77777777" w:rsidR="006F6FAA" w:rsidRPr="00574DEF" w:rsidRDefault="006F6FAA" w:rsidP="006F6FAA">
      <w:pPr>
        <w:jc w:val="both"/>
        <w:rPr>
          <w:color w:val="000000" w:themeColor="text1"/>
        </w:rPr>
      </w:pPr>
    </w:p>
    <w:p w14:paraId="785B01EE" w14:textId="77777777" w:rsidR="006F6FAA" w:rsidRPr="00574DEF" w:rsidRDefault="006F6FAA" w:rsidP="006F6FAA">
      <w:pPr>
        <w:jc w:val="both"/>
        <w:rPr>
          <w:color w:val="000000" w:themeColor="text1"/>
        </w:rPr>
      </w:pPr>
    </w:p>
    <w:p w14:paraId="56660317" w14:textId="77777777" w:rsidR="006F6FAA" w:rsidRPr="00574DEF" w:rsidRDefault="006F6FAA" w:rsidP="006F6FAA"/>
    <w:p w14:paraId="22917E52" w14:textId="77777777" w:rsidR="006F6FAA" w:rsidRPr="00574DEF" w:rsidRDefault="006F6FAA" w:rsidP="006F6FAA"/>
    <w:p w14:paraId="42A7D805" w14:textId="77777777" w:rsidR="006F6FAA" w:rsidRDefault="006F6FAA" w:rsidP="006F6FAA">
      <w:r w:rsidRPr="00574DEF">
        <w:fldChar w:fldCharType="begin"/>
      </w:r>
      <w:r w:rsidRPr="00574DEF">
        <w:instrText>ADDIN EN.REFLIST</w:instrText>
      </w:r>
      <w:r w:rsidRPr="00574DEF">
        <w:fldChar w:fldCharType="separate"/>
      </w:r>
      <w:r w:rsidRPr="00574DEF">
        <w:fldChar w:fldCharType="end"/>
      </w:r>
    </w:p>
    <w:p w14:paraId="4B839569" w14:textId="77777777" w:rsidR="00971DE8" w:rsidRDefault="00971DE8"/>
    <w:sectPr w:rsidR="00971DE8" w:rsidSect="006F6FAA">
      <w:footerReference w:type="even" r:id="rId11"/>
      <w:footerReference w:type="default" r:id="rId12"/>
      <w:footerReference w:type="first" r:id="rId13"/>
      <w:pgSz w:w="12240" w:h="15840"/>
      <w:pgMar w:top="1440" w:right="1440" w:bottom="1440" w:left="1440" w:header="0" w:footer="0" w:gutter="0"/>
      <w:lnNumType w:countBy="1" w:distance="288" w:restart="continuou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8B2DB" w14:textId="77777777" w:rsidR="00A17ADD" w:rsidRDefault="00A17ADD">
      <w:r>
        <w:separator/>
      </w:r>
    </w:p>
  </w:endnote>
  <w:endnote w:type="continuationSeparator" w:id="0">
    <w:p w14:paraId="3B31C0D4" w14:textId="77777777" w:rsidR="00A17ADD" w:rsidRDefault="00A17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256900"/>
      <w:docPartObj>
        <w:docPartGallery w:val="Page Numbers (Bottom of Page)"/>
        <w:docPartUnique/>
      </w:docPartObj>
    </w:sdtPr>
    <w:sdtContent>
      <w:p w14:paraId="720A150F" w14:textId="77777777" w:rsidR="006F6FAA" w:rsidRDefault="006F6FAA">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p w14:paraId="07D6DD22" w14:textId="77777777" w:rsidR="006F6FAA" w:rsidRDefault="006F6F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81876"/>
      <w:docPartObj>
        <w:docPartGallery w:val="Page Numbers (Bottom of Page)"/>
        <w:docPartUnique/>
      </w:docPartObj>
    </w:sdtPr>
    <w:sdtContent>
      <w:p w14:paraId="4211CA22" w14:textId="77777777" w:rsidR="006F6FAA" w:rsidRDefault="006F6FAA">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t>4</w:t>
        </w:r>
        <w:r>
          <w:rPr>
            <w:rStyle w:val="PageNumber"/>
          </w:rPr>
          <w:fldChar w:fldCharType="end"/>
        </w:r>
      </w:p>
    </w:sdtContent>
  </w:sdt>
  <w:p w14:paraId="3F845D55" w14:textId="77777777" w:rsidR="006F6FAA" w:rsidRDefault="006F6FA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962925"/>
      <w:docPartObj>
        <w:docPartGallery w:val="Page Numbers (Bottom of Page)"/>
        <w:docPartUnique/>
      </w:docPartObj>
    </w:sdtPr>
    <w:sdtContent>
      <w:p w14:paraId="3A004B02" w14:textId="77777777" w:rsidR="006F6FAA" w:rsidRDefault="006F6FAA">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t>4</w:t>
        </w:r>
        <w:r>
          <w:rPr>
            <w:rStyle w:val="PageNumber"/>
          </w:rPr>
          <w:fldChar w:fldCharType="end"/>
        </w:r>
      </w:p>
    </w:sdtContent>
  </w:sdt>
  <w:p w14:paraId="384A614C" w14:textId="77777777" w:rsidR="006F6FAA" w:rsidRDefault="006F6F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47ACE" w14:textId="77777777" w:rsidR="00A17ADD" w:rsidRDefault="00A17ADD">
      <w:r>
        <w:separator/>
      </w:r>
    </w:p>
  </w:footnote>
  <w:footnote w:type="continuationSeparator" w:id="0">
    <w:p w14:paraId="5B81F8D5" w14:textId="77777777" w:rsidR="00A17ADD" w:rsidRDefault="00A17A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FAA"/>
    <w:rsid w:val="00017C8B"/>
    <w:rsid w:val="00030376"/>
    <w:rsid w:val="00030F2B"/>
    <w:rsid w:val="000312D3"/>
    <w:rsid w:val="00034188"/>
    <w:rsid w:val="00035509"/>
    <w:rsid w:val="0006365F"/>
    <w:rsid w:val="000748BC"/>
    <w:rsid w:val="00075859"/>
    <w:rsid w:val="000802A7"/>
    <w:rsid w:val="00087749"/>
    <w:rsid w:val="00096152"/>
    <w:rsid w:val="000C4FFA"/>
    <w:rsid w:val="00102C59"/>
    <w:rsid w:val="00105C73"/>
    <w:rsid w:val="001068F6"/>
    <w:rsid w:val="001136D4"/>
    <w:rsid w:val="00146C81"/>
    <w:rsid w:val="001511F9"/>
    <w:rsid w:val="00176CE4"/>
    <w:rsid w:val="0018083F"/>
    <w:rsid w:val="001839C9"/>
    <w:rsid w:val="00196B99"/>
    <w:rsid w:val="001A7789"/>
    <w:rsid w:val="001C7B17"/>
    <w:rsid w:val="001D77F0"/>
    <w:rsid w:val="001F032A"/>
    <w:rsid w:val="002025E0"/>
    <w:rsid w:val="002428B5"/>
    <w:rsid w:val="002446F5"/>
    <w:rsid w:val="00247C9B"/>
    <w:rsid w:val="00287B5B"/>
    <w:rsid w:val="002971D1"/>
    <w:rsid w:val="002B0447"/>
    <w:rsid w:val="002B75A2"/>
    <w:rsid w:val="002B767D"/>
    <w:rsid w:val="002D241C"/>
    <w:rsid w:val="002E00C7"/>
    <w:rsid w:val="00310884"/>
    <w:rsid w:val="00334572"/>
    <w:rsid w:val="0033659A"/>
    <w:rsid w:val="003370CF"/>
    <w:rsid w:val="00355767"/>
    <w:rsid w:val="00361558"/>
    <w:rsid w:val="0036467B"/>
    <w:rsid w:val="00367E04"/>
    <w:rsid w:val="0037259B"/>
    <w:rsid w:val="00382F99"/>
    <w:rsid w:val="0039115B"/>
    <w:rsid w:val="003A40C5"/>
    <w:rsid w:val="003B7F25"/>
    <w:rsid w:val="003C2495"/>
    <w:rsid w:val="003E77D6"/>
    <w:rsid w:val="004030FE"/>
    <w:rsid w:val="00405CA2"/>
    <w:rsid w:val="00410632"/>
    <w:rsid w:val="00412D39"/>
    <w:rsid w:val="00445D27"/>
    <w:rsid w:val="004509F0"/>
    <w:rsid w:val="004769A3"/>
    <w:rsid w:val="00493E43"/>
    <w:rsid w:val="004942FF"/>
    <w:rsid w:val="004C50B9"/>
    <w:rsid w:val="004F03E0"/>
    <w:rsid w:val="00504FCF"/>
    <w:rsid w:val="00505AFC"/>
    <w:rsid w:val="005248F2"/>
    <w:rsid w:val="00533060"/>
    <w:rsid w:val="00545144"/>
    <w:rsid w:val="005506F4"/>
    <w:rsid w:val="00555D01"/>
    <w:rsid w:val="00561D3A"/>
    <w:rsid w:val="005B0ABA"/>
    <w:rsid w:val="005D2174"/>
    <w:rsid w:val="005D28B8"/>
    <w:rsid w:val="005E62C1"/>
    <w:rsid w:val="00606865"/>
    <w:rsid w:val="00607D1D"/>
    <w:rsid w:val="00612C0C"/>
    <w:rsid w:val="00614093"/>
    <w:rsid w:val="00617532"/>
    <w:rsid w:val="00617F77"/>
    <w:rsid w:val="00621332"/>
    <w:rsid w:val="006214D2"/>
    <w:rsid w:val="00625A54"/>
    <w:rsid w:val="00633D5D"/>
    <w:rsid w:val="00662140"/>
    <w:rsid w:val="0066713F"/>
    <w:rsid w:val="0067572D"/>
    <w:rsid w:val="00692A6E"/>
    <w:rsid w:val="00696C1F"/>
    <w:rsid w:val="006A10C5"/>
    <w:rsid w:val="006B1184"/>
    <w:rsid w:val="006C36BD"/>
    <w:rsid w:val="006C6C3D"/>
    <w:rsid w:val="006C7450"/>
    <w:rsid w:val="006F3CC5"/>
    <w:rsid w:val="006F5257"/>
    <w:rsid w:val="006F55CA"/>
    <w:rsid w:val="006F6FAA"/>
    <w:rsid w:val="007246F6"/>
    <w:rsid w:val="007361A1"/>
    <w:rsid w:val="00736DD7"/>
    <w:rsid w:val="00742ED8"/>
    <w:rsid w:val="00757123"/>
    <w:rsid w:val="007805E9"/>
    <w:rsid w:val="007A11AE"/>
    <w:rsid w:val="007B4158"/>
    <w:rsid w:val="007B42C3"/>
    <w:rsid w:val="007D72A9"/>
    <w:rsid w:val="007F443A"/>
    <w:rsid w:val="0082042C"/>
    <w:rsid w:val="008226F7"/>
    <w:rsid w:val="00840127"/>
    <w:rsid w:val="00853ACE"/>
    <w:rsid w:val="00864E32"/>
    <w:rsid w:val="008B06FE"/>
    <w:rsid w:val="008D1B78"/>
    <w:rsid w:val="008D6489"/>
    <w:rsid w:val="00925D45"/>
    <w:rsid w:val="00926A07"/>
    <w:rsid w:val="00933D72"/>
    <w:rsid w:val="00953880"/>
    <w:rsid w:val="00957DC3"/>
    <w:rsid w:val="00963DC9"/>
    <w:rsid w:val="00971DE8"/>
    <w:rsid w:val="00975972"/>
    <w:rsid w:val="00A00F7A"/>
    <w:rsid w:val="00A07C84"/>
    <w:rsid w:val="00A17ADD"/>
    <w:rsid w:val="00A22EB2"/>
    <w:rsid w:val="00A31399"/>
    <w:rsid w:val="00A45BAA"/>
    <w:rsid w:val="00A4697E"/>
    <w:rsid w:val="00A47A1D"/>
    <w:rsid w:val="00A52195"/>
    <w:rsid w:val="00A56F5D"/>
    <w:rsid w:val="00A76CDE"/>
    <w:rsid w:val="00A92BB8"/>
    <w:rsid w:val="00AA2978"/>
    <w:rsid w:val="00AA58BF"/>
    <w:rsid w:val="00AA6A05"/>
    <w:rsid w:val="00AB4908"/>
    <w:rsid w:val="00AC2EF4"/>
    <w:rsid w:val="00AC4FA8"/>
    <w:rsid w:val="00AC5183"/>
    <w:rsid w:val="00AC7DA2"/>
    <w:rsid w:val="00AE29AD"/>
    <w:rsid w:val="00AE6A7F"/>
    <w:rsid w:val="00B036BE"/>
    <w:rsid w:val="00B22542"/>
    <w:rsid w:val="00B50186"/>
    <w:rsid w:val="00B67EF7"/>
    <w:rsid w:val="00B92884"/>
    <w:rsid w:val="00B93AB7"/>
    <w:rsid w:val="00B94044"/>
    <w:rsid w:val="00B950E5"/>
    <w:rsid w:val="00BB17A4"/>
    <w:rsid w:val="00BB5C53"/>
    <w:rsid w:val="00BD0661"/>
    <w:rsid w:val="00BD5F49"/>
    <w:rsid w:val="00C01631"/>
    <w:rsid w:val="00C05BBA"/>
    <w:rsid w:val="00C0626E"/>
    <w:rsid w:val="00C24BCF"/>
    <w:rsid w:val="00C33221"/>
    <w:rsid w:val="00C5244F"/>
    <w:rsid w:val="00C7486A"/>
    <w:rsid w:val="00C7623F"/>
    <w:rsid w:val="00C90A18"/>
    <w:rsid w:val="00C92784"/>
    <w:rsid w:val="00C96B84"/>
    <w:rsid w:val="00CA37D4"/>
    <w:rsid w:val="00CA385E"/>
    <w:rsid w:val="00CB757D"/>
    <w:rsid w:val="00CC3EC9"/>
    <w:rsid w:val="00CE5647"/>
    <w:rsid w:val="00CE56FC"/>
    <w:rsid w:val="00D034B7"/>
    <w:rsid w:val="00D1401C"/>
    <w:rsid w:val="00D345AE"/>
    <w:rsid w:val="00D36413"/>
    <w:rsid w:val="00D4609B"/>
    <w:rsid w:val="00D468B4"/>
    <w:rsid w:val="00D75C1A"/>
    <w:rsid w:val="00D8563E"/>
    <w:rsid w:val="00D92A43"/>
    <w:rsid w:val="00DC71D4"/>
    <w:rsid w:val="00DD517F"/>
    <w:rsid w:val="00E02E23"/>
    <w:rsid w:val="00E15A01"/>
    <w:rsid w:val="00E15F51"/>
    <w:rsid w:val="00E20534"/>
    <w:rsid w:val="00E20F99"/>
    <w:rsid w:val="00E22E8C"/>
    <w:rsid w:val="00E23056"/>
    <w:rsid w:val="00E54C84"/>
    <w:rsid w:val="00E607A5"/>
    <w:rsid w:val="00E6542D"/>
    <w:rsid w:val="00E708A2"/>
    <w:rsid w:val="00E75780"/>
    <w:rsid w:val="00E8018C"/>
    <w:rsid w:val="00E8390B"/>
    <w:rsid w:val="00E90A0A"/>
    <w:rsid w:val="00E92C4D"/>
    <w:rsid w:val="00EA15EF"/>
    <w:rsid w:val="00EA5498"/>
    <w:rsid w:val="00EB1157"/>
    <w:rsid w:val="00EB59E8"/>
    <w:rsid w:val="00EC3075"/>
    <w:rsid w:val="00EC631C"/>
    <w:rsid w:val="00EC76A0"/>
    <w:rsid w:val="00ED1519"/>
    <w:rsid w:val="00ED2ABE"/>
    <w:rsid w:val="00ED41D4"/>
    <w:rsid w:val="00ED4EE1"/>
    <w:rsid w:val="00EE0381"/>
    <w:rsid w:val="00EF2E7A"/>
    <w:rsid w:val="00F10896"/>
    <w:rsid w:val="00F459E0"/>
    <w:rsid w:val="00F55C56"/>
    <w:rsid w:val="00F56FAC"/>
    <w:rsid w:val="00F6708B"/>
    <w:rsid w:val="00F67599"/>
    <w:rsid w:val="00F7757F"/>
    <w:rsid w:val="00FB4141"/>
    <w:rsid w:val="00FD483C"/>
    <w:rsid w:val="00FE0462"/>
    <w:rsid w:val="00FE51A0"/>
    <w:rsid w:val="00FE6CFE"/>
    <w:rsid w:val="00FF4BED"/>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4:docId w14:val="0B15997A"/>
  <w15:chartTrackingRefBased/>
  <w15:docId w15:val="{919327DB-5B76-3F46-AFE2-6D1B9E078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FAA"/>
    <w:rPr>
      <w:rFonts w:ascii="Times New Roman" w:eastAsia="Times New Roman" w:hAnsi="Times New Roman" w:cs="Times New Roman"/>
      <w:kern w:val="0"/>
      <w:lang w:val="en-US" w:eastAsia="en-GB"/>
      <w14:ligatures w14:val="none"/>
    </w:rPr>
  </w:style>
  <w:style w:type="paragraph" w:styleId="Heading1">
    <w:name w:val="heading 1"/>
    <w:basedOn w:val="Normal"/>
    <w:next w:val="Normal"/>
    <w:link w:val="Heading1Char"/>
    <w:uiPriority w:val="9"/>
    <w:qFormat/>
    <w:rsid w:val="006F6FAA"/>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SE" w:eastAsia="en-US"/>
      <w14:ligatures w14:val="standardContextual"/>
    </w:rPr>
  </w:style>
  <w:style w:type="paragraph" w:styleId="Heading2">
    <w:name w:val="heading 2"/>
    <w:basedOn w:val="Normal"/>
    <w:next w:val="Normal"/>
    <w:link w:val="Heading2Char"/>
    <w:uiPriority w:val="9"/>
    <w:semiHidden/>
    <w:unhideWhenUsed/>
    <w:qFormat/>
    <w:rsid w:val="006F6FAA"/>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SE" w:eastAsia="en-US"/>
      <w14:ligatures w14:val="standardContextual"/>
    </w:rPr>
  </w:style>
  <w:style w:type="paragraph" w:styleId="Heading3">
    <w:name w:val="heading 3"/>
    <w:basedOn w:val="Normal"/>
    <w:next w:val="Normal"/>
    <w:link w:val="Heading3Char"/>
    <w:uiPriority w:val="9"/>
    <w:semiHidden/>
    <w:unhideWhenUsed/>
    <w:qFormat/>
    <w:rsid w:val="006F6FAA"/>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SE" w:eastAsia="en-US"/>
      <w14:ligatures w14:val="standardContextual"/>
    </w:rPr>
  </w:style>
  <w:style w:type="paragraph" w:styleId="Heading4">
    <w:name w:val="heading 4"/>
    <w:basedOn w:val="Normal"/>
    <w:next w:val="Normal"/>
    <w:link w:val="Heading4Char"/>
    <w:uiPriority w:val="9"/>
    <w:semiHidden/>
    <w:unhideWhenUsed/>
    <w:qFormat/>
    <w:rsid w:val="006F6FAA"/>
    <w:pPr>
      <w:keepNext/>
      <w:keepLines/>
      <w:spacing w:before="80" w:after="40"/>
      <w:outlineLvl w:val="3"/>
    </w:pPr>
    <w:rPr>
      <w:rFonts w:asciiTheme="minorHAnsi" w:eastAsiaTheme="majorEastAsia" w:hAnsiTheme="minorHAnsi" w:cstheme="majorBidi"/>
      <w:i/>
      <w:iCs/>
      <w:color w:val="0F4761" w:themeColor="accent1" w:themeShade="BF"/>
      <w:kern w:val="2"/>
      <w:lang w:val="en-SE" w:eastAsia="en-US"/>
      <w14:ligatures w14:val="standardContextual"/>
    </w:rPr>
  </w:style>
  <w:style w:type="paragraph" w:styleId="Heading5">
    <w:name w:val="heading 5"/>
    <w:basedOn w:val="Normal"/>
    <w:next w:val="Normal"/>
    <w:link w:val="Heading5Char"/>
    <w:uiPriority w:val="9"/>
    <w:semiHidden/>
    <w:unhideWhenUsed/>
    <w:qFormat/>
    <w:rsid w:val="006F6FAA"/>
    <w:pPr>
      <w:keepNext/>
      <w:keepLines/>
      <w:spacing w:before="80" w:after="40"/>
      <w:outlineLvl w:val="4"/>
    </w:pPr>
    <w:rPr>
      <w:rFonts w:asciiTheme="minorHAnsi" w:eastAsiaTheme="majorEastAsia" w:hAnsiTheme="minorHAnsi" w:cstheme="majorBidi"/>
      <w:color w:val="0F4761" w:themeColor="accent1" w:themeShade="BF"/>
      <w:kern w:val="2"/>
      <w:lang w:val="en-SE" w:eastAsia="en-US"/>
      <w14:ligatures w14:val="standardContextual"/>
    </w:rPr>
  </w:style>
  <w:style w:type="paragraph" w:styleId="Heading6">
    <w:name w:val="heading 6"/>
    <w:basedOn w:val="Normal"/>
    <w:next w:val="Normal"/>
    <w:link w:val="Heading6Char"/>
    <w:uiPriority w:val="9"/>
    <w:semiHidden/>
    <w:unhideWhenUsed/>
    <w:qFormat/>
    <w:rsid w:val="006F6FAA"/>
    <w:pPr>
      <w:keepNext/>
      <w:keepLines/>
      <w:spacing w:before="40"/>
      <w:outlineLvl w:val="5"/>
    </w:pPr>
    <w:rPr>
      <w:rFonts w:asciiTheme="minorHAnsi" w:eastAsiaTheme="majorEastAsia" w:hAnsiTheme="minorHAnsi" w:cstheme="majorBidi"/>
      <w:i/>
      <w:iCs/>
      <w:color w:val="595959" w:themeColor="text1" w:themeTint="A6"/>
      <w:kern w:val="2"/>
      <w:lang w:val="en-SE" w:eastAsia="en-US"/>
      <w14:ligatures w14:val="standardContextual"/>
    </w:rPr>
  </w:style>
  <w:style w:type="paragraph" w:styleId="Heading7">
    <w:name w:val="heading 7"/>
    <w:basedOn w:val="Normal"/>
    <w:next w:val="Normal"/>
    <w:link w:val="Heading7Char"/>
    <w:uiPriority w:val="9"/>
    <w:semiHidden/>
    <w:unhideWhenUsed/>
    <w:qFormat/>
    <w:rsid w:val="006F6FAA"/>
    <w:pPr>
      <w:keepNext/>
      <w:keepLines/>
      <w:spacing w:before="40"/>
      <w:outlineLvl w:val="6"/>
    </w:pPr>
    <w:rPr>
      <w:rFonts w:asciiTheme="minorHAnsi" w:eastAsiaTheme="majorEastAsia" w:hAnsiTheme="minorHAnsi" w:cstheme="majorBidi"/>
      <w:color w:val="595959" w:themeColor="text1" w:themeTint="A6"/>
      <w:kern w:val="2"/>
      <w:lang w:val="en-SE" w:eastAsia="en-US"/>
      <w14:ligatures w14:val="standardContextual"/>
    </w:rPr>
  </w:style>
  <w:style w:type="paragraph" w:styleId="Heading8">
    <w:name w:val="heading 8"/>
    <w:basedOn w:val="Normal"/>
    <w:next w:val="Normal"/>
    <w:link w:val="Heading8Char"/>
    <w:uiPriority w:val="9"/>
    <w:semiHidden/>
    <w:unhideWhenUsed/>
    <w:qFormat/>
    <w:rsid w:val="006F6FAA"/>
    <w:pPr>
      <w:keepNext/>
      <w:keepLines/>
      <w:outlineLvl w:val="7"/>
    </w:pPr>
    <w:rPr>
      <w:rFonts w:asciiTheme="minorHAnsi" w:eastAsiaTheme="majorEastAsia" w:hAnsiTheme="minorHAnsi" w:cstheme="majorBidi"/>
      <w:i/>
      <w:iCs/>
      <w:color w:val="272727" w:themeColor="text1" w:themeTint="D8"/>
      <w:kern w:val="2"/>
      <w:lang w:val="en-SE" w:eastAsia="en-US"/>
      <w14:ligatures w14:val="standardContextual"/>
    </w:rPr>
  </w:style>
  <w:style w:type="paragraph" w:styleId="Heading9">
    <w:name w:val="heading 9"/>
    <w:basedOn w:val="Normal"/>
    <w:next w:val="Normal"/>
    <w:link w:val="Heading9Char"/>
    <w:uiPriority w:val="9"/>
    <w:semiHidden/>
    <w:unhideWhenUsed/>
    <w:qFormat/>
    <w:rsid w:val="006F6FAA"/>
    <w:pPr>
      <w:keepNext/>
      <w:keepLines/>
      <w:outlineLvl w:val="8"/>
    </w:pPr>
    <w:rPr>
      <w:rFonts w:asciiTheme="minorHAnsi" w:eastAsiaTheme="majorEastAsia" w:hAnsiTheme="minorHAnsi" w:cstheme="majorBidi"/>
      <w:color w:val="272727" w:themeColor="text1" w:themeTint="D8"/>
      <w:kern w:val="2"/>
      <w:lang w:val="en-SE"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F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F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F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F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F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F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F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F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FAA"/>
    <w:rPr>
      <w:rFonts w:eastAsiaTheme="majorEastAsia" w:cstheme="majorBidi"/>
      <w:color w:val="272727" w:themeColor="text1" w:themeTint="D8"/>
    </w:rPr>
  </w:style>
  <w:style w:type="paragraph" w:styleId="Title">
    <w:name w:val="Title"/>
    <w:basedOn w:val="Normal"/>
    <w:next w:val="Normal"/>
    <w:link w:val="TitleChar"/>
    <w:uiPriority w:val="10"/>
    <w:qFormat/>
    <w:rsid w:val="006F6FAA"/>
    <w:pPr>
      <w:spacing w:after="80"/>
      <w:contextualSpacing/>
    </w:pPr>
    <w:rPr>
      <w:rFonts w:asciiTheme="majorHAnsi" w:eastAsiaTheme="majorEastAsia" w:hAnsiTheme="majorHAnsi" w:cstheme="majorBidi"/>
      <w:spacing w:val="-10"/>
      <w:kern w:val="28"/>
      <w:sz w:val="56"/>
      <w:szCs w:val="56"/>
      <w:lang w:val="en-SE" w:eastAsia="en-US"/>
      <w14:ligatures w14:val="standardContextual"/>
    </w:rPr>
  </w:style>
  <w:style w:type="character" w:customStyle="1" w:styleId="TitleChar">
    <w:name w:val="Title Char"/>
    <w:basedOn w:val="DefaultParagraphFont"/>
    <w:link w:val="Title"/>
    <w:uiPriority w:val="10"/>
    <w:rsid w:val="006F6F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FAA"/>
    <w:pPr>
      <w:numPr>
        <w:ilvl w:val="1"/>
      </w:numPr>
      <w:spacing w:after="160"/>
    </w:pPr>
    <w:rPr>
      <w:rFonts w:asciiTheme="minorHAnsi" w:eastAsiaTheme="majorEastAsia" w:hAnsiTheme="minorHAnsi" w:cstheme="majorBidi"/>
      <w:color w:val="595959" w:themeColor="text1" w:themeTint="A6"/>
      <w:spacing w:val="15"/>
      <w:kern w:val="2"/>
      <w:sz w:val="28"/>
      <w:szCs w:val="28"/>
      <w:lang w:val="en-SE" w:eastAsia="en-US"/>
      <w14:ligatures w14:val="standardContextual"/>
    </w:rPr>
  </w:style>
  <w:style w:type="character" w:customStyle="1" w:styleId="SubtitleChar">
    <w:name w:val="Subtitle Char"/>
    <w:basedOn w:val="DefaultParagraphFont"/>
    <w:link w:val="Subtitle"/>
    <w:uiPriority w:val="11"/>
    <w:rsid w:val="006F6F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FAA"/>
    <w:pPr>
      <w:spacing w:before="160" w:after="160"/>
      <w:jc w:val="center"/>
    </w:pPr>
    <w:rPr>
      <w:rFonts w:asciiTheme="minorHAnsi" w:eastAsiaTheme="minorHAnsi" w:hAnsiTheme="minorHAnsi" w:cstheme="minorBidi"/>
      <w:i/>
      <w:iCs/>
      <w:color w:val="404040" w:themeColor="text1" w:themeTint="BF"/>
      <w:kern w:val="2"/>
      <w:lang w:val="en-SE" w:eastAsia="en-US"/>
      <w14:ligatures w14:val="standardContextual"/>
    </w:rPr>
  </w:style>
  <w:style w:type="character" w:customStyle="1" w:styleId="QuoteChar">
    <w:name w:val="Quote Char"/>
    <w:basedOn w:val="DefaultParagraphFont"/>
    <w:link w:val="Quote"/>
    <w:uiPriority w:val="29"/>
    <w:rsid w:val="006F6FAA"/>
    <w:rPr>
      <w:i/>
      <w:iCs/>
      <w:color w:val="404040" w:themeColor="text1" w:themeTint="BF"/>
    </w:rPr>
  </w:style>
  <w:style w:type="paragraph" w:styleId="ListParagraph">
    <w:name w:val="List Paragraph"/>
    <w:basedOn w:val="Normal"/>
    <w:uiPriority w:val="34"/>
    <w:qFormat/>
    <w:rsid w:val="006F6FAA"/>
    <w:pPr>
      <w:ind w:left="720"/>
      <w:contextualSpacing/>
    </w:pPr>
    <w:rPr>
      <w:rFonts w:asciiTheme="minorHAnsi" w:eastAsiaTheme="minorHAnsi" w:hAnsiTheme="minorHAnsi" w:cstheme="minorBidi"/>
      <w:kern w:val="2"/>
      <w:lang w:val="en-SE" w:eastAsia="en-US"/>
      <w14:ligatures w14:val="standardContextual"/>
    </w:rPr>
  </w:style>
  <w:style w:type="character" w:styleId="IntenseEmphasis">
    <w:name w:val="Intense Emphasis"/>
    <w:basedOn w:val="DefaultParagraphFont"/>
    <w:uiPriority w:val="21"/>
    <w:qFormat/>
    <w:rsid w:val="006F6FAA"/>
    <w:rPr>
      <w:i/>
      <w:iCs/>
      <w:color w:val="0F4761" w:themeColor="accent1" w:themeShade="BF"/>
    </w:rPr>
  </w:style>
  <w:style w:type="paragraph" w:styleId="IntenseQuote">
    <w:name w:val="Intense Quote"/>
    <w:basedOn w:val="Normal"/>
    <w:next w:val="Normal"/>
    <w:link w:val="IntenseQuoteChar"/>
    <w:uiPriority w:val="30"/>
    <w:qFormat/>
    <w:rsid w:val="006F6FA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SE" w:eastAsia="en-US"/>
      <w14:ligatures w14:val="standardContextual"/>
    </w:rPr>
  </w:style>
  <w:style w:type="character" w:customStyle="1" w:styleId="IntenseQuoteChar">
    <w:name w:val="Intense Quote Char"/>
    <w:basedOn w:val="DefaultParagraphFont"/>
    <w:link w:val="IntenseQuote"/>
    <w:uiPriority w:val="30"/>
    <w:rsid w:val="006F6FAA"/>
    <w:rPr>
      <w:i/>
      <w:iCs/>
      <w:color w:val="0F4761" w:themeColor="accent1" w:themeShade="BF"/>
    </w:rPr>
  </w:style>
  <w:style w:type="character" w:styleId="IntenseReference">
    <w:name w:val="Intense Reference"/>
    <w:basedOn w:val="DefaultParagraphFont"/>
    <w:uiPriority w:val="32"/>
    <w:qFormat/>
    <w:rsid w:val="006F6FAA"/>
    <w:rPr>
      <w:b/>
      <w:bCs/>
      <w:smallCaps/>
      <w:color w:val="0F4761" w:themeColor="accent1" w:themeShade="BF"/>
      <w:spacing w:val="5"/>
    </w:rPr>
  </w:style>
  <w:style w:type="character" w:customStyle="1" w:styleId="FooterChar">
    <w:name w:val="Footer Char"/>
    <w:basedOn w:val="DefaultParagraphFont"/>
    <w:link w:val="Footer"/>
    <w:uiPriority w:val="99"/>
    <w:qFormat/>
    <w:rsid w:val="006F6FAA"/>
  </w:style>
  <w:style w:type="character" w:customStyle="1" w:styleId="HTMLPreformattedChar">
    <w:name w:val="HTML Preformatted Char"/>
    <w:basedOn w:val="DefaultParagraphFont"/>
    <w:link w:val="HTMLPreformatted"/>
    <w:uiPriority w:val="99"/>
    <w:qFormat/>
    <w:rsid w:val="006F6FAA"/>
    <w:rPr>
      <w:rFonts w:ascii="Courier New" w:eastAsia="Times New Roman" w:hAnsi="Courier New" w:cs="Courier New"/>
      <w:szCs w:val="20"/>
      <w:lang w:eastAsia="en-GB"/>
    </w:rPr>
  </w:style>
  <w:style w:type="character" w:styleId="PageNumber">
    <w:name w:val="page number"/>
    <w:basedOn w:val="DefaultParagraphFont"/>
    <w:uiPriority w:val="99"/>
    <w:semiHidden/>
    <w:unhideWhenUsed/>
    <w:qFormat/>
    <w:rsid w:val="006F6FAA"/>
  </w:style>
  <w:style w:type="paragraph" w:styleId="NormalWeb">
    <w:name w:val="Normal (Web)"/>
    <w:basedOn w:val="Normal"/>
    <w:uiPriority w:val="99"/>
    <w:qFormat/>
    <w:rsid w:val="006F6FAA"/>
    <w:pPr>
      <w:spacing w:before="280" w:after="280"/>
    </w:pPr>
  </w:style>
  <w:style w:type="paragraph" w:styleId="Footer">
    <w:name w:val="footer"/>
    <w:basedOn w:val="Normal"/>
    <w:link w:val="FooterChar"/>
    <w:uiPriority w:val="99"/>
    <w:unhideWhenUsed/>
    <w:rsid w:val="006F6FAA"/>
    <w:pPr>
      <w:suppressLineNumbers/>
      <w:tabs>
        <w:tab w:val="center" w:pos="4819"/>
        <w:tab w:val="right" w:pos="9638"/>
      </w:tabs>
    </w:pPr>
    <w:rPr>
      <w:rFonts w:asciiTheme="minorHAnsi" w:eastAsiaTheme="minorHAnsi" w:hAnsiTheme="minorHAnsi" w:cstheme="minorBidi"/>
      <w:kern w:val="2"/>
      <w:lang w:val="en-SE" w:eastAsia="en-US"/>
      <w14:ligatures w14:val="standardContextual"/>
    </w:rPr>
  </w:style>
  <w:style w:type="character" w:customStyle="1" w:styleId="FooterChar1">
    <w:name w:val="Footer Char1"/>
    <w:basedOn w:val="DefaultParagraphFont"/>
    <w:uiPriority w:val="99"/>
    <w:semiHidden/>
    <w:rsid w:val="006F6FAA"/>
    <w:rPr>
      <w:rFonts w:ascii="Times New Roman" w:eastAsia="Times New Roman" w:hAnsi="Times New Roman" w:cs="Times New Roman"/>
      <w:kern w:val="0"/>
      <w:lang w:val="en-US" w:eastAsia="en-GB"/>
      <w14:ligatures w14:val="none"/>
    </w:rPr>
  </w:style>
  <w:style w:type="paragraph" w:styleId="HTMLPreformatted">
    <w:name w:val="HTML Preformatted"/>
    <w:basedOn w:val="Normal"/>
    <w:link w:val="HTMLPreformattedChar"/>
    <w:uiPriority w:val="99"/>
    <w:unhideWhenUsed/>
    <w:qFormat/>
    <w:rsid w:val="006F6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2"/>
      <w:szCs w:val="20"/>
      <w:lang w:val="en-SE"/>
      <w14:ligatures w14:val="standardContextual"/>
    </w:rPr>
  </w:style>
  <w:style w:type="character" w:customStyle="1" w:styleId="HTMLPreformattedChar1">
    <w:name w:val="HTML Preformatted Char1"/>
    <w:basedOn w:val="DefaultParagraphFont"/>
    <w:uiPriority w:val="99"/>
    <w:semiHidden/>
    <w:rsid w:val="006F6FAA"/>
    <w:rPr>
      <w:rFonts w:ascii="Consolas" w:eastAsia="Times New Roman" w:hAnsi="Consolas" w:cs="Consolas"/>
      <w:kern w:val="0"/>
      <w:sz w:val="20"/>
      <w:szCs w:val="20"/>
      <w:lang w:val="en-US" w:eastAsia="en-GB"/>
      <w14:ligatures w14:val="none"/>
    </w:rPr>
  </w:style>
  <w:style w:type="table" w:styleId="GridTable4">
    <w:name w:val="Grid Table 4"/>
    <w:basedOn w:val="TableNormal"/>
    <w:uiPriority w:val="49"/>
    <w:rsid w:val="006F6FAA"/>
    <w:pPr>
      <w:suppressAutoHyphens/>
    </w:pPr>
    <w:rPr>
      <w:kern w:val="0"/>
      <w:sz w:val="20"/>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6F6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425</Words>
  <Characters>2427</Characters>
  <Application>Microsoft Office Word</Application>
  <DocSecurity>0</DocSecurity>
  <Lines>20</Lines>
  <Paragraphs>5</Paragraphs>
  <ScaleCrop>false</ScaleCrop>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Nagihan Bostanci</dc:creator>
  <cp:keywords/>
  <dc:description/>
  <cp:lastModifiedBy>Nagihan Bostanci</cp:lastModifiedBy>
  <cp:revision>2</cp:revision>
  <dcterms:created xsi:type="dcterms:W3CDTF">2025-09-01T08:25:00Z</dcterms:created>
  <dcterms:modified xsi:type="dcterms:W3CDTF">2025-09-01T08:25:00Z</dcterms:modified>
</cp:coreProperties>
</file>