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DBEE" w14:textId="3C682EFB" w:rsidR="00D07162" w:rsidRDefault="0064280B" w:rsidP="00D07162">
      <w:pPr>
        <w:jc w:val="left"/>
        <w:rPr>
          <w:rFonts w:ascii="Times New Roman" w:eastAsia="宋体" w:hAnsi="Times New Roman" w:cs="Times New Roman"/>
          <w:b/>
          <w:bCs/>
          <w:sz w:val="28"/>
          <w:szCs w:val="28"/>
        </w:rPr>
      </w:pPr>
      <w:r w:rsidRPr="0064280B">
        <w:rPr>
          <w:rFonts w:ascii="Times New Roman" w:eastAsia="宋体" w:hAnsi="Times New Roman" w:cs="Times New Roman"/>
          <w:b/>
          <w:bCs/>
          <w:sz w:val="28"/>
          <w:szCs w:val="28"/>
        </w:rPr>
        <w:t>Additional file</w:t>
      </w:r>
      <w:r w:rsidR="00184C3C">
        <w:rPr>
          <w:rFonts w:ascii="Times New Roman" w:eastAsia="宋体" w:hAnsi="Times New Roman" w:cs="Times New Roman" w:hint="eastAsia"/>
          <w:b/>
          <w:bCs/>
          <w:sz w:val="28"/>
          <w:szCs w:val="28"/>
        </w:rPr>
        <w:t xml:space="preserve"> 1</w:t>
      </w:r>
    </w:p>
    <w:p w14:paraId="4D10A90A" w14:textId="51C059B5" w:rsidR="005A3551" w:rsidRPr="0027595F" w:rsidRDefault="005A3551" w:rsidP="0027595F">
      <w:pPr>
        <w:spacing w:line="480" w:lineRule="auto"/>
        <w:jc w:val="left"/>
        <w:rPr>
          <w:rFonts w:ascii="Times New Roman" w:eastAsia="宋体" w:hAnsi="Times New Roman" w:cs="Times New Roman"/>
          <w:sz w:val="24"/>
          <w:szCs w:val="24"/>
        </w:rPr>
      </w:pPr>
      <w:r w:rsidRPr="005A3551">
        <w:rPr>
          <w:rFonts w:ascii="Times New Roman" w:eastAsia="宋体" w:hAnsi="Times New Roman" w:cs="Times New Roman" w:hint="eastAsia"/>
          <w:sz w:val="24"/>
          <w:szCs w:val="24"/>
        </w:rPr>
        <w:t xml:space="preserve">To control for potential confounding effects of demographic characteristics, we incorporated four demographic control variables (gender, occupation, work experience, and number of night shifts) into the structural equation model, with direct paths predicting turnover intention. These variables were selected based on prior studies demonstrating their significant association with turnover intention among medical workers </w:t>
      </w:r>
      <w:r w:rsidRPr="005A3551">
        <w:rPr>
          <w:rFonts w:ascii="Times New Roman" w:eastAsia="宋体" w:hAnsi="Times New Roman" w:cs="Times New Roman"/>
          <w:sz w:val="24"/>
          <w:szCs w:val="24"/>
        </w:rPr>
        <w:fldChar w:fldCharType="begin"/>
      </w:r>
      <w:r w:rsidR="00E07DE8">
        <w:rPr>
          <w:rFonts w:ascii="Times New Roman" w:eastAsia="宋体" w:hAnsi="Times New Roman" w:cs="Times New Roman"/>
          <w:sz w:val="24"/>
          <w:szCs w:val="24"/>
        </w:rPr>
        <w:instrText xml:space="preserve"> ADDIN NE.Ref.{E2532E57-6C94-4377-BD1E-17122E98DDFB}</w:instrText>
      </w:r>
      <w:r w:rsidRPr="005A3551">
        <w:rPr>
          <w:rFonts w:ascii="Times New Roman" w:eastAsia="宋体" w:hAnsi="Times New Roman" w:cs="Times New Roman"/>
          <w:sz w:val="24"/>
          <w:szCs w:val="24"/>
        </w:rPr>
        <w:fldChar w:fldCharType="separate"/>
      </w:r>
      <w:r w:rsidR="00E07DE8">
        <w:rPr>
          <w:rFonts w:ascii="Times New Roman" w:hAnsi="Times New Roman" w:cs="Times New Roman"/>
          <w:color w:val="000000"/>
          <w:kern w:val="0"/>
          <w:sz w:val="24"/>
          <w:szCs w:val="24"/>
        </w:rPr>
        <w:t>[1-3]</w:t>
      </w:r>
      <w:r w:rsidRPr="005A3551">
        <w:rPr>
          <w:rFonts w:ascii="Times New Roman" w:eastAsia="宋体" w:hAnsi="Times New Roman" w:cs="Times New Roman"/>
          <w:sz w:val="24"/>
          <w:szCs w:val="24"/>
        </w:rPr>
        <w:fldChar w:fldCharType="end"/>
      </w:r>
      <w:r w:rsidRPr="005A3551">
        <w:rPr>
          <w:rFonts w:ascii="Times New Roman" w:eastAsia="宋体" w:hAnsi="Times New Roman" w:cs="Times New Roman" w:hint="eastAsia"/>
          <w:sz w:val="24"/>
          <w:szCs w:val="24"/>
        </w:rPr>
        <w:t>.</w:t>
      </w:r>
    </w:p>
    <w:p w14:paraId="14F62714" w14:textId="2214F896" w:rsidR="0027595F" w:rsidRPr="00D5183D" w:rsidRDefault="0027595F" w:rsidP="0027595F">
      <w:pPr>
        <w:spacing w:line="480" w:lineRule="auto"/>
        <w:jc w:val="left"/>
        <w:rPr>
          <w:rFonts w:ascii="Times New Roman" w:eastAsia="宋体" w:hAnsi="Times New Roman" w:cs="Times New Roman"/>
          <w:sz w:val="24"/>
          <w:szCs w:val="24"/>
        </w:rPr>
      </w:pPr>
      <w:r w:rsidRPr="0027595F">
        <w:rPr>
          <w:rFonts w:ascii="Times New Roman" w:eastAsia="宋体" w:hAnsi="Times New Roman" w:cs="Times New Roman" w:hint="eastAsia"/>
          <w:sz w:val="24"/>
          <w:szCs w:val="24"/>
        </w:rPr>
        <w:t>The results confirmed that all main paths, direct effects, and mediating effects remained robust and statistically significant after controlling for these demographic factors, with no substantive changes in direction or magnitude. Specifically, the path coefficients of PM</w:t>
      </w:r>
      <w:r w:rsidRPr="0027595F">
        <w:rPr>
          <w:rFonts w:ascii="Times New Roman" w:eastAsia="宋体" w:hAnsi="Times New Roman" w:cs="Times New Roman" w:hint="eastAsia"/>
          <w:sz w:val="24"/>
          <w:szCs w:val="24"/>
        </w:rPr>
        <w:t>→</w:t>
      </w:r>
      <w:r w:rsidRPr="0027595F">
        <w:rPr>
          <w:rFonts w:ascii="Times New Roman" w:eastAsia="宋体" w:hAnsi="Times New Roman" w:cs="Times New Roman" w:hint="eastAsia"/>
          <w:sz w:val="24"/>
          <w:szCs w:val="24"/>
        </w:rPr>
        <w:t>PH (</w:t>
      </w:r>
      <w:r w:rsidRPr="0027595F">
        <w:rPr>
          <w:rFonts w:ascii="Times New Roman" w:eastAsia="宋体" w:hAnsi="Times New Roman" w:cs="Times New Roman"/>
          <w:i/>
          <w:iCs/>
          <w:sz w:val="24"/>
          <w:szCs w:val="24"/>
        </w:rPr>
        <w:t>β</w:t>
      </w:r>
      <w:r w:rsidRPr="0027595F">
        <w:rPr>
          <w:rFonts w:ascii="Times New Roman" w:eastAsia="宋体" w:hAnsi="Times New Roman" w:cs="Times New Roman"/>
          <w:sz w:val="24"/>
          <w:szCs w:val="24"/>
        </w:rPr>
        <w:t xml:space="preserve">=0.511, </w:t>
      </w:r>
      <w:r w:rsidRPr="0027595F">
        <w:rPr>
          <w:rFonts w:ascii="Times New Roman" w:eastAsia="宋体" w:hAnsi="Times New Roman" w:cs="Times New Roman"/>
          <w:i/>
          <w:iCs/>
          <w:sz w:val="24"/>
          <w:szCs w:val="24"/>
        </w:rPr>
        <w:t>p</w:t>
      </w:r>
      <w:r w:rsidRPr="0027595F">
        <w:rPr>
          <w:rFonts w:ascii="Times New Roman" w:eastAsia="宋体" w:hAnsi="Times New Roman" w:cs="Times New Roman"/>
          <w:sz w:val="24"/>
          <w:szCs w:val="24"/>
        </w:rPr>
        <w:t>&lt;0.001), PM→SM (</w:t>
      </w:r>
      <w:r w:rsidRPr="0027595F">
        <w:rPr>
          <w:rFonts w:ascii="Times New Roman" w:eastAsia="宋体" w:hAnsi="Times New Roman" w:cs="Times New Roman"/>
          <w:i/>
          <w:iCs/>
          <w:sz w:val="24"/>
          <w:szCs w:val="24"/>
        </w:rPr>
        <w:t>β</w:t>
      </w:r>
      <w:r w:rsidRPr="0027595F">
        <w:rPr>
          <w:rFonts w:ascii="Times New Roman" w:eastAsia="宋体" w:hAnsi="Times New Roman" w:cs="Times New Roman"/>
          <w:sz w:val="24"/>
          <w:szCs w:val="24"/>
        </w:rPr>
        <w:t>=0.692,</w:t>
      </w:r>
      <w:r w:rsidRPr="0027595F">
        <w:rPr>
          <w:rFonts w:ascii="Times New Roman" w:eastAsia="宋体" w:hAnsi="Times New Roman" w:cs="Times New Roman"/>
          <w:i/>
          <w:iCs/>
          <w:sz w:val="24"/>
          <w:szCs w:val="24"/>
        </w:rPr>
        <w:t xml:space="preserve"> p</w:t>
      </w:r>
      <w:r w:rsidRPr="0027595F">
        <w:rPr>
          <w:rFonts w:ascii="Times New Roman" w:eastAsia="宋体" w:hAnsi="Times New Roman" w:cs="Times New Roman"/>
          <w:sz w:val="24"/>
          <w:szCs w:val="24"/>
        </w:rPr>
        <w:t>&lt;0.001), PH→TI (</w:t>
      </w:r>
      <w:r w:rsidRPr="0027595F">
        <w:rPr>
          <w:rFonts w:ascii="Times New Roman" w:eastAsia="宋体" w:hAnsi="Times New Roman" w:cs="Times New Roman"/>
          <w:i/>
          <w:iCs/>
          <w:sz w:val="24"/>
          <w:szCs w:val="24"/>
        </w:rPr>
        <w:t>β</w:t>
      </w:r>
      <w:r w:rsidRPr="0027595F">
        <w:rPr>
          <w:rFonts w:ascii="Times New Roman" w:eastAsia="宋体" w:hAnsi="Times New Roman" w:cs="Times New Roman"/>
          <w:sz w:val="24"/>
          <w:szCs w:val="24"/>
        </w:rPr>
        <w:t xml:space="preserve">=-0.502, </w:t>
      </w:r>
      <w:r w:rsidRPr="0027595F">
        <w:rPr>
          <w:rFonts w:ascii="Times New Roman" w:eastAsia="宋体" w:hAnsi="Times New Roman" w:cs="Times New Roman"/>
          <w:i/>
          <w:iCs/>
          <w:sz w:val="24"/>
          <w:szCs w:val="24"/>
        </w:rPr>
        <w:t>p</w:t>
      </w:r>
      <w:r w:rsidRPr="0027595F">
        <w:rPr>
          <w:rFonts w:ascii="Times New Roman" w:eastAsia="宋体" w:hAnsi="Times New Roman" w:cs="Times New Roman"/>
          <w:sz w:val="24"/>
          <w:szCs w:val="24"/>
        </w:rPr>
        <w:t>&lt;0.001), SM→TI (</w:t>
      </w:r>
      <w:r w:rsidRPr="0027595F">
        <w:rPr>
          <w:rFonts w:ascii="Times New Roman" w:eastAsia="宋体" w:hAnsi="Times New Roman" w:cs="Times New Roman"/>
          <w:i/>
          <w:iCs/>
          <w:sz w:val="24"/>
          <w:szCs w:val="24"/>
        </w:rPr>
        <w:t>β</w:t>
      </w:r>
      <w:r w:rsidRPr="0027595F">
        <w:rPr>
          <w:rFonts w:ascii="Times New Roman" w:eastAsia="宋体" w:hAnsi="Times New Roman" w:cs="Times New Roman"/>
          <w:sz w:val="24"/>
          <w:szCs w:val="24"/>
        </w:rPr>
        <w:t xml:space="preserve">=0.088, </w:t>
      </w:r>
      <w:r w:rsidRPr="0027595F">
        <w:rPr>
          <w:rFonts w:ascii="Times New Roman" w:eastAsia="宋体" w:hAnsi="Times New Roman" w:cs="Times New Roman"/>
          <w:i/>
          <w:iCs/>
          <w:sz w:val="24"/>
          <w:szCs w:val="24"/>
        </w:rPr>
        <w:t>p</w:t>
      </w:r>
      <w:r w:rsidRPr="0027595F">
        <w:rPr>
          <w:rFonts w:ascii="Times New Roman" w:eastAsia="宋体" w:hAnsi="Times New Roman" w:cs="Times New Roman"/>
          <w:sz w:val="24"/>
          <w:szCs w:val="24"/>
        </w:rPr>
        <w:t>&lt;0.05), and PM→TI (</w:t>
      </w:r>
      <w:r w:rsidRPr="0027595F">
        <w:rPr>
          <w:rFonts w:ascii="Times New Roman" w:eastAsia="宋体" w:hAnsi="Times New Roman" w:cs="Times New Roman"/>
          <w:i/>
          <w:iCs/>
          <w:sz w:val="24"/>
          <w:szCs w:val="24"/>
        </w:rPr>
        <w:t>β</w:t>
      </w:r>
      <w:r w:rsidRPr="0027595F">
        <w:rPr>
          <w:rFonts w:ascii="Times New Roman" w:eastAsia="宋体" w:hAnsi="Times New Roman" w:cs="Times New Roman"/>
          <w:sz w:val="24"/>
          <w:szCs w:val="24"/>
        </w:rPr>
        <w:t xml:space="preserve">=-0.114, </w:t>
      </w:r>
      <w:r w:rsidRPr="0027595F">
        <w:rPr>
          <w:rFonts w:ascii="Times New Roman" w:eastAsia="宋体" w:hAnsi="Times New Roman" w:cs="Times New Roman"/>
          <w:i/>
          <w:iCs/>
          <w:sz w:val="24"/>
          <w:szCs w:val="24"/>
        </w:rPr>
        <w:t>p</w:t>
      </w:r>
      <w:r w:rsidRPr="0027595F">
        <w:rPr>
          <w:rFonts w:ascii="Times New Roman" w:eastAsia="宋体" w:hAnsi="Times New Roman" w:cs="Times New Roman"/>
          <w:sz w:val="24"/>
          <w:szCs w:val="24"/>
        </w:rPr>
        <w:t>&lt;0.05)</w:t>
      </w:r>
      <w:r w:rsidRPr="0027595F">
        <w:rPr>
          <w:rFonts w:ascii="Times New Roman" w:eastAsia="宋体" w:hAnsi="Times New Roman" w:cs="Times New Roman" w:hint="eastAsia"/>
          <w:sz w:val="24"/>
          <w:szCs w:val="24"/>
        </w:rPr>
        <w:t xml:space="preserve"> were highly consistent with the original model. The </w:t>
      </w:r>
      <w:r w:rsidRPr="0045049E">
        <w:rPr>
          <w:rFonts w:ascii="Times New Roman" w:eastAsia="宋体" w:hAnsi="Times New Roman" w:cs="Times New Roman" w:hint="eastAsia"/>
          <w:i/>
          <w:iCs/>
          <w:sz w:val="24"/>
          <w:szCs w:val="24"/>
        </w:rPr>
        <w:t>R</w:t>
      </w:r>
      <w:r w:rsidRPr="0027595F">
        <w:rPr>
          <w:rFonts w:ascii="Times New Roman" w:eastAsia="宋体" w:hAnsi="Times New Roman" w:cs="Times New Roman" w:hint="eastAsia"/>
          <w:sz w:val="24"/>
          <w:szCs w:val="24"/>
        </w:rPr>
        <w:t>²</w:t>
      </w:r>
      <w:r w:rsidRPr="0027595F">
        <w:rPr>
          <w:rFonts w:ascii="Times New Roman" w:eastAsia="宋体" w:hAnsi="Times New Roman" w:cs="Times New Roman" w:hint="eastAsia"/>
          <w:sz w:val="24"/>
          <w:szCs w:val="24"/>
        </w:rPr>
        <w:t>of turnover intention increased from 0.335 to 0.378, demonstrating that the core findings of this study are stable and not substantially affected by demographic characteristics.</w:t>
      </w:r>
    </w:p>
    <w:p w14:paraId="46FABF14" w14:textId="4DF80A66" w:rsidR="00D07162" w:rsidRDefault="00F75EAA" w:rsidP="00D07162">
      <w:pPr>
        <w:jc w:val="left"/>
        <w:rPr>
          <w:rFonts w:ascii="Times New Roman" w:eastAsia="宋体" w:hAnsi="Times New Roman" w:cs="Times New Roman"/>
          <w:b/>
          <w:bCs/>
          <w:sz w:val="28"/>
          <w:szCs w:val="28"/>
        </w:rPr>
      </w:pPr>
      <w:r>
        <w:rPr>
          <w:noProof/>
        </w:rPr>
        <w:lastRenderedPageBreak/>
        <w:drawing>
          <wp:inline distT="0" distB="0" distL="0" distR="0" wp14:anchorId="3FB3BD07" wp14:editId="282CEA1F">
            <wp:extent cx="5274310" cy="3220085"/>
            <wp:effectExtent l="0" t="0" r="2540" b="0"/>
            <wp:docPr id="107410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0293" name=""/>
                    <pic:cNvPicPr/>
                  </pic:nvPicPr>
                  <pic:blipFill>
                    <a:blip r:embed="rId6"/>
                    <a:stretch>
                      <a:fillRect/>
                    </a:stretch>
                  </pic:blipFill>
                  <pic:spPr>
                    <a:xfrm>
                      <a:off x="0" y="0"/>
                      <a:ext cx="5274310" cy="3220085"/>
                    </a:xfrm>
                    <a:prstGeom prst="rect">
                      <a:avLst/>
                    </a:prstGeom>
                  </pic:spPr>
                </pic:pic>
              </a:graphicData>
            </a:graphic>
          </wp:inline>
        </w:drawing>
      </w:r>
    </w:p>
    <w:p w14:paraId="2C1F5D7F" w14:textId="5C63722F" w:rsidR="00A21891" w:rsidRPr="00D8439B" w:rsidRDefault="00466595" w:rsidP="00D07162">
      <w:pPr>
        <w:jc w:val="left"/>
        <w:rPr>
          <w:rFonts w:ascii="Times New Roman" w:eastAsia="宋体" w:hAnsi="Times New Roman" w:cs="Times New Roman"/>
          <w:b/>
          <w:bCs/>
          <w:szCs w:val="21"/>
        </w:rPr>
      </w:pPr>
      <w:r w:rsidRPr="00D8439B">
        <w:rPr>
          <w:rFonts w:ascii="Times New Roman" w:eastAsia="等线" w:hAnsi="Times New Roman" w:cs="Times New Roman" w:hint="eastAsia"/>
          <w:szCs w:val="21"/>
        </w:rPr>
        <w:t>Figure</w:t>
      </w:r>
      <w:r w:rsidR="00D104AF" w:rsidRPr="00D8439B">
        <w:rPr>
          <w:rFonts w:ascii="Times New Roman" w:eastAsia="等线" w:hAnsi="Times New Roman" w:cs="Times New Roman"/>
          <w:szCs w:val="21"/>
        </w:rPr>
        <w:t xml:space="preserve"> 1</w:t>
      </w:r>
      <w:r w:rsidR="00D07162" w:rsidRPr="00D8439B">
        <w:rPr>
          <w:rFonts w:ascii="Times New Roman" w:eastAsia="等线" w:hAnsi="Times New Roman" w:cs="Times New Roman" w:hint="eastAsia"/>
          <w:szCs w:val="21"/>
        </w:rPr>
        <w:t xml:space="preserve"> </w:t>
      </w:r>
      <w:r w:rsidR="00AB665F" w:rsidRPr="00D8439B">
        <w:rPr>
          <w:rFonts w:ascii="Times New Roman" w:eastAsia="等线" w:hAnsi="Times New Roman" w:cs="Times New Roman" w:hint="eastAsia"/>
          <w:szCs w:val="21"/>
        </w:rPr>
        <w:t xml:space="preserve">  </w:t>
      </w:r>
      <w:r w:rsidR="00D07162" w:rsidRPr="00D8439B">
        <w:rPr>
          <w:rFonts w:ascii="Times New Roman" w:eastAsia="等线" w:hAnsi="Times New Roman" w:cs="Times New Roman" w:hint="eastAsia"/>
          <w:szCs w:val="21"/>
        </w:rPr>
        <w:t>Results of the structural equation model</w:t>
      </w:r>
      <w:r w:rsidR="00AB665F" w:rsidRPr="00D8439B">
        <w:rPr>
          <w:rFonts w:hint="eastAsia"/>
          <w:szCs w:val="21"/>
        </w:rPr>
        <w:t xml:space="preserve"> </w:t>
      </w:r>
      <w:r w:rsidR="00AB665F" w:rsidRPr="00D8439B">
        <w:rPr>
          <w:rFonts w:ascii="Times New Roman" w:eastAsia="等线" w:hAnsi="Times New Roman" w:cs="Times New Roman" w:hint="eastAsia"/>
          <w:szCs w:val="21"/>
        </w:rPr>
        <w:t>with demographic control variables.</w:t>
      </w:r>
    </w:p>
    <w:p w14:paraId="4115A291" w14:textId="77777777" w:rsidR="00D94B42" w:rsidRPr="00D94B42" w:rsidRDefault="00D94B42" w:rsidP="00D94B42">
      <w:pPr>
        <w:rPr>
          <w:rFonts w:ascii="Times New Roman" w:eastAsia="宋体" w:hAnsi="Times New Roman" w:cs="Times New Roman"/>
          <w:szCs w:val="21"/>
        </w:rPr>
      </w:pPr>
      <w:bookmarkStart w:id="0" w:name="_Hlk168759246"/>
      <w:r w:rsidRPr="00D94B42">
        <w:rPr>
          <w:rFonts w:ascii="Times New Roman" w:eastAsia="宋体" w:hAnsi="Times New Roman" w:cs="Times New Roman"/>
          <w:szCs w:val="21"/>
        </w:rPr>
        <w:t>Note:</w:t>
      </w:r>
      <w:r w:rsidRPr="00D94B42">
        <w:rPr>
          <w:rFonts w:ascii="Times New Roman" w:eastAsia="宋体" w:hAnsi="Times New Roman" w:cs="Times New Roman" w:hint="eastAsia"/>
          <w:szCs w:val="21"/>
        </w:rPr>
        <w:t xml:space="preserve"> TI: </w:t>
      </w:r>
      <w:r w:rsidRPr="00D94B42">
        <w:rPr>
          <w:rFonts w:ascii="Times New Roman" w:eastAsia="宋体" w:hAnsi="Times New Roman" w:cs="Times New Roman"/>
          <w:szCs w:val="21"/>
        </w:rPr>
        <w:t xml:space="preserve">Turnover </w:t>
      </w:r>
      <w:r w:rsidRPr="00D94B42">
        <w:rPr>
          <w:rFonts w:ascii="Times New Roman" w:eastAsia="宋体" w:hAnsi="Times New Roman" w:cs="Times New Roman" w:hint="eastAsia"/>
          <w:szCs w:val="21"/>
        </w:rPr>
        <w:t>I</w:t>
      </w:r>
      <w:r w:rsidRPr="00D94B42">
        <w:rPr>
          <w:rFonts w:ascii="Times New Roman" w:eastAsia="宋体" w:hAnsi="Times New Roman" w:cs="Times New Roman"/>
          <w:szCs w:val="21"/>
        </w:rPr>
        <w:t>ntention</w:t>
      </w:r>
      <w:r w:rsidRPr="00D94B42">
        <w:rPr>
          <w:rFonts w:ascii="Times New Roman" w:eastAsia="宋体" w:hAnsi="Times New Roman" w:cs="Times New Roman" w:hint="eastAsia"/>
          <w:szCs w:val="21"/>
        </w:rPr>
        <w:t xml:space="preserve">; PM: </w:t>
      </w:r>
      <w:r w:rsidRPr="00D94B42">
        <w:rPr>
          <w:rFonts w:ascii="Times New Roman" w:eastAsia="宋体" w:hAnsi="Times New Roman" w:cs="Times New Roman"/>
          <w:szCs w:val="21"/>
        </w:rPr>
        <w:t xml:space="preserve">The </w:t>
      </w:r>
      <w:r w:rsidRPr="00D94B42">
        <w:rPr>
          <w:rFonts w:ascii="Times New Roman" w:eastAsia="宋体" w:hAnsi="Times New Roman" w:cs="Times New Roman" w:hint="eastAsia"/>
          <w:szCs w:val="21"/>
        </w:rPr>
        <w:t>P</w:t>
      </w:r>
      <w:r w:rsidRPr="00D94B42">
        <w:rPr>
          <w:rFonts w:ascii="Times New Roman" w:eastAsia="宋体" w:hAnsi="Times New Roman" w:cs="Times New Roman"/>
          <w:szCs w:val="21"/>
        </w:rPr>
        <w:t xml:space="preserve">resence of </w:t>
      </w:r>
      <w:r w:rsidRPr="00D94B42">
        <w:rPr>
          <w:rFonts w:ascii="Times New Roman" w:eastAsia="宋体" w:hAnsi="Times New Roman" w:cs="Times New Roman" w:hint="eastAsia"/>
          <w:szCs w:val="21"/>
        </w:rPr>
        <w:t>M</w:t>
      </w:r>
      <w:r w:rsidRPr="00D94B42">
        <w:rPr>
          <w:rFonts w:ascii="Times New Roman" w:eastAsia="宋体" w:hAnsi="Times New Roman" w:cs="Times New Roman"/>
          <w:szCs w:val="21"/>
        </w:rPr>
        <w:t>eaning in Life</w:t>
      </w:r>
      <w:r w:rsidRPr="00D94B42">
        <w:rPr>
          <w:rFonts w:ascii="Times New Roman" w:eastAsia="宋体" w:hAnsi="Times New Roman" w:cs="Times New Roman" w:hint="eastAsia"/>
          <w:szCs w:val="21"/>
        </w:rPr>
        <w:t xml:space="preserve">; SM: </w:t>
      </w:r>
      <w:r w:rsidRPr="00D94B42">
        <w:rPr>
          <w:rFonts w:ascii="Times New Roman" w:eastAsia="宋体" w:hAnsi="Times New Roman" w:cs="Times New Roman"/>
          <w:szCs w:val="21"/>
        </w:rPr>
        <w:t xml:space="preserve">The </w:t>
      </w:r>
      <w:r w:rsidRPr="00D94B42">
        <w:rPr>
          <w:rFonts w:ascii="Times New Roman" w:eastAsia="宋体" w:hAnsi="Times New Roman" w:cs="Times New Roman" w:hint="eastAsia"/>
          <w:szCs w:val="21"/>
        </w:rPr>
        <w:t>S</w:t>
      </w:r>
      <w:r w:rsidRPr="00D94B42">
        <w:rPr>
          <w:rFonts w:ascii="Times New Roman" w:eastAsia="宋体" w:hAnsi="Times New Roman" w:cs="Times New Roman"/>
          <w:szCs w:val="21"/>
        </w:rPr>
        <w:t xml:space="preserve">earch for </w:t>
      </w:r>
      <w:r w:rsidRPr="00D94B42">
        <w:rPr>
          <w:rFonts w:ascii="Times New Roman" w:eastAsia="宋体" w:hAnsi="Times New Roman" w:cs="Times New Roman" w:hint="eastAsia"/>
          <w:szCs w:val="21"/>
        </w:rPr>
        <w:t>M</w:t>
      </w:r>
      <w:r w:rsidRPr="00D94B42">
        <w:rPr>
          <w:rFonts w:ascii="Times New Roman" w:eastAsia="宋体" w:hAnsi="Times New Roman" w:cs="Times New Roman"/>
          <w:szCs w:val="21"/>
        </w:rPr>
        <w:t>eaning in Life</w:t>
      </w:r>
      <w:r w:rsidRPr="00D94B42">
        <w:rPr>
          <w:rFonts w:ascii="Times New Roman" w:eastAsia="宋体" w:hAnsi="Times New Roman" w:cs="Times New Roman" w:hint="eastAsia"/>
          <w:szCs w:val="21"/>
        </w:rPr>
        <w:t xml:space="preserve">; PH: </w:t>
      </w:r>
      <w:r w:rsidRPr="00D94B42">
        <w:rPr>
          <w:rFonts w:ascii="Times New Roman" w:eastAsia="宋体" w:hAnsi="Times New Roman" w:cs="Times New Roman"/>
          <w:szCs w:val="21"/>
        </w:rPr>
        <w:t xml:space="preserve">Professional </w:t>
      </w:r>
      <w:r w:rsidRPr="00D94B42">
        <w:rPr>
          <w:rFonts w:ascii="Times New Roman" w:eastAsia="宋体" w:hAnsi="Times New Roman" w:cs="Times New Roman" w:hint="eastAsia"/>
          <w:szCs w:val="21"/>
        </w:rPr>
        <w:t>H</w:t>
      </w:r>
      <w:r w:rsidRPr="00D94B42">
        <w:rPr>
          <w:rFonts w:ascii="Times New Roman" w:eastAsia="宋体" w:hAnsi="Times New Roman" w:cs="Times New Roman"/>
          <w:szCs w:val="21"/>
        </w:rPr>
        <w:t>appiness</w:t>
      </w:r>
      <w:r w:rsidRPr="00D94B42">
        <w:rPr>
          <w:rFonts w:ascii="Times New Roman" w:eastAsia="宋体" w:hAnsi="Times New Roman" w:cs="Times New Roman" w:hint="eastAsia"/>
          <w:szCs w:val="21"/>
        </w:rPr>
        <w:t>.</w:t>
      </w:r>
    </w:p>
    <w:bookmarkEnd w:id="0"/>
    <w:p w14:paraId="2E73A7A9" w14:textId="77777777" w:rsidR="00AA17C1" w:rsidRPr="00D94B42" w:rsidRDefault="00AA17C1">
      <w:pPr>
        <w:rPr>
          <w:rFonts w:hint="eastAsia"/>
        </w:rPr>
      </w:pPr>
    </w:p>
    <w:p w14:paraId="2827E2A4" w14:textId="699D0B71" w:rsidR="00E07DE8" w:rsidRDefault="00E07DE8" w:rsidP="00E07DE8">
      <w:pPr>
        <w:autoSpaceDE w:val="0"/>
        <w:autoSpaceDN w:val="0"/>
        <w:adjustRightInd w:val="0"/>
        <w:jc w:val="left"/>
        <w:rPr>
          <w:rFonts w:ascii="Times New Roman" w:hAnsi="Times New Roman" w:cs="Times New Roman"/>
          <w:kern w:val="0"/>
          <w:sz w:val="24"/>
          <w:szCs w:val="24"/>
        </w:rPr>
      </w:pPr>
      <w:r>
        <w:rPr>
          <w:rFonts w:hint="eastAsia"/>
        </w:rPr>
        <w:fldChar w:fldCharType="begin"/>
      </w:r>
      <w:r>
        <w:rPr>
          <w:rFonts w:hint="eastAsia"/>
        </w:rPr>
        <w:instrText xml:space="preserve"> ADDIN NE.Bib</w:instrText>
      </w:r>
      <w:r>
        <w:rPr>
          <w:rFonts w:hint="eastAsia"/>
        </w:rPr>
        <w:fldChar w:fldCharType="separate"/>
      </w:r>
    </w:p>
    <w:p w14:paraId="7D050AD8" w14:textId="77777777" w:rsidR="00E07DE8" w:rsidRDefault="00E07DE8">
      <w:pPr>
        <w:widowControl/>
        <w:jc w:val="left"/>
        <w:rPr>
          <w:rFonts w:ascii="Times New Roman" w:hAnsi="Times New Roman" w:cs="Times New Roman"/>
          <w:b/>
          <w:bCs/>
          <w:color w:val="000000"/>
          <w:kern w:val="0"/>
          <w:sz w:val="40"/>
          <w:szCs w:val="40"/>
        </w:rPr>
      </w:pPr>
      <w:r>
        <w:rPr>
          <w:rFonts w:ascii="Times New Roman" w:hAnsi="Times New Roman" w:cs="Times New Roman"/>
          <w:b/>
          <w:bCs/>
          <w:color w:val="000000"/>
          <w:kern w:val="0"/>
          <w:sz w:val="40"/>
          <w:szCs w:val="40"/>
        </w:rPr>
        <w:br w:type="page"/>
      </w:r>
    </w:p>
    <w:p w14:paraId="1D2E6F98" w14:textId="217ABF2E" w:rsidR="00E07DE8" w:rsidRDefault="00E07DE8" w:rsidP="00E07DE8">
      <w:pPr>
        <w:autoSpaceDE w:val="0"/>
        <w:autoSpaceDN w:val="0"/>
        <w:adjustRightInd w:val="0"/>
        <w:jc w:val="center"/>
        <w:rPr>
          <w:rFonts w:ascii="Times New Roman" w:hAnsi="Times New Roman" w:cs="Times New Roman"/>
          <w:kern w:val="0"/>
          <w:sz w:val="24"/>
          <w:szCs w:val="24"/>
        </w:rPr>
      </w:pPr>
      <w:r>
        <w:rPr>
          <w:rFonts w:ascii="Times New Roman" w:hAnsi="Times New Roman" w:cs="Times New Roman"/>
          <w:b/>
          <w:bCs/>
          <w:color w:val="000000"/>
          <w:kern w:val="0"/>
          <w:sz w:val="40"/>
          <w:szCs w:val="40"/>
        </w:rPr>
        <w:lastRenderedPageBreak/>
        <w:t>References:</w:t>
      </w:r>
    </w:p>
    <w:p w14:paraId="197BCEAC" w14:textId="77777777" w:rsidR="00E07DE8" w:rsidRDefault="00E07DE8" w:rsidP="00E07DE8">
      <w:pPr>
        <w:autoSpaceDE w:val="0"/>
        <w:autoSpaceDN w:val="0"/>
        <w:adjustRightInd w:val="0"/>
        <w:rPr>
          <w:rFonts w:ascii="Times New Roman" w:hAnsi="Times New Roman" w:cs="Times New Roman"/>
          <w:kern w:val="0"/>
          <w:sz w:val="24"/>
          <w:szCs w:val="24"/>
        </w:rPr>
      </w:pPr>
      <w:bookmarkStart w:id="1" w:name="_neb5AB3E384_963E_417F_B6DD_F59C3980330D"/>
      <w:r>
        <w:rPr>
          <w:rFonts w:ascii="Times New Roman" w:hAnsi="Times New Roman" w:cs="Times New Roman"/>
          <w:color w:val="000000"/>
          <w:kern w:val="0"/>
          <w:sz w:val="20"/>
          <w:szCs w:val="20"/>
        </w:rPr>
        <w:t xml:space="preserve">de Vries, N. et al. The Race to Retain Healthcare Workers: A Systematic Review On Factors that Impact Retention of Nurses and Physicians in Hospitals. </w:t>
      </w:r>
      <w:r>
        <w:rPr>
          <w:rFonts w:ascii="Times New Roman" w:hAnsi="Times New Roman" w:cs="Times New Roman"/>
          <w:i/>
          <w:iCs/>
          <w:color w:val="000000"/>
          <w:kern w:val="0"/>
          <w:sz w:val="20"/>
          <w:szCs w:val="20"/>
        </w:rPr>
        <w:t>INQUIRY-J HEALTH CAR</w:t>
      </w:r>
      <w:r>
        <w:rPr>
          <w:rFonts w:ascii="Times New Roman" w:hAnsi="Times New Roman" w:cs="Times New Roman"/>
          <w:color w:val="000000"/>
          <w:kern w:val="0"/>
          <w:sz w:val="20"/>
          <w:szCs w:val="20"/>
        </w:rPr>
        <w:t>. 60, (2023).</w:t>
      </w:r>
      <w:bookmarkEnd w:id="1"/>
    </w:p>
    <w:p w14:paraId="3DB455A8" w14:textId="77777777" w:rsidR="00E07DE8" w:rsidRDefault="00E07DE8" w:rsidP="00E07DE8">
      <w:pPr>
        <w:autoSpaceDE w:val="0"/>
        <w:autoSpaceDN w:val="0"/>
        <w:adjustRightInd w:val="0"/>
        <w:rPr>
          <w:rFonts w:ascii="Times New Roman" w:hAnsi="Times New Roman" w:cs="Times New Roman"/>
          <w:kern w:val="0"/>
          <w:sz w:val="24"/>
          <w:szCs w:val="24"/>
        </w:rPr>
      </w:pPr>
      <w:bookmarkStart w:id="2" w:name="_neb24724231_EDE3_4F78_81B5_C964BFE51699"/>
      <w:r>
        <w:rPr>
          <w:rFonts w:ascii="Times New Roman" w:hAnsi="Times New Roman" w:cs="Times New Roman"/>
          <w:color w:val="000000"/>
          <w:kern w:val="0"/>
          <w:sz w:val="20"/>
          <w:szCs w:val="20"/>
        </w:rPr>
        <w:t xml:space="preserve">Wu, J. et al. Factors Affecting Intention to Leave Among Icu Healthcare Professionals in China: Insights From a Cross-Sectional Survey and Xgboost Analysis. </w:t>
      </w:r>
      <w:r>
        <w:rPr>
          <w:rFonts w:ascii="Times New Roman" w:hAnsi="Times New Roman" w:cs="Times New Roman"/>
          <w:i/>
          <w:iCs/>
          <w:color w:val="000000"/>
          <w:kern w:val="0"/>
          <w:sz w:val="20"/>
          <w:szCs w:val="20"/>
        </w:rPr>
        <w:t>RISK MANAG HEALTHC P</w:t>
      </w:r>
      <w:r>
        <w:rPr>
          <w:rFonts w:ascii="Times New Roman" w:hAnsi="Times New Roman" w:cs="Times New Roman"/>
          <w:color w:val="000000"/>
          <w:kern w:val="0"/>
          <w:sz w:val="20"/>
          <w:szCs w:val="20"/>
        </w:rPr>
        <w:t>. 16, 2543-2553 (2023).</w:t>
      </w:r>
      <w:bookmarkEnd w:id="2"/>
    </w:p>
    <w:p w14:paraId="4A46D836" w14:textId="77777777" w:rsidR="00E07DE8" w:rsidRDefault="00E07DE8" w:rsidP="00E07DE8">
      <w:pPr>
        <w:autoSpaceDE w:val="0"/>
        <w:autoSpaceDN w:val="0"/>
        <w:adjustRightInd w:val="0"/>
        <w:rPr>
          <w:rFonts w:ascii="Times New Roman" w:hAnsi="Times New Roman" w:cs="Times New Roman"/>
          <w:kern w:val="0"/>
          <w:sz w:val="24"/>
          <w:szCs w:val="24"/>
        </w:rPr>
      </w:pPr>
      <w:bookmarkStart w:id="3" w:name="_nebC91A0795_89F9_4AC7_80E5_5E9324D3DFC5"/>
      <w:r>
        <w:rPr>
          <w:rFonts w:ascii="Times New Roman" w:hAnsi="Times New Roman" w:cs="Times New Roman"/>
          <w:color w:val="000000"/>
          <w:kern w:val="0"/>
          <w:sz w:val="20"/>
          <w:szCs w:val="20"/>
        </w:rPr>
        <w:t xml:space="preserve">Xu, K. et al. Turnover Intention Among Healthcare Workers in Shenzhen, China: The Mediating Effect of Job Satisfaction and Work Engagement. </w:t>
      </w:r>
      <w:r>
        <w:rPr>
          <w:rFonts w:ascii="Times New Roman" w:hAnsi="Times New Roman" w:cs="Times New Roman"/>
          <w:i/>
          <w:iCs/>
          <w:color w:val="000000"/>
          <w:kern w:val="0"/>
          <w:sz w:val="20"/>
          <w:szCs w:val="20"/>
        </w:rPr>
        <w:t>BMC HEALTH SERV RES</w:t>
      </w:r>
      <w:r>
        <w:rPr>
          <w:rFonts w:ascii="Times New Roman" w:hAnsi="Times New Roman" w:cs="Times New Roman"/>
          <w:color w:val="000000"/>
          <w:kern w:val="0"/>
          <w:sz w:val="20"/>
          <w:szCs w:val="20"/>
        </w:rPr>
        <w:t>. 24, 1413 (2024).</w:t>
      </w:r>
      <w:bookmarkEnd w:id="3"/>
    </w:p>
    <w:p w14:paraId="3DF05135" w14:textId="380EFCBE" w:rsidR="0093324A" w:rsidRPr="00AB665F" w:rsidRDefault="00E07DE8" w:rsidP="00E07DE8">
      <w:pPr>
        <w:rPr>
          <w:rFonts w:hint="eastAsia"/>
        </w:rPr>
      </w:pPr>
      <w:r>
        <w:rPr>
          <w:rFonts w:hint="eastAsia"/>
        </w:rPr>
        <w:fldChar w:fldCharType="end"/>
      </w:r>
    </w:p>
    <w:sectPr w:rsidR="0093324A" w:rsidRPr="00AB66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66A71" w14:textId="77777777" w:rsidR="001B478F" w:rsidRDefault="001B478F" w:rsidP="00A21891">
      <w:pPr>
        <w:rPr>
          <w:rFonts w:hint="eastAsia"/>
        </w:rPr>
      </w:pPr>
      <w:r>
        <w:separator/>
      </w:r>
    </w:p>
  </w:endnote>
  <w:endnote w:type="continuationSeparator" w:id="0">
    <w:p w14:paraId="29F0ABA3" w14:textId="77777777" w:rsidR="001B478F" w:rsidRDefault="001B478F" w:rsidP="00A2189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B6C6C" w14:textId="77777777" w:rsidR="001B478F" w:rsidRDefault="001B478F" w:rsidP="00A21891">
      <w:pPr>
        <w:rPr>
          <w:rFonts w:hint="eastAsia"/>
        </w:rPr>
      </w:pPr>
      <w:r>
        <w:separator/>
      </w:r>
    </w:p>
  </w:footnote>
  <w:footnote w:type="continuationSeparator" w:id="0">
    <w:p w14:paraId="15FC31F0" w14:textId="77777777" w:rsidR="001B478F" w:rsidRDefault="001B478F" w:rsidP="00A2189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E2532E57-6C94-4377-BD1E-17122E98DDFB}" w:val=" ADDIN NE.Ref.{E2532E57-6C94-4377-BD1E-17122E98DDFB}&lt;Citation&gt;&lt;Group&gt;&lt;References&gt;&lt;Item&gt;&lt;ID&gt;2&lt;/ID&gt;&lt;UID&gt;{5AB3E384-963E-417F-B6DD-F59C3980330D}&lt;/UID&gt;&lt;Title&gt;The Race to Retain Healthcare Workers: A Systematic Review on Factors that Impact Retention of Nurses and Physicians in Hospitals&lt;/Title&gt;&lt;Template&gt;Journal Article&lt;/Template&gt;&lt;Star&gt;0&lt;/Star&gt;&lt;Tag&gt;0&lt;/Tag&gt;&lt;Author&gt;de Vries, Neeltje; Boone, Anke; Godderis, Lode; Bouman, Jose; Szemik, Szymon; Matranga, Domenica; de Winter, Peter&lt;/Author&gt;&lt;Year&gt;2023&lt;/Year&gt;&lt;Details&gt;&lt;_accessed&gt;65756054&lt;/_accessed&gt;&lt;_alternate_title&gt;INQUIRY-THE JOURNAL OF HEALTH CARE ORGANIZATION PROVISION AND FINANCING&lt;/_alternate_title&gt;&lt;_author_adr&gt;Spaarne Gasthuis, Dept Internal Med, Hoofddorp, Netherlands; Spaarne Gasthuis, Dept Sci, Haarlem, Netherlands; Spaarne Gasthuis, Dept Sci, Hoofddorp, Netherlands; Katholieke Univ Leuven, Ctr Environm &amp;amp; Hlth, Leuven, Belgium; IDEWE, External Serv Prevent &amp;amp; Protect Work, Leuven, Belgium; Med Univ Silesiaia, Sch Medinie Kotawice, Dept Epidemiol, Katowice, Poland; Univ Palermo, Dept Hlth Promot Mother &amp;amp; Child Care, Internal Med &amp;amp; Med Specialties, Palermo, Italy; Katholieke Univ Leuven, Leuven Child &amp;amp; Hlth Inst, Leuven, Belgium; Katholieke Univ Leuven, Dept Dev &amp;amp; Regenerat, Leuven, Belgium; Spaarne Gasthuis, POB 417, NL-2000 AK Haarlem, Netherlands&lt;/_author_adr&gt;&lt;_collection_scope&gt;SCI;SCIE;SSCI&lt;/_collection_scope&gt;&lt;_created&gt;65017088&lt;/_created&gt;&lt;_date&gt;2023-01-01&lt;/_date&gt;&lt;_date_display&gt;2023&lt;/_date_display&gt;&lt;_doi&gt;10.1177/00469580231159318&lt;/_doi&gt;&lt;_impact_factor&gt;   1.700&lt;/_impact_factor&gt;&lt;_isbn&gt;0046-9580&lt;/_isbn&gt;&lt;_journal&gt;INQUIRY-THE JOURNAL OF HEALTH CARE ORGANIZATION PROVISION AND FINANCING&lt;/_journal&gt;&lt;_modified&gt;65756054&lt;/_modified&gt;&lt;_social_category&gt;卫生保健与服务(4) &amp;amp; 卫生政策与服务(4)&lt;/_social_category&gt;&lt;_volume&gt;60&lt;/_volume&gt;&lt;/Details&gt;&lt;Extra&gt;&lt;DBUID&gt;{0BDFCD57-99B9-47C3-9007-AFBD7217461F}&lt;/DBUID&gt;&lt;/Extra&gt;&lt;/Item&gt;&lt;/References&gt;&lt;/Group&gt;&lt;Group&gt;&lt;References&gt;&lt;Item&gt;&lt;ID&gt;555&lt;/ID&gt;&lt;UID&gt;{24724231-EDE3-4F78-81B5-C964BFE51699}&lt;/UID&gt;&lt;Title&gt;Factors Affecting Intention to Leave Among ICU Healthcare Professionals in China: Insights from a Cross-Sectional Survey and XGBoost Analysis&lt;/Title&gt;&lt;Template&gt;Journal Article&lt;/Template&gt;&lt;Star&gt;0&lt;/Star&gt;&lt;Tag&gt;0&lt;/Tag&gt;&lt;Author&gt;Wu, J; Zhang, C; He, F; Wang, Y; Zeng, L; Liu, W; Zhao, D; Mao, J; Gao, F&lt;/Author&gt;&lt;Year&gt;2023&lt;/Year&gt;&lt;Details&gt;&lt;_accessed&gt;66406896&lt;/_accessed&gt;&lt;_accession_num&gt;38024488&lt;/_accession_num&gt;&lt;_author_adr&gt;Department of Artificial Intelligence, Tianjin University of Technology, Tianjin,  People&amp;apos;s Republic of China.; Sixth Department of Oncology, Hebei General Hospital, Shijiazhuang, People&amp;apos;s  Republic of China.; The Second Hospital of Hebei Medical University, Shijiazhuang, People&amp;apos;s Republic  of China.; Department of Neurosurgery, Tangshan Gongren Hospital, Tangshan, People&amp;apos;s  Republic of China.; Department of Nursing, Chengdu Fifth People&amp;apos;s Hospital, The Fifth People&amp;apos;s  Hospital Affiliated to Chengdu University of Traditional Chinese Medicine,  Chengdu, People&amp;apos;s Republic of China.; Hebei Psychological Counselor Association, Shijiazhuang, People&amp;apos;s Republic of  China.; Department of Neurosurgery, The Fourth Hospital of Hebei Medical University,  Shijiazhuang, People&amp;apos;s Republic of China.; Department of Artificial Intelligence, Tianjin University of Technology, Tianjin,  People&amp;apos;s Republic of China.; Hebei General Hospital, Shijiazhuang, People&amp;apos;s Republic of China.&lt;/_author_adr&gt;&lt;_collection_scope&gt;SSCI;SCIE&lt;/_collection_scope&gt;&lt;_created&gt;66406896&lt;/_created&gt;&lt;_date&gt;2023-01-20&lt;/_date&gt;&lt;_date_display&gt;2023&lt;/_date_display&gt;&lt;_doi&gt;10.2147/RMHP.S432847&lt;/_doi&gt;&lt;_impact_factor&gt;   3.500&lt;/_impact_factor&gt;&lt;_isbn&gt;1179-1594 (Print); 1179-1594 (Electronic); 1179-1594 (Linking)&lt;/_isbn&gt;&lt;_journal&gt;Risk Manag Healthc Policy&lt;/_journal&gt;&lt;_keywords&gt;ICU healthcare professionals; XGBoost; cross-sectional survey; extreme gradient boosting; intention to leave&lt;/_keywords&gt;&lt;_language&gt;eng&lt;/_language&gt;&lt;_modified&gt;66406896&lt;/_modified&gt;&lt;_ori_publication&gt;© 2023 Wu et al.&lt;/_ori_publication&gt;&lt;_pages&gt;2543-2553&lt;/_pages&gt;&lt;_social_category&gt;卫生保健与服务(4) &amp;amp; 卫生政策与服务(4)&lt;/_social_category&gt;&lt;_tertiary_title&gt;Risk management and healthcare policy&lt;/_tertiary_title&gt;&lt;_type_work&gt;Journal Article&lt;/_type_work&gt;&lt;_url&gt;http://www.ncbi.nlm.nih.gov/entrez/query.fcgi?cmd=Retrieve&amp;amp;db=pubmed&amp;amp;dopt=Abstract&amp;amp;list_uids=38024488&amp;amp;query_hl=1&lt;/_url&gt;&lt;_volume&gt;16&lt;/_volume&gt;&lt;/Details&gt;&lt;Extra&gt;&lt;DBUID&gt;{0BDFCD57-99B9-47C3-9007-AFBD7217461F}&lt;/DBUID&gt;&lt;/Extra&gt;&lt;/Item&gt;&lt;/References&gt;&lt;/Group&gt;&lt;Group&gt;&lt;References&gt;&lt;Item&gt;&lt;ID&gt;556&lt;/ID&gt;&lt;UID&gt;{C91A0795-89F9-4AC7-80E5-5E9324D3DFC5}&lt;/UID&gt;&lt;Title&gt;Turnover intention among healthcare workers in Shenzhen, China: the mediating effect of job satisfaction and work engagement&lt;/Title&gt;&lt;Template&gt;Journal Article&lt;/Template&gt;&lt;Star&gt;0&lt;/Star&gt;&lt;Tag&gt;0&lt;/Tag&gt;&lt;Author&gt;Xu, K; Lei, L; Guo, Z; Liu, X; Shi, Y; Han, G; Lin, K; Cai, W; Lu, C; Li, X; Li, Y; Peng, K&lt;/Author&gt;&lt;Year&gt;2024&lt;/Year&gt;&lt;Details&gt;&lt;_accessed&gt;66411141&lt;/_accessed&gt;&lt;_accession_num&gt;39548526&lt;/_accession_num&gt;&lt;_author_adr&gt;School of Public Health, Hengyang Medical School, University of South China,  Hengyang, Hunan Province, China.; National Clinical Research Center for Cardiovascular Diseases, Fuwai Shenzhen  Hospital Chinese Academy of Medical Sciences, Shenzhen, Guangdong Province,  China.; Shenzhen Center for Chronic Disease Control, Shenzhen, Guangdong Province, China.; School of Public Health, Hengyang Medical School, University of South China,  Hengyang, Hunan Province, China.; National Clinical Research Center for Cardiovascular Diseases, Fuwai Shenzhen  Hospital Chinese Academy of Medical Sciences, Shenzhen, Guangdong Province,  China.; National Clinical Research Center for Cardiovascular Diseases, Fuwai Shenzhen  Hospital Chinese Academy of Medical Sciences, Shenzhen, Guangdong Province,  China.; National Clinical Research Center for Cardiovascular Diseases, Fuwai Shenzhen  Hospital Chinese Academy of Medical Sciences, Shenzhen, Guangdong Province,  China.; National Clinical Research Center for Cardiovascular Diseases, Fuwai Shenzhen  Hospital Chinese Academy of Medical Sciences, Shenzhen, Guangdong Province,  China.; Shenzhen Center for Chronic Disease Control, Shenzhen, Guangdong Province, China.; Shenzhen Center for Chronic Disease Control, Shenzhen, Guangdong Province, China.; National Clinical Research Center for Cardiovascular Diseases, Fuwai Shenzhen  Hospital Chinese Academy of Medical Sciences, Shenzhen, Guangdong Province,  China.; National Clinical Research Center for Cardiovascular Diseases, Fuwai Shenzhen  Hospital Chinese Academy of Medical Sciences, Shenzhen, Guangdong Province,  China.; National Clinical Research Center for Cardiovascular Diseases, Fuwai Shenzhen  Hospital Chinese Academy of Medical Sciences, Shenzhen, Guangdong Province,  China. yichongli.cvd@139.com.; National Clinical Research Center for Cardiovascular Diseases, Fuwai Shenzhen  Hospital Chinese Academy of Medical Sciences, Shenzhen, Guangdong Province,  China. drpengke@163.com.&lt;/_author_adr&gt;&lt;_collection_scope&gt;SCIE&lt;/_collection_scope&gt;&lt;_created&gt;66406897&lt;/_created&gt;&lt;_date&gt;2024-11-15&lt;/_date&gt;&lt;_date_display&gt;2024 Nov 15&lt;/_date_display&gt;&lt;_doi&gt;10.1186/s12913-024-11872-6&lt;/_doi&gt;&lt;_impact_factor&gt;   2.800&lt;/_impact_factor&gt;&lt;_isbn&gt;1472-6963 (Electronic); 1472-6963 (Linking)&lt;/_isbn&gt;&lt;_issue&gt;1&lt;/_issue&gt;&lt;_journal&gt;BMC Health Serv Res&lt;/_journal&gt;&lt;_keywords&gt;Administrative positions; Healthcare worker; Job satisfaction; Monthly income; Professional titles; Turnover intention; Work engagement&lt;/_keywords&gt;&lt;_language&gt;eng&lt;/_language&gt;&lt;_modified&gt;66411141&lt;/_modified&gt;&lt;_ori_publication&gt;© 2024. The Author(s).&lt;/_ori_publication&gt;&lt;_pages&gt;1413&lt;/_pages&gt;&lt;_social_category&gt;卫生保健与服务(3)&lt;/_social_category&gt;&lt;_subject_headings&gt;Humans; *Job Satisfaction; *Personnel Turnover/statistics &amp;amp; numerical data; Male; Female; China; Cross-Sectional Studies; Adult; *Work Engagement; *Health Personnel/psychology/statistics &amp;amp; numerical data; Middle Aged; *Intention; Surveys and Questionnaires&lt;/_subject_headings&gt;&lt;_tertiary_title&gt;BMC health services research&lt;/_tertiary_title&gt;&lt;_type_work&gt;Journal Article&lt;/_type_work&gt;&lt;_url&gt;http://www.ncbi.nlm.nih.gov/entrez/query.fcgi?cmd=Retrieve&amp;amp;db=pubmed&amp;amp;dopt=Abstract&amp;amp;list_uids=39548526&amp;amp;query_hl=1&lt;/_url&gt;&lt;_volume&gt;24&lt;/_volume&gt;&lt;/Details&gt;&lt;Extra&gt;&lt;DBUID&gt;{0BDFCD57-99B9-47C3-9007-AFBD7217461F}&lt;/DBUID&gt;&lt;/Extra&gt;&lt;/Item&gt;&lt;/References&gt;&lt;/Group&gt;&lt;/Citation&gt;_x000a_"/>
    <w:docVar w:name="ne_stylename" w:val="Scientific Reports"/>
  </w:docVars>
  <w:rsids>
    <w:rsidRoot w:val="00F314F4"/>
    <w:rsid w:val="000370B5"/>
    <w:rsid w:val="001370E9"/>
    <w:rsid w:val="001743BD"/>
    <w:rsid w:val="00184C3C"/>
    <w:rsid w:val="001B478F"/>
    <w:rsid w:val="00236219"/>
    <w:rsid w:val="0027595F"/>
    <w:rsid w:val="002971ED"/>
    <w:rsid w:val="002C761D"/>
    <w:rsid w:val="002F5BB0"/>
    <w:rsid w:val="00307474"/>
    <w:rsid w:val="00313B31"/>
    <w:rsid w:val="00352912"/>
    <w:rsid w:val="003804F4"/>
    <w:rsid w:val="00446192"/>
    <w:rsid w:val="0045049E"/>
    <w:rsid w:val="00466595"/>
    <w:rsid w:val="00516EFF"/>
    <w:rsid w:val="00594F0D"/>
    <w:rsid w:val="005A3551"/>
    <w:rsid w:val="0064280B"/>
    <w:rsid w:val="006F0FD9"/>
    <w:rsid w:val="008458B3"/>
    <w:rsid w:val="008861C9"/>
    <w:rsid w:val="008A0A6E"/>
    <w:rsid w:val="008A6343"/>
    <w:rsid w:val="008C03CE"/>
    <w:rsid w:val="00932243"/>
    <w:rsid w:val="0093324A"/>
    <w:rsid w:val="009A2FDF"/>
    <w:rsid w:val="009F4FDB"/>
    <w:rsid w:val="00A21891"/>
    <w:rsid w:val="00A965A0"/>
    <w:rsid w:val="00AA17C1"/>
    <w:rsid w:val="00AB58D0"/>
    <w:rsid w:val="00AB665F"/>
    <w:rsid w:val="00B31DD5"/>
    <w:rsid w:val="00B403EA"/>
    <w:rsid w:val="00B87C25"/>
    <w:rsid w:val="00CA6662"/>
    <w:rsid w:val="00D07162"/>
    <w:rsid w:val="00D104AF"/>
    <w:rsid w:val="00D5183D"/>
    <w:rsid w:val="00D8439B"/>
    <w:rsid w:val="00D94B42"/>
    <w:rsid w:val="00DC6049"/>
    <w:rsid w:val="00DE7BEF"/>
    <w:rsid w:val="00E07DE8"/>
    <w:rsid w:val="00E657AC"/>
    <w:rsid w:val="00EB73CE"/>
    <w:rsid w:val="00F00495"/>
    <w:rsid w:val="00F220FE"/>
    <w:rsid w:val="00F314F4"/>
    <w:rsid w:val="00F75EAA"/>
    <w:rsid w:val="00F77A37"/>
    <w:rsid w:val="00FE4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3C9B5"/>
  <w15:chartTrackingRefBased/>
  <w15:docId w15:val="{85696DA0-ACFE-4D39-9121-663020F1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891"/>
    <w:pPr>
      <w:tabs>
        <w:tab w:val="center" w:pos="4153"/>
        <w:tab w:val="right" w:pos="8306"/>
      </w:tabs>
      <w:snapToGrid w:val="0"/>
      <w:jc w:val="center"/>
    </w:pPr>
    <w:rPr>
      <w:sz w:val="18"/>
      <w:szCs w:val="18"/>
    </w:rPr>
  </w:style>
  <w:style w:type="character" w:customStyle="1" w:styleId="a4">
    <w:name w:val="页眉 字符"/>
    <w:basedOn w:val="a0"/>
    <w:link w:val="a3"/>
    <w:uiPriority w:val="99"/>
    <w:rsid w:val="00A21891"/>
    <w:rPr>
      <w:sz w:val="18"/>
      <w:szCs w:val="18"/>
    </w:rPr>
  </w:style>
  <w:style w:type="paragraph" w:styleId="a5">
    <w:name w:val="footer"/>
    <w:basedOn w:val="a"/>
    <w:link w:val="a6"/>
    <w:uiPriority w:val="99"/>
    <w:unhideWhenUsed/>
    <w:rsid w:val="00A21891"/>
    <w:pPr>
      <w:tabs>
        <w:tab w:val="center" w:pos="4153"/>
        <w:tab w:val="right" w:pos="8306"/>
      </w:tabs>
      <w:snapToGrid w:val="0"/>
      <w:jc w:val="left"/>
    </w:pPr>
    <w:rPr>
      <w:sz w:val="18"/>
      <w:szCs w:val="18"/>
    </w:rPr>
  </w:style>
  <w:style w:type="character" w:customStyle="1" w:styleId="a6">
    <w:name w:val="页脚 字符"/>
    <w:basedOn w:val="a0"/>
    <w:link w:val="a5"/>
    <w:uiPriority w:val="99"/>
    <w:rsid w:val="00A21891"/>
    <w:rPr>
      <w:sz w:val="18"/>
      <w:szCs w:val="18"/>
    </w:rPr>
  </w:style>
  <w:style w:type="table" w:styleId="a7">
    <w:name w:val="Table Grid"/>
    <w:basedOn w:val="a1"/>
    <w:autoRedefine/>
    <w:uiPriority w:val="39"/>
    <w:qFormat/>
    <w:rsid w:val="00A2189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291</Words>
  <Characters>1664</Characters>
  <Application>Microsoft Office Word</Application>
  <DocSecurity>0</DocSecurity>
  <Lines>13</Lines>
  <Paragraphs>3</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zzzzz Z</dc:creator>
  <cp:keywords/>
  <dc:description>NE.Bib</dc:description>
  <cp:lastModifiedBy>zh z</cp:lastModifiedBy>
  <cp:revision>2</cp:revision>
  <dcterms:created xsi:type="dcterms:W3CDTF">2026-04-10T02:00:00Z</dcterms:created>
  <dcterms:modified xsi:type="dcterms:W3CDTF">2026-04-10T02:00:00Z</dcterms:modified>
</cp:coreProperties>
</file>