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A71A5" w14:textId="3DD6C1F9" w:rsidR="002029D5" w:rsidRPr="000B289D" w:rsidRDefault="002029D5" w:rsidP="00A41A8F">
      <w:pPr>
        <w:rPr>
          <w:rFonts w:asciiTheme="majorBidi" w:hAnsiTheme="majorBidi" w:cstheme="majorBidi"/>
        </w:rPr>
      </w:pPr>
      <w:r w:rsidRPr="000B289D">
        <w:rPr>
          <w:rFonts w:asciiTheme="majorBidi" w:hAnsiTheme="majorBidi" w:cstheme="majorBidi"/>
        </w:rPr>
        <w:t xml:space="preserve">Supplementary Table 1 – </w:t>
      </w:r>
    </w:p>
    <w:p w14:paraId="742D5B49" w14:textId="2C5CA173" w:rsidR="002029D5" w:rsidRPr="000B289D" w:rsidRDefault="002029D5" w:rsidP="00A41A8F">
      <w:pPr>
        <w:rPr>
          <w:rFonts w:asciiTheme="majorBidi" w:hAnsiTheme="majorBidi" w:cstheme="majorBidi"/>
        </w:rPr>
      </w:pPr>
      <w:r w:rsidRPr="000B289D">
        <w:rPr>
          <w:rFonts w:asciiTheme="majorBidi" w:hAnsiTheme="majorBidi" w:cstheme="majorBidi"/>
        </w:rPr>
        <w:t>Supplementary Table 1. Quantitative densitometry analysis of XBP</w:t>
      </w:r>
      <w:r w:rsidRPr="000B289D">
        <w:rPr>
          <w:rFonts w:asciiTheme="majorBidi" w:hAnsiTheme="majorBidi" w:cstheme="majorBidi"/>
        </w:rPr>
        <w:noBreakHyphen/>
        <w:t xml:space="preserve">1 splicing in rat hippocampus. The intensity of </w:t>
      </w:r>
      <w:proofErr w:type="spellStart"/>
      <w:r w:rsidRPr="000B289D">
        <w:rPr>
          <w:rFonts w:asciiTheme="majorBidi" w:hAnsiTheme="majorBidi" w:cstheme="majorBidi"/>
        </w:rPr>
        <w:t>unspliced</w:t>
      </w:r>
      <w:proofErr w:type="spellEnd"/>
      <w:r w:rsidRPr="000B289D">
        <w:rPr>
          <w:rFonts w:asciiTheme="majorBidi" w:hAnsiTheme="majorBidi" w:cstheme="majorBidi"/>
        </w:rPr>
        <w:t xml:space="preserve"> (uXBP1, ~480 bp) and spliced (sXBP1, ~454 bp) bands was measured from agarose gel electrophoresis (Figure 7) using ImageJ software. Splicing efficiency (%) was calculated as [sXBP1 intensity / (uXBP1 intensity + sXBP1 intensity)] × 100. Values are normalized to GAPDH as loading control. Data are presented as mean ± SEM (n=3 independent PCR reactions per group). ND = not detected.</w:t>
      </w:r>
    </w:p>
    <w:tbl>
      <w:tblPr>
        <w:tblW w:w="0" w:type="auto"/>
        <w:tblCellMar>
          <w:top w:w="15" w:type="dxa"/>
          <w:left w:w="15" w:type="dxa"/>
          <w:bottom w:w="15" w:type="dxa"/>
          <w:right w:w="15" w:type="dxa"/>
        </w:tblCellMar>
        <w:tblLook w:val="04A0" w:firstRow="1" w:lastRow="0" w:firstColumn="1" w:lastColumn="0" w:noHBand="0" w:noVBand="1"/>
      </w:tblPr>
      <w:tblGrid>
        <w:gridCol w:w="2140"/>
        <w:gridCol w:w="2385"/>
        <w:gridCol w:w="2364"/>
        <w:gridCol w:w="2471"/>
      </w:tblGrid>
      <w:tr w:rsidR="002029D5" w:rsidRPr="000B289D" w14:paraId="6677D3EF" w14:textId="77777777" w:rsidTr="002029D5">
        <w:trPr>
          <w:tblHeader/>
        </w:trPr>
        <w:tc>
          <w:tcPr>
            <w:tcW w:w="0" w:type="auto"/>
            <w:tcBorders>
              <w:top w:val="nil"/>
            </w:tcBorders>
            <w:tcMar>
              <w:top w:w="150" w:type="dxa"/>
              <w:left w:w="0" w:type="dxa"/>
              <w:bottom w:w="150" w:type="dxa"/>
              <w:right w:w="240" w:type="dxa"/>
            </w:tcMar>
            <w:vAlign w:val="center"/>
            <w:hideMark/>
          </w:tcPr>
          <w:p w14:paraId="0B13FFBA" w14:textId="77777777" w:rsidR="002029D5" w:rsidRPr="000B289D" w:rsidRDefault="002029D5" w:rsidP="00A41A8F">
            <w:pPr>
              <w:rPr>
                <w:rFonts w:asciiTheme="majorBidi" w:hAnsiTheme="majorBidi" w:cstheme="majorBidi"/>
              </w:rPr>
            </w:pPr>
            <w:r w:rsidRPr="000B289D">
              <w:rPr>
                <w:rFonts w:asciiTheme="majorBidi" w:hAnsiTheme="majorBidi" w:cstheme="majorBidi"/>
              </w:rPr>
              <w:t>Group</w:t>
            </w:r>
          </w:p>
        </w:tc>
        <w:tc>
          <w:tcPr>
            <w:tcW w:w="0" w:type="auto"/>
            <w:tcBorders>
              <w:top w:val="nil"/>
            </w:tcBorders>
            <w:tcMar>
              <w:top w:w="150" w:type="dxa"/>
              <w:left w:w="240" w:type="dxa"/>
              <w:bottom w:w="150" w:type="dxa"/>
              <w:right w:w="240" w:type="dxa"/>
            </w:tcMar>
            <w:vAlign w:val="center"/>
            <w:hideMark/>
          </w:tcPr>
          <w:p w14:paraId="19462DF5" w14:textId="77777777" w:rsidR="002029D5" w:rsidRPr="000B289D" w:rsidRDefault="002029D5" w:rsidP="00A41A8F">
            <w:pPr>
              <w:rPr>
                <w:rFonts w:asciiTheme="majorBidi" w:hAnsiTheme="majorBidi" w:cstheme="majorBidi"/>
              </w:rPr>
            </w:pPr>
            <w:r w:rsidRPr="000B289D">
              <w:rPr>
                <w:rFonts w:asciiTheme="majorBidi" w:hAnsiTheme="majorBidi" w:cstheme="majorBidi"/>
              </w:rPr>
              <w:t>uXBP1 intensity (AU)</w:t>
            </w:r>
          </w:p>
        </w:tc>
        <w:tc>
          <w:tcPr>
            <w:tcW w:w="0" w:type="auto"/>
            <w:tcBorders>
              <w:top w:val="nil"/>
            </w:tcBorders>
            <w:tcMar>
              <w:top w:w="150" w:type="dxa"/>
              <w:left w:w="240" w:type="dxa"/>
              <w:bottom w:w="150" w:type="dxa"/>
              <w:right w:w="240" w:type="dxa"/>
            </w:tcMar>
            <w:vAlign w:val="center"/>
            <w:hideMark/>
          </w:tcPr>
          <w:p w14:paraId="345DCA00" w14:textId="77777777" w:rsidR="002029D5" w:rsidRPr="000B289D" w:rsidRDefault="002029D5" w:rsidP="00A41A8F">
            <w:pPr>
              <w:rPr>
                <w:rFonts w:asciiTheme="majorBidi" w:hAnsiTheme="majorBidi" w:cstheme="majorBidi"/>
              </w:rPr>
            </w:pPr>
            <w:r w:rsidRPr="000B289D">
              <w:rPr>
                <w:rFonts w:asciiTheme="majorBidi" w:hAnsiTheme="majorBidi" w:cstheme="majorBidi"/>
              </w:rPr>
              <w:t>sXBP1 intensity (AU)</w:t>
            </w:r>
          </w:p>
        </w:tc>
        <w:tc>
          <w:tcPr>
            <w:tcW w:w="0" w:type="auto"/>
            <w:tcBorders>
              <w:top w:val="nil"/>
            </w:tcBorders>
            <w:tcMar>
              <w:top w:w="150" w:type="dxa"/>
              <w:left w:w="240" w:type="dxa"/>
              <w:bottom w:w="150" w:type="dxa"/>
              <w:right w:w="240" w:type="dxa"/>
            </w:tcMar>
            <w:vAlign w:val="center"/>
            <w:hideMark/>
          </w:tcPr>
          <w:p w14:paraId="0D1B2C1C" w14:textId="77777777" w:rsidR="002029D5" w:rsidRPr="000B289D" w:rsidRDefault="002029D5" w:rsidP="00A41A8F">
            <w:pPr>
              <w:rPr>
                <w:rFonts w:asciiTheme="majorBidi" w:hAnsiTheme="majorBidi" w:cstheme="majorBidi"/>
              </w:rPr>
            </w:pPr>
            <w:r w:rsidRPr="000B289D">
              <w:rPr>
                <w:rFonts w:asciiTheme="majorBidi" w:hAnsiTheme="majorBidi" w:cstheme="majorBidi"/>
              </w:rPr>
              <w:t>Splicing efficiency (%)</w:t>
            </w:r>
          </w:p>
        </w:tc>
      </w:tr>
      <w:tr w:rsidR="002029D5" w:rsidRPr="000B289D" w14:paraId="07C7EFCF" w14:textId="77777777" w:rsidTr="002029D5">
        <w:tc>
          <w:tcPr>
            <w:tcW w:w="0" w:type="auto"/>
            <w:tcMar>
              <w:top w:w="150" w:type="dxa"/>
              <w:left w:w="0" w:type="dxa"/>
              <w:bottom w:w="150" w:type="dxa"/>
              <w:right w:w="240" w:type="dxa"/>
            </w:tcMar>
            <w:vAlign w:val="center"/>
            <w:hideMark/>
          </w:tcPr>
          <w:p w14:paraId="1E0A66A5" w14:textId="77777777" w:rsidR="002029D5" w:rsidRPr="000B289D" w:rsidRDefault="002029D5" w:rsidP="00A41A8F">
            <w:pPr>
              <w:rPr>
                <w:rFonts w:asciiTheme="majorBidi" w:hAnsiTheme="majorBidi" w:cstheme="majorBidi"/>
              </w:rPr>
            </w:pPr>
            <w:r w:rsidRPr="000B289D">
              <w:rPr>
                <w:rFonts w:asciiTheme="majorBidi" w:hAnsiTheme="majorBidi" w:cstheme="majorBidi"/>
              </w:rPr>
              <w:t>Control (sham)</w:t>
            </w:r>
          </w:p>
        </w:tc>
        <w:tc>
          <w:tcPr>
            <w:tcW w:w="0" w:type="auto"/>
            <w:tcMar>
              <w:top w:w="150" w:type="dxa"/>
              <w:left w:w="240" w:type="dxa"/>
              <w:bottom w:w="150" w:type="dxa"/>
              <w:right w:w="240" w:type="dxa"/>
            </w:tcMar>
            <w:vAlign w:val="center"/>
            <w:hideMark/>
          </w:tcPr>
          <w:p w14:paraId="10109439" w14:textId="77777777" w:rsidR="002029D5" w:rsidRPr="000B289D" w:rsidRDefault="002029D5" w:rsidP="00A41A8F">
            <w:pPr>
              <w:rPr>
                <w:rFonts w:asciiTheme="majorBidi" w:hAnsiTheme="majorBidi" w:cstheme="majorBidi"/>
              </w:rPr>
            </w:pPr>
            <w:r w:rsidRPr="000B289D">
              <w:rPr>
                <w:rFonts w:asciiTheme="majorBidi" w:hAnsiTheme="majorBidi" w:cstheme="majorBidi"/>
              </w:rPr>
              <w:t>1.42 ± 0.11</w:t>
            </w:r>
          </w:p>
        </w:tc>
        <w:tc>
          <w:tcPr>
            <w:tcW w:w="0" w:type="auto"/>
            <w:tcMar>
              <w:top w:w="150" w:type="dxa"/>
              <w:left w:w="240" w:type="dxa"/>
              <w:bottom w:w="150" w:type="dxa"/>
              <w:right w:w="240" w:type="dxa"/>
            </w:tcMar>
            <w:vAlign w:val="center"/>
            <w:hideMark/>
          </w:tcPr>
          <w:p w14:paraId="6712FEBC" w14:textId="77777777" w:rsidR="002029D5" w:rsidRPr="000B289D" w:rsidRDefault="002029D5" w:rsidP="00A41A8F">
            <w:pPr>
              <w:rPr>
                <w:rFonts w:asciiTheme="majorBidi" w:hAnsiTheme="majorBidi" w:cstheme="majorBidi"/>
              </w:rPr>
            </w:pPr>
            <w:r w:rsidRPr="000B289D">
              <w:rPr>
                <w:rFonts w:asciiTheme="majorBidi" w:hAnsiTheme="majorBidi" w:cstheme="majorBidi"/>
              </w:rPr>
              <w:t>ND</w:t>
            </w:r>
          </w:p>
        </w:tc>
        <w:tc>
          <w:tcPr>
            <w:tcW w:w="0" w:type="auto"/>
            <w:tcMar>
              <w:top w:w="150" w:type="dxa"/>
              <w:left w:w="240" w:type="dxa"/>
              <w:bottom w:w="150" w:type="dxa"/>
              <w:right w:w="0" w:type="dxa"/>
            </w:tcMar>
            <w:vAlign w:val="center"/>
            <w:hideMark/>
          </w:tcPr>
          <w:p w14:paraId="5EC35CB2" w14:textId="77777777" w:rsidR="002029D5" w:rsidRPr="000B289D" w:rsidRDefault="002029D5" w:rsidP="00A41A8F">
            <w:pPr>
              <w:rPr>
                <w:rFonts w:asciiTheme="majorBidi" w:hAnsiTheme="majorBidi" w:cstheme="majorBidi"/>
              </w:rPr>
            </w:pPr>
            <w:r w:rsidRPr="000B289D">
              <w:rPr>
                <w:rFonts w:asciiTheme="majorBidi" w:hAnsiTheme="majorBidi" w:cstheme="majorBidi"/>
              </w:rPr>
              <w:t>0</w:t>
            </w:r>
          </w:p>
        </w:tc>
      </w:tr>
      <w:tr w:rsidR="002029D5" w:rsidRPr="000B289D" w14:paraId="4DDAD54D" w14:textId="77777777" w:rsidTr="002029D5">
        <w:tc>
          <w:tcPr>
            <w:tcW w:w="0" w:type="auto"/>
            <w:tcMar>
              <w:top w:w="150" w:type="dxa"/>
              <w:left w:w="0" w:type="dxa"/>
              <w:bottom w:w="150" w:type="dxa"/>
              <w:right w:w="240" w:type="dxa"/>
            </w:tcMar>
            <w:vAlign w:val="center"/>
            <w:hideMark/>
          </w:tcPr>
          <w:p w14:paraId="1C479531" w14:textId="77777777" w:rsidR="002029D5" w:rsidRPr="000B289D" w:rsidRDefault="002029D5" w:rsidP="00A41A8F">
            <w:pPr>
              <w:rPr>
                <w:rFonts w:asciiTheme="majorBidi" w:hAnsiTheme="majorBidi" w:cstheme="majorBidi"/>
              </w:rPr>
            </w:pPr>
            <w:r w:rsidRPr="000B289D">
              <w:rPr>
                <w:rFonts w:asciiTheme="majorBidi" w:hAnsiTheme="majorBidi" w:cstheme="majorBidi"/>
              </w:rPr>
              <w:t>AD model (STZ)</w:t>
            </w:r>
          </w:p>
        </w:tc>
        <w:tc>
          <w:tcPr>
            <w:tcW w:w="0" w:type="auto"/>
            <w:tcMar>
              <w:top w:w="150" w:type="dxa"/>
              <w:left w:w="240" w:type="dxa"/>
              <w:bottom w:w="150" w:type="dxa"/>
              <w:right w:w="240" w:type="dxa"/>
            </w:tcMar>
            <w:vAlign w:val="center"/>
            <w:hideMark/>
          </w:tcPr>
          <w:p w14:paraId="01334D19" w14:textId="77777777" w:rsidR="002029D5" w:rsidRPr="000B289D" w:rsidRDefault="002029D5" w:rsidP="00A41A8F">
            <w:pPr>
              <w:rPr>
                <w:rFonts w:asciiTheme="majorBidi" w:hAnsiTheme="majorBidi" w:cstheme="majorBidi"/>
              </w:rPr>
            </w:pPr>
            <w:r w:rsidRPr="000B289D">
              <w:rPr>
                <w:rFonts w:asciiTheme="majorBidi" w:hAnsiTheme="majorBidi" w:cstheme="majorBidi"/>
              </w:rPr>
              <w:t>0.89 ± 0.08</w:t>
            </w:r>
          </w:p>
        </w:tc>
        <w:tc>
          <w:tcPr>
            <w:tcW w:w="0" w:type="auto"/>
            <w:tcMar>
              <w:top w:w="150" w:type="dxa"/>
              <w:left w:w="240" w:type="dxa"/>
              <w:bottom w:w="150" w:type="dxa"/>
              <w:right w:w="240" w:type="dxa"/>
            </w:tcMar>
            <w:vAlign w:val="center"/>
            <w:hideMark/>
          </w:tcPr>
          <w:p w14:paraId="282178D2" w14:textId="77777777" w:rsidR="002029D5" w:rsidRPr="000B289D" w:rsidRDefault="002029D5" w:rsidP="00A41A8F">
            <w:pPr>
              <w:rPr>
                <w:rFonts w:asciiTheme="majorBidi" w:hAnsiTheme="majorBidi" w:cstheme="majorBidi"/>
              </w:rPr>
            </w:pPr>
            <w:r w:rsidRPr="000B289D">
              <w:rPr>
                <w:rFonts w:asciiTheme="majorBidi" w:hAnsiTheme="majorBidi" w:cstheme="majorBidi"/>
              </w:rPr>
              <w:t>0.76 ± 0.07</w:t>
            </w:r>
          </w:p>
        </w:tc>
        <w:tc>
          <w:tcPr>
            <w:tcW w:w="0" w:type="auto"/>
            <w:tcMar>
              <w:top w:w="150" w:type="dxa"/>
              <w:left w:w="240" w:type="dxa"/>
              <w:bottom w:w="150" w:type="dxa"/>
              <w:right w:w="0" w:type="dxa"/>
            </w:tcMar>
            <w:vAlign w:val="center"/>
            <w:hideMark/>
          </w:tcPr>
          <w:p w14:paraId="2724E7BC" w14:textId="77777777" w:rsidR="002029D5" w:rsidRPr="000B289D" w:rsidRDefault="002029D5" w:rsidP="00A41A8F">
            <w:pPr>
              <w:rPr>
                <w:rFonts w:asciiTheme="majorBidi" w:hAnsiTheme="majorBidi" w:cstheme="majorBidi"/>
              </w:rPr>
            </w:pPr>
            <w:r w:rsidRPr="000B289D">
              <w:rPr>
                <w:rFonts w:asciiTheme="majorBidi" w:hAnsiTheme="majorBidi" w:cstheme="majorBidi"/>
              </w:rPr>
              <w:t>46.1 ± 3.2</w:t>
            </w:r>
          </w:p>
        </w:tc>
      </w:tr>
      <w:tr w:rsidR="002029D5" w:rsidRPr="000B289D" w14:paraId="7947344E" w14:textId="77777777" w:rsidTr="002029D5">
        <w:tc>
          <w:tcPr>
            <w:tcW w:w="0" w:type="auto"/>
            <w:tcMar>
              <w:top w:w="150" w:type="dxa"/>
              <w:left w:w="0" w:type="dxa"/>
              <w:bottom w:w="150" w:type="dxa"/>
              <w:right w:w="240" w:type="dxa"/>
            </w:tcMar>
            <w:vAlign w:val="center"/>
            <w:hideMark/>
          </w:tcPr>
          <w:p w14:paraId="3C0396F8" w14:textId="77777777" w:rsidR="002029D5" w:rsidRPr="000B289D" w:rsidRDefault="002029D5" w:rsidP="00A41A8F">
            <w:pPr>
              <w:rPr>
                <w:rFonts w:asciiTheme="majorBidi" w:hAnsiTheme="majorBidi" w:cstheme="majorBidi"/>
              </w:rPr>
            </w:pPr>
            <w:r w:rsidRPr="000B289D">
              <w:rPr>
                <w:rFonts w:asciiTheme="majorBidi" w:hAnsiTheme="majorBidi" w:cstheme="majorBidi"/>
              </w:rPr>
              <w:t>STZ + Free Quercetin</w:t>
            </w:r>
          </w:p>
        </w:tc>
        <w:tc>
          <w:tcPr>
            <w:tcW w:w="0" w:type="auto"/>
            <w:tcMar>
              <w:top w:w="150" w:type="dxa"/>
              <w:left w:w="240" w:type="dxa"/>
              <w:bottom w:w="150" w:type="dxa"/>
              <w:right w:w="240" w:type="dxa"/>
            </w:tcMar>
            <w:vAlign w:val="center"/>
            <w:hideMark/>
          </w:tcPr>
          <w:p w14:paraId="70C372CB" w14:textId="77777777" w:rsidR="002029D5" w:rsidRPr="000B289D" w:rsidRDefault="002029D5" w:rsidP="00A41A8F">
            <w:pPr>
              <w:rPr>
                <w:rFonts w:asciiTheme="majorBidi" w:hAnsiTheme="majorBidi" w:cstheme="majorBidi"/>
              </w:rPr>
            </w:pPr>
            <w:r w:rsidRPr="000B289D">
              <w:rPr>
                <w:rFonts w:asciiTheme="majorBidi" w:hAnsiTheme="majorBidi" w:cstheme="majorBidi"/>
              </w:rPr>
              <w:t>1.38 ± 0.12</w:t>
            </w:r>
          </w:p>
        </w:tc>
        <w:tc>
          <w:tcPr>
            <w:tcW w:w="0" w:type="auto"/>
            <w:tcMar>
              <w:top w:w="150" w:type="dxa"/>
              <w:left w:w="240" w:type="dxa"/>
              <w:bottom w:w="150" w:type="dxa"/>
              <w:right w:w="240" w:type="dxa"/>
            </w:tcMar>
            <w:vAlign w:val="center"/>
            <w:hideMark/>
          </w:tcPr>
          <w:p w14:paraId="1517D99F" w14:textId="77777777" w:rsidR="002029D5" w:rsidRPr="000B289D" w:rsidRDefault="002029D5" w:rsidP="00A41A8F">
            <w:pPr>
              <w:rPr>
                <w:rFonts w:asciiTheme="majorBidi" w:hAnsiTheme="majorBidi" w:cstheme="majorBidi"/>
              </w:rPr>
            </w:pPr>
            <w:r w:rsidRPr="000B289D">
              <w:rPr>
                <w:rFonts w:asciiTheme="majorBidi" w:hAnsiTheme="majorBidi" w:cstheme="majorBidi"/>
              </w:rPr>
              <w:t>ND</w:t>
            </w:r>
          </w:p>
        </w:tc>
        <w:tc>
          <w:tcPr>
            <w:tcW w:w="0" w:type="auto"/>
            <w:tcMar>
              <w:top w:w="150" w:type="dxa"/>
              <w:left w:w="240" w:type="dxa"/>
              <w:bottom w:w="150" w:type="dxa"/>
              <w:right w:w="0" w:type="dxa"/>
            </w:tcMar>
            <w:vAlign w:val="center"/>
            <w:hideMark/>
          </w:tcPr>
          <w:p w14:paraId="4F04769D" w14:textId="77777777" w:rsidR="002029D5" w:rsidRPr="000B289D" w:rsidRDefault="002029D5" w:rsidP="00A41A8F">
            <w:pPr>
              <w:rPr>
                <w:rFonts w:asciiTheme="majorBidi" w:hAnsiTheme="majorBidi" w:cstheme="majorBidi"/>
              </w:rPr>
            </w:pPr>
            <w:r w:rsidRPr="000B289D">
              <w:rPr>
                <w:rFonts w:asciiTheme="majorBidi" w:hAnsiTheme="majorBidi" w:cstheme="majorBidi"/>
              </w:rPr>
              <w:t>0</w:t>
            </w:r>
          </w:p>
        </w:tc>
      </w:tr>
      <w:tr w:rsidR="002029D5" w:rsidRPr="000B289D" w14:paraId="35B720C6" w14:textId="77777777" w:rsidTr="002029D5">
        <w:tc>
          <w:tcPr>
            <w:tcW w:w="0" w:type="auto"/>
            <w:tcMar>
              <w:top w:w="150" w:type="dxa"/>
              <w:left w:w="0" w:type="dxa"/>
              <w:bottom w:w="150" w:type="dxa"/>
              <w:right w:w="240" w:type="dxa"/>
            </w:tcMar>
            <w:vAlign w:val="center"/>
            <w:hideMark/>
          </w:tcPr>
          <w:p w14:paraId="3BAE9B48" w14:textId="77777777" w:rsidR="002029D5" w:rsidRPr="000B289D" w:rsidRDefault="002029D5" w:rsidP="00A41A8F">
            <w:pPr>
              <w:rPr>
                <w:rFonts w:asciiTheme="majorBidi" w:hAnsiTheme="majorBidi" w:cstheme="majorBidi"/>
              </w:rPr>
            </w:pPr>
            <w:r w:rsidRPr="000B289D">
              <w:rPr>
                <w:rFonts w:asciiTheme="majorBidi" w:hAnsiTheme="majorBidi" w:cstheme="majorBidi"/>
              </w:rPr>
              <w:t>STZ + QNP</w:t>
            </w:r>
          </w:p>
        </w:tc>
        <w:tc>
          <w:tcPr>
            <w:tcW w:w="0" w:type="auto"/>
            <w:tcMar>
              <w:top w:w="150" w:type="dxa"/>
              <w:left w:w="240" w:type="dxa"/>
              <w:bottom w:w="150" w:type="dxa"/>
              <w:right w:w="240" w:type="dxa"/>
            </w:tcMar>
            <w:vAlign w:val="center"/>
            <w:hideMark/>
          </w:tcPr>
          <w:p w14:paraId="3487F83E" w14:textId="77777777" w:rsidR="002029D5" w:rsidRPr="000B289D" w:rsidRDefault="002029D5" w:rsidP="00A41A8F">
            <w:pPr>
              <w:rPr>
                <w:rFonts w:asciiTheme="majorBidi" w:hAnsiTheme="majorBidi" w:cstheme="majorBidi"/>
              </w:rPr>
            </w:pPr>
            <w:r w:rsidRPr="000B289D">
              <w:rPr>
                <w:rFonts w:asciiTheme="majorBidi" w:hAnsiTheme="majorBidi" w:cstheme="majorBidi"/>
              </w:rPr>
              <w:t>1.45 ± 0.14</w:t>
            </w:r>
          </w:p>
        </w:tc>
        <w:tc>
          <w:tcPr>
            <w:tcW w:w="0" w:type="auto"/>
            <w:tcMar>
              <w:top w:w="150" w:type="dxa"/>
              <w:left w:w="240" w:type="dxa"/>
              <w:bottom w:w="150" w:type="dxa"/>
              <w:right w:w="240" w:type="dxa"/>
            </w:tcMar>
            <w:vAlign w:val="center"/>
            <w:hideMark/>
          </w:tcPr>
          <w:p w14:paraId="5F4B2941" w14:textId="77777777" w:rsidR="002029D5" w:rsidRPr="000B289D" w:rsidRDefault="002029D5" w:rsidP="00A41A8F">
            <w:pPr>
              <w:rPr>
                <w:rFonts w:asciiTheme="majorBidi" w:hAnsiTheme="majorBidi" w:cstheme="majorBidi"/>
              </w:rPr>
            </w:pPr>
            <w:r w:rsidRPr="000B289D">
              <w:rPr>
                <w:rFonts w:asciiTheme="majorBidi" w:hAnsiTheme="majorBidi" w:cstheme="majorBidi"/>
              </w:rPr>
              <w:t>ND</w:t>
            </w:r>
          </w:p>
        </w:tc>
        <w:tc>
          <w:tcPr>
            <w:tcW w:w="0" w:type="auto"/>
            <w:tcMar>
              <w:top w:w="150" w:type="dxa"/>
              <w:left w:w="240" w:type="dxa"/>
              <w:bottom w:w="150" w:type="dxa"/>
              <w:right w:w="0" w:type="dxa"/>
            </w:tcMar>
            <w:vAlign w:val="center"/>
            <w:hideMark/>
          </w:tcPr>
          <w:p w14:paraId="617A8E6F" w14:textId="77777777" w:rsidR="002029D5" w:rsidRPr="000B289D" w:rsidRDefault="002029D5" w:rsidP="00A41A8F">
            <w:pPr>
              <w:rPr>
                <w:rFonts w:asciiTheme="majorBidi" w:hAnsiTheme="majorBidi" w:cstheme="majorBidi"/>
              </w:rPr>
            </w:pPr>
            <w:r w:rsidRPr="000B289D">
              <w:rPr>
                <w:rFonts w:asciiTheme="majorBidi" w:hAnsiTheme="majorBidi" w:cstheme="majorBidi"/>
              </w:rPr>
              <w:t>0</w:t>
            </w:r>
          </w:p>
        </w:tc>
      </w:tr>
      <w:tr w:rsidR="002029D5" w:rsidRPr="000B289D" w14:paraId="319F94A5" w14:textId="77777777" w:rsidTr="002029D5">
        <w:tc>
          <w:tcPr>
            <w:tcW w:w="0" w:type="auto"/>
            <w:tcMar>
              <w:top w:w="150" w:type="dxa"/>
              <w:left w:w="0" w:type="dxa"/>
              <w:bottom w:w="150" w:type="dxa"/>
              <w:right w:w="240" w:type="dxa"/>
            </w:tcMar>
            <w:vAlign w:val="center"/>
            <w:hideMark/>
          </w:tcPr>
          <w:p w14:paraId="4D712DB6" w14:textId="77777777" w:rsidR="002029D5" w:rsidRPr="000B289D" w:rsidRDefault="002029D5" w:rsidP="00A41A8F">
            <w:pPr>
              <w:rPr>
                <w:rFonts w:asciiTheme="majorBidi" w:hAnsiTheme="majorBidi" w:cstheme="majorBidi"/>
              </w:rPr>
            </w:pPr>
            <w:r w:rsidRPr="000B289D">
              <w:rPr>
                <w:rFonts w:asciiTheme="majorBidi" w:hAnsiTheme="majorBidi" w:cstheme="majorBidi"/>
              </w:rPr>
              <w:t>STZ + Donepezil</w:t>
            </w:r>
          </w:p>
        </w:tc>
        <w:tc>
          <w:tcPr>
            <w:tcW w:w="0" w:type="auto"/>
            <w:tcMar>
              <w:top w:w="150" w:type="dxa"/>
              <w:left w:w="240" w:type="dxa"/>
              <w:bottom w:w="150" w:type="dxa"/>
              <w:right w:w="240" w:type="dxa"/>
            </w:tcMar>
            <w:vAlign w:val="center"/>
            <w:hideMark/>
          </w:tcPr>
          <w:p w14:paraId="09F37A89" w14:textId="77777777" w:rsidR="002029D5" w:rsidRPr="000B289D" w:rsidRDefault="002029D5" w:rsidP="00A41A8F">
            <w:pPr>
              <w:rPr>
                <w:rFonts w:asciiTheme="majorBidi" w:hAnsiTheme="majorBidi" w:cstheme="majorBidi"/>
              </w:rPr>
            </w:pPr>
            <w:r w:rsidRPr="000B289D">
              <w:rPr>
                <w:rFonts w:asciiTheme="majorBidi" w:hAnsiTheme="majorBidi" w:cstheme="majorBidi"/>
              </w:rPr>
              <w:t>1.39 ± 0.09</w:t>
            </w:r>
          </w:p>
        </w:tc>
        <w:tc>
          <w:tcPr>
            <w:tcW w:w="0" w:type="auto"/>
            <w:tcMar>
              <w:top w:w="150" w:type="dxa"/>
              <w:left w:w="240" w:type="dxa"/>
              <w:bottom w:w="150" w:type="dxa"/>
              <w:right w:w="240" w:type="dxa"/>
            </w:tcMar>
            <w:vAlign w:val="center"/>
            <w:hideMark/>
          </w:tcPr>
          <w:p w14:paraId="5CB07DF5" w14:textId="77777777" w:rsidR="002029D5" w:rsidRPr="000B289D" w:rsidRDefault="002029D5" w:rsidP="00A41A8F">
            <w:pPr>
              <w:rPr>
                <w:rFonts w:asciiTheme="majorBidi" w:hAnsiTheme="majorBidi" w:cstheme="majorBidi"/>
              </w:rPr>
            </w:pPr>
            <w:r w:rsidRPr="000B289D">
              <w:rPr>
                <w:rFonts w:asciiTheme="majorBidi" w:hAnsiTheme="majorBidi" w:cstheme="majorBidi"/>
              </w:rPr>
              <w:t>ND</w:t>
            </w:r>
          </w:p>
        </w:tc>
        <w:tc>
          <w:tcPr>
            <w:tcW w:w="0" w:type="auto"/>
            <w:tcMar>
              <w:top w:w="150" w:type="dxa"/>
              <w:left w:w="240" w:type="dxa"/>
              <w:bottom w:w="150" w:type="dxa"/>
              <w:right w:w="0" w:type="dxa"/>
            </w:tcMar>
            <w:vAlign w:val="center"/>
            <w:hideMark/>
          </w:tcPr>
          <w:p w14:paraId="79DD15F0" w14:textId="77777777" w:rsidR="002029D5" w:rsidRPr="000B289D" w:rsidRDefault="002029D5" w:rsidP="00A41A8F">
            <w:pPr>
              <w:rPr>
                <w:rFonts w:asciiTheme="majorBidi" w:hAnsiTheme="majorBidi" w:cstheme="majorBidi"/>
              </w:rPr>
            </w:pPr>
            <w:r w:rsidRPr="000B289D">
              <w:rPr>
                <w:rFonts w:asciiTheme="majorBidi" w:hAnsiTheme="majorBidi" w:cstheme="majorBidi"/>
              </w:rPr>
              <w:t>0</w:t>
            </w:r>
          </w:p>
        </w:tc>
      </w:tr>
    </w:tbl>
    <w:p w14:paraId="62558A2A" w14:textId="77777777" w:rsidR="002029D5" w:rsidRPr="000B289D" w:rsidRDefault="002029D5" w:rsidP="00A41A8F">
      <w:pPr>
        <w:rPr>
          <w:rFonts w:asciiTheme="majorBidi" w:hAnsiTheme="majorBidi" w:cstheme="majorBidi"/>
          <w:rtl/>
        </w:rPr>
      </w:pPr>
    </w:p>
    <w:p w14:paraId="4F58384C" w14:textId="77777777" w:rsidR="000B289D" w:rsidRPr="000B289D" w:rsidRDefault="000B289D" w:rsidP="000B289D">
      <w:pPr>
        <w:spacing w:line="276" w:lineRule="auto"/>
        <w:jc w:val="both"/>
        <w:rPr>
          <w:rFonts w:asciiTheme="majorBidi" w:hAnsiTheme="majorBidi" w:cstheme="majorBidi"/>
        </w:rPr>
      </w:pPr>
      <w:r w:rsidRPr="000B289D">
        <w:rPr>
          <w:rFonts w:asciiTheme="majorBidi" w:hAnsiTheme="majorBidi" w:cstheme="majorBidi"/>
        </w:rPr>
        <w:t xml:space="preserve">In the control (sham) group, the high uXBP1 intensity (1.42) with no detectable sXBP1 indicates baseline ER homeostasis and no active XBP1 splicing. In the AD model (STZ), the significant decrease in uXBP1 (0.89) alongside the appearance of sXBP1 (0.76) and 46.1% splicing efficiency demonstrates ER stress induction and activation of the unfolded protein response (UPR) following STZ injury. Remarkably, all treatment groups (Free Quercetin, QNP, and Donepezil) restored uXBP1 intensity to levels similar to control (~1.38–1.45) with no detectable sXBP1. This complete absence of spliced XBP1 in treated animals suggests that each intervention effectively suppresses ER stress and prevents XBP1 splicing. The quantitative data confirm that while STZ triggers pathological UPR activation, all three treatments revert the splicing pattern to a non-stressed state. Thus, the changes in band intensities provide strong evidence that Quercetin (free or </w:t>
      </w:r>
      <w:proofErr w:type="spellStart"/>
      <w:r w:rsidRPr="000B289D">
        <w:rPr>
          <w:rFonts w:asciiTheme="majorBidi" w:hAnsiTheme="majorBidi" w:cstheme="majorBidi"/>
        </w:rPr>
        <w:t>nanoformulated</w:t>
      </w:r>
      <w:proofErr w:type="spellEnd"/>
      <w:r w:rsidRPr="000B289D">
        <w:rPr>
          <w:rFonts w:asciiTheme="majorBidi" w:hAnsiTheme="majorBidi" w:cstheme="majorBidi"/>
        </w:rPr>
        <w:t>) and Donepezil exert protective effects against STZ-induced ER stress in the rat hippocampus.</w:t>
      </w:r>
    </w:p>
    <w:p w14:paraId="6BF4234E" w14:textId="77777777" w:rsidR="000B289D" w:rsidRPr="00A41A8F" w:rsidRDefault="000B289D" w:rsidP="00A41A8F">
      <w:pPr>
        <w:rPr>
          <w:rFonts w:asciiTheme="majorBidi" w:hAnsiTheme="majorBidi" w:cstheme="majorBidi"/>
        </w:rPr>
      </w:pPr>
    </w:p>
    <w:sectPr w:rsidR="000B289D" w:rsidRPr="00A41A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C6E79"/>
    <w:multiLevelType w:val="multilevel"/>
    <w:tmpl w:val="D096A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6425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9D5"/>
    <w:rsid w:val="000B289D"/>
    <w:rsid w:val="000F1E39"/>
    <w:rsid w:val="002029D5"/>
    <w:rsid w:val="005D2F81"/>
    <w:rsid w:val="00680793"/>
    <w:rsid w:val="006B2440"/>
    <w:rsid w:val="008A40CE"/>
    <w:rsid w:val="00A02C92"/>
    <w:rsid w:val="00A41A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708CC"/>
  <w15:chartTrackingRefBased/>
  <w15:docId w15:val="{D9D21CFC-143D-4679-A4FB-A8E0131A8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9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9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9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9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9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9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9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9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9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9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9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9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9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9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9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9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9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9D5"/>
    <w:rPr>
      <w:rFonts w:eastAsiaTheme="majorEastAsia" w:cstheme="majorBidi"/>
      <w:color w:val="272727" w:themeColor="text1" w:themeTint="D8"/>
    </w:rPr>
  </w:style>
  <w:style w:type="paragraph" w:styleId="Title">
    <w:name w:val="Title"/>
    <w:basedOn w:val="Normal"/>
    <w:next w:val="Normal"/>
    <w:link w:val="TitleChar"/>
    <w:uiPriority w:val="10"/>
    <w:qFormat/>
    <w:rsid w:val="002029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9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9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9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9D5"/>
    <w:pPr>
      <w:spacing w:before="160"/>
      <w:jc w:val="center"/>
    </w:pPr>
    <w:rPr>
      <w:i/>
      <w:iCs/>
      <w:color w:val="404040" w:themeColor="text1" w:themeTint="BF"/>
    </w:rPr>
  </w:style>
  <w:style w:type="character" w:customStyle="1" w:styleId="QuoteChar">
    <w:name w:val="Quote Char"/>
    <w:basedOn w:val="DefaultParagraphFont"/>
    <w:link w:val="Quote"/>
    <w:uiPriority w:val="29"/>
    <w:rsid w:val="002029D5"/>
    <w:rPr>
      <w:i/>
      <w:iCs/>
      <w:color w:val="404040" w:themeColor="text1" w:themeTint="BF"/>
    </w:rPr>
  </w:style>
  <w:style w:type="paragraph" w:styleId="ListParagraph">
    <w:name w:val="List Paragraph"/>
    <w:basedOn w:val="Normal"/>
    <w:uiPriority w:val="34"/>
    <w:qFormat/>
    <w:rsid w:val="002029D5"/>
    <w:pPr>
      <w:ind w:left="720"/>
      <w:contextualSpacing/>
    </w:pPr>
  </w:style>
  <w:style w:type="character" w:styleId="IntenseEmphasis">
    <w:name w:val="Intense Emphasis"/>
    <w:basedOn w:val="DefaultParagraphFont"/>
    <w:uiPriority w:val="21"/>
    <w:qFormat/>
    <w:rsid w:val="002029D5"/>
    <w:rPr>
      <w:i/>
      <w:iCs/>
      <w:color w:val="0F4761" w:themeColor="accent1" w:themeShade="BF"/>
    </w:rPr>
  </w:style>
  <w:style w:type="paragraph" w:styleId="IntenseQuote">
    <w:name w:val="Intense Quote"/>
    <w:basedOn w:val="Normal"/>
    <w:next w:val="Normal"/>
    <w:link w:val="IntenseQuoteChar"/>
    <w:uiPriority w:val="30"/>
    <w:qFormat/>
    <w:rsid w:val="002029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9D5"/>
    <w:rPr>
      <w:i/>
      <w:iCs/>
      <w:color w:val="0F4761" w:themeColor="accent1" w:themeShade="BF"/>
    </w:rPr>
  </w:style>
  <w:style w:type="character" w:styleId="IntenseReference">
    <w:name w:val="Intense Reference"/>
    <w:basedOn w:val="DefaultParagraphFont"/>
    <w:uiPriority w:val="32"/>
    <w:qFormat/>
    <w:rsid w:val="002029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83244">
      <w:bodyDiv w:val="1"/>
      <w:marLeft w:val="0"/>
      <w:marRight w:val="0"/>
      <w:marTop w:val="0"/>
      <w:marBottom w:val="0"/>
      <w:divBdr>
        <w:top w:val="none" w:sz="0" w:space="0" w:color="auto"/>
        <w:left w:val="none" w:sz="0" w:space="0" w:color="auto"/>
        <w:bottom w:val="none" w:sz="0" w:space="0" w:color="auto"/>
        <w:right w:val="none" w:sz="0" w:space="0" w:color="auto"/>
      </w:divBdr>
      <w:divsChild>
        <w:div w:id="2062167234">
          <w:blockQuote w:val="1"/>
          <w:marLeft w:val="0"/>
          <w:marRight w:val="0"/>
          <w:marTop w:val="240"/>
          <w:marBottom w:val="0"/>
          <w:divBdr>
            <w:top w:val="none" w:sz="0" w:space="0" w:color="auto"/>
            <w:left w:val="single" w:sz="12" w:space="11" w:color="ADB2B8"/>
            <w:bottom w:val="none" w:sz="0" w:space="0" w:color="auto"/>
            <w:right w:val="none" w:sz="0" w:space="0" w:color="auto"/>
          </w:divBdr>
        </w:div>
        <w:div w:id="28797808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279268567">
      <w:bodyDiv w:val="1"/>
      <w:marLeft w:val="0"/>
      <w:marRight w:val="0"/>
      <w:marTop w:val="0"/>
      <w:marBottom w:val="0"/>
      <w:divBdr>
        <w:top w:val="none" w:sz="0" w:space="0" w:color="auto"/>
        <w:left w:val="none" w:sz="0" w:space="0" w:color="auto"/>
        <w:bottom w:val="none" w:sz="0" w:space="0" w:color="auto"/>
        <w:right w:val="none" w:sz="0" w:space="0" w:color="auto"/>
      </w:divBdr>
      <w:divsChild>
        <w:div w:id="25451920">
          <w:marLeft w:val="0"/>
          <w:marRight w:val="0"/>
          <w:marTop w:val="0"/>
          <w:marBottom w:val="0"/>
          <w:divBdr>
            <w:top w:val="none" w:sz="0" w:space="0" w:color="auto"/>
            <w:left w:val="none" w:sz="0" w:space="0" w:color="auto"/>
            <w:bottom w:val="none" w:sz="0" w:space="0" w:color="auto"/>
            <w:right w:val="none" w:sz="0" w:space="0" w:color="auto"/>
          </w:divBdr>
          <w:divsChild>
            <w:div w:id="2069841131">
              <w:marLeft w:val="0"/>
              <w:marRight w:val="0"/>
              <w:marTop w:val="0"/>
              <w:marBottom w:val="0"/>
              <w:divBdr>
                <w:top w:val="none" w:sz="0" w:space="0" w:color="auto"/>
                <w:left w:val="none" w:sz="0" w:space="0" w:color="auto"/>
                <w:bottom w:val="none" w:sz="0" w:space="0" w:color="auto"/>
                <w:right w:val="none" w:sz="0" w:space="0" w:color="auto"/>
              </w:divBdr>
              <w:divsChild>
                <w:div w:id="790131987">
                  <w:marLeft w:val="0"/>
                  <w:marRight w:val="0"/>
                  <w:marTop w:val="0"/>
                  <w:marBottom w:val="0"/>
                  <w:divBdr>
                    <w:top w:val="none" w:sz="0" w:space="0" w:color="auto"/>
                    <w:left w:val="none" w:sz="0" w:space="0" w:color="auto"/>
                    <w:bottom w:val="none" w:sz="0" w:space="0" w:color="auto"/>
                    <w:right w:val="none" w:sz="0" w:space="0" w:color="auto"/>
                  </w:divBdr>
                  <w:divsChild>
                    <w:div w:id="388964986">
                      <w:marLeft w:val="0"/>
                      <w:marRight w:val="0"/>
                      <w:marTop w:val="0"/>
                      <w:marBottom w:val="0"/>
                      <w:divBdr>
                        <w:top w:val="none" w:sz="0" w:space="0" w:color="auto"/>
                        <w:left w:val="none" w:sz="0" w:space="0" w:color="auto"/>
                        <w:bottom w:val="none" w:sz="0" w:space="0" w:color="auto"/>
                        <w:right w:val="none" w:sz="0" w:space="0" w:color="auto"/>
                      </w:divBdr>
                      <w:divsChild>
                        <w:div w:id="609974164">
                          <w:marLeft w:val="0"/>
                          <w:marRight w:val="0"/>
                          <w:marTop w:val="0"/>
                          <w:marBottom w:val="0"/>
                          <w:divBdr>
                            <w:top w:val="none" w:sz="0" w:space="0" w:color="auto"/>
                            <w:left w:val="none" w:sz="0" w:space="0" w:color="auto"/>
                            <w:bottom w:val="none" w:sz="0" w:space="0" w:color="auto"/>
                            <w:right w:val="none" w:sz="0" w:space="0" w:color="auto"/>
                          </w:divBdr>
                          <w:divsChild>
                            <w:div w:id="208882891">
                              <w:marLeft w:val="0"/>
                              <w:marRight w:val="0"/>
                              <w:marTop w:val="0"/>
                              <w:marBottom w:val="0"/>
                              <w:divBdr>
                                <w:top w:val="none" w:sz="0" w:space="0" w:color="auto"/>
                                <w:left w:val="none" w:sz="0" w:space="0" w:color="auto"/>
                                <w:bottom w:val="none" w:sz="0" w:space="0" w:color="auto"/>
                                <w:right w:val="none" w:sz="0" w:space="0" w:color="auto"/>
                              </w:divBdr>
                              <w:divsChild>
                                <w:div w:id="1062484126">
                                  <w:marLeft w:val="0"/>
                                  <w:marRight w:val="0"/>
                                  <w:marTop w:val="0"/>
                                  <w:marBottom w:val="0"/>
                                  <w:divBdr>
                                    <w:top w:val="none" w:sz="0" w:space="0" w:color="auto"/>
                                    <w:left w:val="none" w:sz="0" w:space="0" w:color="auto"/>
                                    <w:bottom w:val="none" w:sz="0" w:space="0" w:color="auto"/>
                                    <w:right w:val="none" w:sz="0" w:space="0" w:color="auto"/>
                                  </w:divBdr>
                                  <w:divsChild>
                                    <w:div w:id="755245630">
                                      <w:marLeft w:val="660"/>
                                      <w:marRight w:val="660"/>
                                      <w:marTop w:val="0"/>
                                      <w:marBottom w:val="0"/>
                                      <w:divBdr>
                                        <w:top w:val="none" w:sz="0" w:space="0" w:color="auto"/>
                                        <w:left w:val="none" w:sz="0" w:space="0" w:color="auto"/>
                                        <w:bottom w:val="none" w:sz="0" w:space="0" w:color="auto"/>
                                        <w:right w:val="none" w:sz="0" w:space="0" w:color="auto"/>
                                      </w:divBdr>
                                      <w:divsChild>
                                        <w:div w:id="2069448663">
                                          <w:marLeft w:val="0"/>
                                          <w:marRight w:val="0"/>
                                          <w:marTop w:val="0"/>
                                          <w:marBottom w:val="0"/>
                                          <w:divBdr>
                                            <w:top w:val="none" w:sz="0" w:space="0" w:color="auto"/>
                                            <w:left w:val="none" w:sz="0" w:space="0" w:color="auto"/>
                                            <w:bottom w:val="none" w:sz="0" w:space="0" w:color="auto"/>
                                            <w:right w:val="none" w:sz="0" w:space="0" w:color="auto"/>
                                          </w:divBdr>
                                          <w:divsChild>
                                            <w:div w:id="725109531">
                                              <w:marLeft w:val="0"/>
                                              <w:marRight w:val="0"/>
                                              <w:marTop w:val="0"/>
                                              <w:marBottom w:val="0"/>
                                              <w:divBdr>
                                                <w:top w:val="none" w:sz="0" w:space="0" w:color="auto"/>
                                                <w:left w:val="none" w:sz="0" w:space="0" w:color="auto"/>
                                                <w:bottom w:val="none" w:sz="0" w:space="0" w:color="auto"/>
                                                <w:right w:val="none" w:sz="0" w:space="0" w:color="auto"/>
                                              </w:divBdr>
                                              <w:divsChild>
                                                <w:div w:id="2090076605">
                                                  <w:marLeft w:val="0"/>
                                                  <w:marRight w:val="0"/>
                                                  <w:marTop w:val="0"/>
                                                  <w:marBottom w:val="0"/>
                                                  <w:divBdr>
                                                    <w:top w:val="none" w:sz="0" w:space="0" w:color="auto"/>
                                                    <w:left w:val="none" w:sz="0" w:space="0" w:color="auto"/>
                                                    <w:bottom w:val="none" w:sz="0" w:space="0" w:color="auto"/>
                                                    <w:right w:val="none" w:sz="0" w:space="0" w:color="auto"/>
                                                  </w:divBdr>
                                                  <w:divsChild>
                                                    <w:div w:id="366180197">
                                                      <w:marLeft w:val="0"/>
                                                      <w:marRight w:val="0"/>
                                                      <w:marTop w:val="0"/>
                                                      <w:marBottom w:val="0"/>
                                                      <w:divBdr>
                                                        <w:top w:val="none" w:sz="0" w:space="0" w:color="auto"/>
                                                        <w:left w:val="none" w:sz="0" w:space="0" w:color="auto"/>
                                                        <w:bottom w:val="none" w:sz="0" w:space="0" w:color="auto"/>
                                                        <w:right w:val="none" w:sz="0" w:space="0" w:color="auto"/>
                                                      </w:divBdr>
                                                      <w:divsChild>
                                                        <w:div w:id="1563516150">
                                                          <w:marLeft w:val="0"/>
                                                          <w:marRight w:val="0"/>
                                                          <w:marTop w:val="0"/>
                                                          <w:marBottom w:val="0"/>
                                                          <w:divBdr>
                                                            <w:top w:val="none" w:sz="0" w:space="0" w:color="auto"/>
                                                            <w:left w:val="none" w:sz="0" w:space="0" w:color="auto"/>
                                                            <w:bottom w:val="none" w:sz="0" w:space="0" w:color="auto"/>
                                                            <w:right w:val="none" w:sz="0" w:space="0" w:color="auto"/>
                                                          </w:divBdr>
                                                        </w:div>
                                                        <w:div w:id="1816530613">
                                                          <w:blockQuote w:val="1"/>
                                                          <w:marLeft w:val="0"/>
                                                          <w:marRight w:val="0"/>
                                                          <w:marTop w:val="240"/>
                                                          <w:marBottom w:val="0"/>
                                                          <w:divBdr>
                                                            <w:top w:val="none" w:sz="0" w:space="0" w:color="auto"/>
                                                            <w:left w:val="single" w:sz="12" w:space="11" w:color="ADB2B8"/>
                                                            <w:bottom w:val="none" w:sz="0" w:space="0" w:color="auto"/>
                                                            <w:right w:val="none" w:sz="0" w:space="0" w:color="auto"/>
                                                          </w:divBdr>
                                                        </w:div>
                                                        <w:div w:id="1196230586">
                                                          <w:blockQuote w:val="1"/>
                                                          <w:marLeft w:val="0"/>
                                                          <w:marRight w:val="0"/>
                                                          <w:marTop w:val="240"/>
                                                          <w:marBottom w:val="0"/>
                                                          <w:divBdr>
                                                            <w:top w:val="none" w:sz="0" w:space="0" w:color="auto"/>
                                                            <w:left w:val="single" w:sz="12" w:space="11" w:color="ADB2B8"/>
                                                            <w:bottom w:val="none" w:sz="0" w:space="0" w:color="auto"/>
                                                            <w:right w:val="none" w:sz="0" w:space="0" w:color="auto"/>
                                                          </w:divBdr>
                                                        </w:div>
                                                        <w:div w:id="2059667005">
                                                          <w:blockQuote w:val="1"/>
                                                          <w:marLeft w:val="0"/>
                                                          <w:marRight w:val="0"/>
                                                          <w:marTop w:val="240"/>
                                                          <w:marBottom w:val="0"/>
                                                          <w:divBdr>
                                                            <w:top w:val="none" w:sz="0" w:space="0" w:color="auto"/>
                                                            <w:left w:val="single" w:sz="12" w:space="11" w:color="ADB2B8"/>
                                                            <w:bottom w:val="none" w:sz="0" w:space="0" w:color="auto"/>
                                                            <w:right w:val="none" w:sz="0" w:space="0" w:color="auto"/>
                                                          </w:divBdr>
                                                        </w:div>
                                                        <w:div w:id="178076022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5298472">
      <w:bodyDiv w:val="1"/>
      <w:marLeft w:val="0"/>
      <w:marRight w:val="0"/>
      <w:marTop w:val="0"/>
      <w:marBottom w:val="0"/>
      <w:divBdr>
        <w:top w:val="none" w:sz="0" w:space="0" w:color="auto"/>
        <w:left w:val="none" w:sz="0" w:space="0" w:color="auto"/>
        <w:bottom w:val="none" w:sz="0" w:space="0" w:color="auto"/>
        <w:right w:val="none" w:sz="0" w:space="0" w:color="auto"/>
      </w:divBdr>
      <w:divsChild>
        <w:div w:id="670716928">
          <w:marLeft w:val="0"/>
          <w:marRight w:val="0"/>
          <w:marTop w:val="0"/>
          <w:marBottom w:val="0"/>
          <w:divBdr>
            <w:top w:val="none" w:sz="0" w:space="0" w:color="auto"/>
            <w:left w:val="none" w:sz="0" w:space="0" w:color="auto"/>
            <w:bottom w:val="none" w:sz="0" w:space="0" w:color="auto"/>
            <w:right w:val="none" w:sz="0" w:space="0" w:color="auto"/>
          </w:divBdr>
          <w:divsChild>
            <w:div w:id="2090886465">
              <w:marLeft w:val="0"/>
              <w:marRight w:val="0"/>
              <w:marTop w:val="0"/>
              <w:marBottom w:val="0"/>
              <w:divBdr>
                <w:top w:val="none" w:sz="0" w:space="0" w:color="auto"/>
                <w:left w:val="none" w:sz="0" w:space="0" w:color="auto"/>
                <w:bottom w:val="none" w:sz="0" w:space="0" w:color="auto"/>
                <w:right w:val="none" w:sz="0" w:space="0" w:color="auto"/>
              </w:divBdr>
              <w:divsChild>
                <w:div w:id="228155819">
                  <w:marLeft w:val="0"/>
                  <w:marRight w:val="0"/>
                  <w:marTop w:val="0"/>
                  <w:marBottom w:val="0"/>
                  <w:divBdr>
                    <w:top w:val="none" w:sz="0" w:space="0" w:color="auto"/>
                    <w:left w:val="none" w:sz="0" w:space="0" w:color="auto"/>
                    <w:bottom w:val="none" w:sz="0" w:space="0" w:color="auto"/>
                    <w:right w:val="none" w:sz="0" w:space="0" w:color="auto"/>
                  </w:divBdr>
                  <w:divsChild>
                    <w:div w:id="512035734">
                      <w:marLeft w:val="0"/>
                      <w:marRight w:val="0"/>
                      <w:marTop w:val="0"/>
                      <w:marBottom w:val="0"/>
                      <w:divBdr>
                        <w:top w:val="none" w:sz="0" w:space="0" w:color="auto"/>
                        <w:left w:val="none" w:sz="0" w:space="0" w:color="auto"/>
                        <w:bottom w:val="none" w:sz="0" w:space="0" w:color="auto"/>
                        <w:right w:val="none" w:sz="0" w:space="0" w:color="auto"/>
                      </w:divBdr>
                      <w:divsChild>
                        <w:div w:id="328599760">
                          <w:marLeft w:val="0"/>
                          <w:marRight w:val="0"/>
                          <w:marTop w:val="0"/>
                          <w:marBottom w:val="0"/>
                          <w:divBdr>
                            <w:top w:val="none" w:sz="0" w:space="0" w:color="auto"/>
                            <w:left w:val="none" w:sz="0" w:space="0" w:color="auto"/>
                            <w:bottom w:val="none" w:sz="0" w:space="0" w:color="auto"/>
                            <w:right w:val="none" w:sz="0" w:space="0" w:color="auto"/>
                          </w:divBdr>
                          <w:divsChild>
                            <w:div w:id="699663918">
                              <w:marLeft w:val="0"/>
                              <w:marRight w:val="0"/>
                              <w:marTop w:val="0"/>
                              <w:marBottom w:val="0"/>
                              <w:divBdr>
                                <w:top w:val="none" w:sz="0" w:space="0" w:color="auto"/>
                                <w:left w:val="none" w:sz="0" w:space="0" w:color="auto"/>
                                <w:bottom w:val="none" w:sz="0" w:space="0" w:color="auto"/>
                                <w:right w:val="none" w:sz="0" w:space="0" w:color="auto"/>
                              </w:divBdr>
                              <w:divsChild>
                                <w:div w:id="1161770963">
                                  <w:marLeft w:val="0"/>
                                  <w:marRight w:val="0"/>
                                  <w:marTop w:val="0"/>
                                  <w:marBottom w:val="0"/>
                                  <w:divBdr>
                                    <w:top w:val="none" w:sz="0" w:space="0" w:color="auto"/>
                                    <w:left w:val="none" w:sz="0" w:space="0" w:color="auto"/>
                                    <w:bottom w:val="none" w:sz="0" w:space="0" w:color="auto"/>
                                    <w:right w:val="none" w:sz="0" w:space="0" w:color="auto"/>
                                  </w:divBdr>
                                  <w:divsChild>
                                    <w:div w:id="861555379">
                                      <w:marLeft w:val="660"/>
                                      <w:marRight w:val="660"/>
                                      <w:marTop w:val="0"/>
                                      <w:marBottom w:val="0"/>
                                      <w:divBdr>
                                        <w:top w:val="none" w:sz="0" w:space="0" w:color="auto"/>
                                        <w:left w:val="none" w:sz="0" w:space="0" w:color="auto"/>
                                        <w:bottom w:val="none" w:sz="0" w:space="0" w:color="auto"/>
                                        <w:right w:val="none" w:sz="0" w:space="0" w:color="auto"/>
                                      </w:divBdr>
                                      <w:divsChild>
                                        <w:div w:id="1285037076">
                                          <w:marLeft w:val="0"/>
                                          <w:marRight w:val="0"/>
                                          <w:marTop w:val="0"/>
                                          <w:marBottom w:val="0"/>
                                          <w:divBdr>
                                            <w:top w:val="none" w:sz="0" w:space="0" w:color="auto"/>
                                            <w:left w:val="none" w:sz="0" w:space="0" w:color="auto"/>
                                            <w:bottom w:val="none" w:sz="0" w:space="0" w:color="auto"/>
                                            <w:right w:val="none" w:sz="0" w:space="0" w:color="auto"/>
                                          </w:divBdr>
                                          <w:divsChild>
                                            <w:div w:id="1646005531">
                                              <w:marLeft w:val="0"/>
                                              <w:marRight w:val="0"/>
                                              <w:marTop w:val="0"/>
                                              <w:marBottom w:val="0"/>
                                              <w:divBdr>
                                                <w:top w:val="none" w:sz="0" w:space="0" w:color="auto"/>
                                                <w:left w:val="none" w:sz="0" w:space="0" w:color="auto"/>
                                                <w:bottom w:val="none" w:sz="0" w:space="0" w:color="auto"/>
                                                <w:right w:val="none" w:sz="0" w:space="0" w:color="auto"/>
                                              </w:divBdr>
                                              <w:divsChild>
                                                <w:div w:id="1234201610">
                                                  <w:marLeft w:val="0"/>
                                                  <w:marRight w:val="0"/>
                                                  <w:marTop w:val="0"/>
                                                  <w:marBottom w:val="0"/>
                                                  <w:divBdr>
                                                    <w:top w:val="none" w:sz="0" w:space="0" w:color="auto"/>
                                                    <w:left w:val="none" w:sz="0" w:space="0" w:color="auto"/>
                                                    <w:bottom w:val="none" w:sz="0" w:space="0" w:color="auto"/>
                                                    <w:right w:val="none" w:sz="0" w:space="0" w:color="auto"/>
                                                  </w:divBdr>
                                                  <w:divsChild>
                                                    <w:div w:id="51738771">
                                                      <w:marLeft w:val="0"/>
                                                      <w:marRight w:val="0"/>
                                                      <w:marTop w:val="0"/>
                                                      <w:marBottom w:val="0"/>
                                                      <w:divBdr>
                                                        <w:top w:val="none" w:sz="0" w:space="0" w:color="auto"/>
                                                        <w:left w:val="none" w:sz="0" w:space="0" w:color="auto"/>
                                                        <w:bottom w:val="none" w:sz="0" w:space="0" w:color="auto"/>
                                                        <w:right w:val="none" w:sz="0" w:space="0" w:color="auto"/>
                                                      </w:divBdr>
                                                      <w:divsChild>
                                                        <w:div w:id="1743020600">
                                                          <w:marLeft w:val="0"/>
                                                          <w:marRight w:val="0"/>
                                                          <w:marTop w:val="0"/>
                                                          <w:marBottom w:val="0"/>
                                                          <w:divBdr>
                                                            <w:top w:val="none" w:sz="0" w:space="0" w:color="auto"/>
                                                            <w:left w:val="none" w:sz="0" w:space="0" w:color="auto"/>
                                                            <w:bottom w:val="none" w:sz="0" w:space="0" w:color="auto"/>
                                                            <w:right w:val="none" w:sz="0" w:space="0" w:color="auto"/>
                                                          </w:divBdr>
                                                        </w:div>
                                                        <w:div w:id="769198097">
                                                          <w:blockQuote w:val="1"/>
                                                          <w:marLeft w:val="0"/>
                                                          <w:marRight w:val="0"/>
                                                          <w:marTop w:val="240"/>
                                                          <w:marBottom w:val="0"/>
                                                          <w:divBdr>
                                                            <w:top w:val="none" w:sz="0" w:space="0" w:color="auto"/>
                                                            <w:left w:val="single" w:sz="12" w:space="11" w:color="ADB2B8"/>
                                                            <w:bottom w:val="none" w:sz="0" w:space="0" w:color="auto"/>
                                                            <w:right w:val="none" w:sz="0" w:space="0" w:color="auto"/>
                                                          </w:divBdr>
                                                        </w:div>
                                                        <w:div w:id="1417283781">
                                                          <w:blockQuote w:val="1"/>
                                                          <w:marLeft w:val="0"/>
                                                          <w:marRight w:val="0"/>
                                                          <w:marTop w:val="240"/>
                                                          <w:marBottom w:val="0"/>
                                                          <w:divBdr>
                                                            <w:top w:val="none" w:sz="0" w:space="0" w:color="auto"/>
                                                            <w:left w:val="single" w:sz="12" w:space="11" w:color="ADB2B8"/>
                                                            <w:bottom w:val="none" w:sz="0" w:space="0" w:color="auto"/>
                                                            <w:right w:val="none" w:sz="0" w:space="0" w:color="auto"/>
                                                          </w:divBdr>
                                                        </w:div>
                                                        <w:div w:id="1923030909">
                                                          <w:blockQuote w:val="1"/>
                                                          <w:marLeft w:val="0"/>
                                                          <w:marRight w:val="0"/>
                                                          <w:marTop w:val="240"/>
                                                          <w:marBottom w:val="0"/>
                                                          <w:divBdr>
                                                            <w:top w:val="none" w:sz="0" w:space="0" w:color="auto"/>
                                                            <w:left w:val="single" w:sz="12" w:space="11" w:color="ADB2B8"/>
                                                            <w:bottom w:val="none" w:sz="0" w:space="0" w:color="auto"/>
                                                            <w:right w:val="none" w:sz="0" w:space="0" w:color="auto"/>
                                                          </w:divBdr>
                                                        </w:div>
                                                        <w:div w:id="194008790">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40394768">
      <w:bodyDiv w:val="1"/>
      <w:marLeft w:val="0"/>
      <w:marRight w:val="0"/>
      <w:marTop w:val="0"/>
      <w:marBottom w:val="0"/>
      <w:divBdr>
        <w:top w:val="none" w:sz="0" w:space="0" w:color="auto"/>
        <w:left w:val="none" w:sz="0" w:space="0" w:color="auto"/>
        <w:bottom w:val="none" w:sz="0" w:space="0" w:color="auto"/>
        <w:right w:val="none" w:sz="0" w:space="0" w:color="auto"/>
      </w:divBdr>
      <w:divsChild>
        <w:div w:id="1654599644">
          <w:marLeft w:val="0"/>
          <w:marRight w:val="0"/>
          <w:marTop w:val="0"/>
          <w:marBottom w:val="0"/>
          <w:divBdr>
            <w:top w:val="none" w:sz="0" w:space="0" w:color="auto"/>
            <w:left w:val="none" w:sz="0" w:space="0" w:color="auto"/>
            <w:bottom w:val="none" w:sz="0" w:space="0" w:color="auto"/>
            <w:right w:val="none" w:sz="0" w:space="0" w:color="auto"/>
          </w:divBdr>
          <w:divsChild>
            <w:div w:id="184316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752334">
      <w:bodyDiv w:val="1"/>
      <w:marLeft w:val="0"/>
      <w:marRight w:val="0"/>
      <w:marTop w:val="0"/>
      <w:marBottom w:val="0"/>
      <w:divBdr>
        <w:top w:val="none" w:sz="0" w:space="0" w:color="auto"/>
        <w:left w:val="none" w:sz="0" w:space="0" w:color="auto"/>
        <w:bottom w:val="none" w:sz="0" w:space="0" w:color="auto"/>
        <w:right w:val="none" w:sz="0" w:space="0" w:color="auto"/>
      </w:divBdr>
      <w:divsChild>
        <w:div w:id="1617374230">
          <w:marLeft w:val="0"/>
          <w:marRight w:val="0"/>
          <w:marTop w:val="0"/>
          <w:marBottom w:val="0"/>
          <w:divBdr>
            <w:top w:val="none" w:sz="0" w:space="0" w:color="auto"/>
            <w:left w:val="none" w:sz="0" w:space="0" w:color="auto"/>
            <w:bottom w:val="none" w:sz="0" w:space="0" w:color="auto"/>
            <w:right w:val="none" w:sz="0" w:space="0" w:color="auto"/>
          </w:divBdr>
          <w:divsChild>
            <w:div w:id="805512037">
              <w:marLeft w:val="0"/>
              <w:marRight w:val="0"/>
              <w:marTop w:val="0"/>
              <w:marBottom w:val="0"/>
              <w:divBdr>
                <w:top w:val="none" w:sz="0" w:space="0" w:color="auto"/>
                <w:left w:val="none" w:sz="0" w:space="0" w:color="auto"/>
                <w:bottom w:val="none" w:sz="0" w:space="0" w:color="auto"/>
                <w:right w:val="none" w:sz="0" w:space="0" w:color="auto"/>
              </w:divBdr>
              <w:divsChild>
                <w:div w:id="1152404476">
                  <w:marLeft w:val="0"/>
                  <w:marRight w:val="0"/>
                  <w:marTop w:val="0"/>
                  <w:marBottom w:val="0"/>
                  <w:divBdr>
                    <w:top w:val="none" w:sz="0" w:space="0" w:color="auto"/>
                    <w:left w:val="none" w:sz="0" w:space="0" w:color="auto"/>
                    <w:bottom w:val="none" w:sz="0" w:space="0" w:color="auto"/>
                    <w:right w:val="none" w:sz="0" w:space="0" w:color="auto"/>
                  </w:divBdr>
                  <w:divsChild>
                    <w:div w:id="383021613">
                      <w:marLeft w:val="0"/>
                      <w:marRight w:val="0"/>
                      <w:marTop w:val="0"/>
                      <w:marBottom w:val="0"/>
                      <w:divBdr>
                        <w:top w:val="none" w:sz="0" w:space="0" w:color="auto"/>
                        <w:left w:val="none" w:sz="0" w:space="0" w:color="auto"/>
                        <w:bottom w:val="none" w:sz="0" w:space="0" w:color="auto"/>
                        <w:right w:val="none" w:sz="0" w:space="0" w:color="auto"/>
                      </w:divBdr>
                      <w:divsChild>
                        <w:div w:id="1560943221">
                          <w:marLeft w:val="0"/>
                          <w:marRight w:val="0"/>
                          <w:marTop w:val="0"/>
                          <w:marBottom w:val="0"/>
                          <w:divBdr>
                            <w:top w:val="none" w:sz="0" w:space="0" w:color="auto"/>
                            <w:left w:val="none" w:sz="0" w:space="0" w:color="auto"/>
                            <w:bottom w:val="none" w:sz="0" w:space="0" w:color="auto"/>
                            <w:right w:val="none" w:sz="0" w:space="0" w:color="auto"/>
                          </w:divBdr>
                          <w:divsChild>
                            <w:div w:id="604315162">
                              <w:marLeft w:val="0"/>
                              <w:marRight w:val="0"/>
                              <w:marTop w:val="0"/>
                              <w:marBottom w:val="0"/>
                              <w:divBdr>
                                <w:top w:val="none" w:sz="0" w:space="0" w:color="auto"/>
                                <w:left w:val="none" w:sz="0" w:space="0" w:color="auto"/>
                                <w:bottom w:val="none" w:sz="0" w:space="0" w:color="auto"/>
                                <w:right w:val="none" w:sz="0" w:space="0" w:color="auto"/>
                              </w:divBdr>
                              <w:divsChild>
                                <w:div w:id="1095322183">
                                  <w:marLeft w:val="0"/>
                                  <w:marRight w:val="0"/>
                                  <w:marTop w:val="0"/>
                                  <w:marBottom w:val="0"/>
                                  <w:divBdr>
                                    <w:top w:val="none" w:sz="0" w:space="0" w:color="auto"/>
                                    <w:left w:val="none" w:sz="0" w:space="0" w:color="auto"/>
                                    <w:bottom w:val="none" w:sz="0" w:space="0" w:color="auto"/>
                                    <w:right w:val="none" w:sz="0" w:space="0" w:color="auto"/>
                                  </w:divBdr>
                                  <w:divsChild>
                                    <w:div w:id="1502814869">
                                      <w:marLeft w:val="660"/>
                                      <w:marRight w:val="660"/>
                                      <w:marTop w:val="0"/>
                                      <w:marBottom w:val="0"/>
                                      <w:divBdr>
                                        <w:top w:val="none" w:sz="0" w:space="0" w:color="auto"/>
                                        <w:left w:val="none" w:sz="0" w:space="0" w:color="auto"/>
                                        <w:bottom w:val="none" w:sz="0" w:space="0" w:color="auto"/>
                                        <w:right w:val="none" w:sz="0" w:space="0" w:color="auto"/>
                                      </w:divBdr>
                                      <w:divsChild>
                                        <w:div w:id="2104758819">
                                          <w:marLeft w:val="0"/>
                                          <w:marRight w:val="0"/>
                                          <w:marTop w:val="0"/>
                                          <w:marBottom w:val="0"/>
                                          <w:divBdr>
                                            <w:top w:val="none" w:sz="0" w:space="0" w:color="auto"/>
                                            <w:left w:val="none" w:sz="0" w:space="0" w:color="auto"/>
                                            <w:bottom w:val="none" w:sz="0" w:space="0" w:color="auto"/>
                                            <w:right w:val="none" w:sz="0" w:space="0" w:color="auto"/>
                                          </w:divBdr>
                                          <w:divsChild>
                                            <w:div w:id="252933248">
                                              <w:marLeft w:val="0"/>
                                              <w:marRight w:val="0"/>
                                              <w:marTop w:val="0"/>
                                              <w:marBottom w:val="0"/>
                                              <w:divBdr>
                                                <w:top w:val="none" w:sz="0" w:space="0" w:color="auto"/>
                                                <w:left w:val="none" w:sz="0" w:space="0" w:color="auto"/>
                                                <w:bottom w:val="none" w:sz="0" w:space="0" w:color="auto"/>
                                                <w:right w:val="none" w:sz="0" w:space="0" w:color="auto"/>
                                              </w:divBdr>
                                              <w:divsChild>
                                                <w:div w:id="1883862511">
                                                  <w:marLeft w:val="0"/>
                                                  <w:marRight w:val="0"/>
                                                  <w:marTop w:val="0"/>
                                                  <w:marBottom w:val="0"/>
                                                  <w:divBdr>
                                                    <w:top w:val="none" w:sz="0" w:space="0" w:color="auto"/>
                                                    <w:left w:val="none" w:sz="0" w:space="0" w:color="auto"/>
                                                    <w:bottom w:val="none" w:sz="0" w:space="0" w:color="auto"/>
                                                    <w:right w:val="none" w:sz="0" w:space="0" w:color="auto"/>
                                                  </w:divBdr>
                                                  <w:divsChild>
                                                    <w:div w:id="1068188553">
                                                      <w:marLeft w:val="0"/>
                                                      <w:marRight w:val="0"/>
                                                      <w:marTop w:val="0"/>
                                                      <w:marBottom w:val="0"/>
                                                      <w:divBdr>
                                                        <w:top w:val="none" w:sz="0" w:space="0" w:color="auto"/>
                                                        <w:left w:val="none" w:sz="0" w:space="0" w:color="auto"/>
                                                        <w:bottom w:val="none" w:sz="0" w:space="0" w:color="auto"/>
                                                        <w:right w:val="none" w:sz="0" w:space="0" w:color="auto"/>
                                                      </w:divBdr>
                                                      <w:divsChild>
                                                        <w:div w:id="1727488589">
                                                          <w:marLeft w:val="0"/>
                                                          <w:marRight w:val="0"/>
                                                          <w:marTop w:val="0"/>
                                                          <w:marBottom w:val="0"/>
                                                          <w:divBdr>
                                                            <w:top w:val="none" w:sz="0" w:space="0" w:color="auto"/>
                                                            <w:left w:val="none" w:sz="0" w:space="0" w:color="auto"/>
                                                            <w:bottom w:val="none" w:sz="0" w:space="0" w:color="auto"/>
                                                            <w:right w:val="none" w:sz="0" w:space="0" w:color="auto"/>
                                                          </w:divBdr>
                                                        </w:div>
                                                        <w:div w:id="1396466926">
                                                          <w:blockQuote w:val="1"/>
                                                          <w:marLeft w:val="0"/>
                                                          <w:marRight w:val="0"/>
                                                          <w:marTop w:val="240"/>
                                                          <w:marBottom w:val="0"/>
                                                          <w:divBdr>
                                                            <w:top w:val="none" w:sz="0" w:space="0" w:color="auto"/>
                                                            <w:left w:val="single" w:sz="12" w:space="11" w:color="ADB2B8"/>
                                                            <w:bottom w:val="none" w:sz="0" w:space="0" w:color="auto"/>
                                                            <w:right w:val="none" w:sz="0" w:space="0" w:color="auto"/>
                                                          </w:divBdr>
                                                        </w:div>
                                                        <w:div w:id="522136531">
                                                          <w:blockQuote w:val="1"/>
                                                          <w:marLeft w:val="0"/>
                                                          <w:marRight w:val="0"/>
                                                          <w:marTop w:val="240"/>
                                                          <w:marBottom w:val="0"/>
                                                          <w:divBdr>
                                                            <w:top w:val="none" w:sz="0" w:space="0" w:color="auto"/>
                                                            <w:left w:val="single" w:sz="12" w:space="11" w:color="ADB2B8"/>
                                                            <w:bottom w:val="none" w:sz="0" w:space="0" w:color="auto"/>
                                                            <w:right w:val="none" w:sz="0" w:space="0" w:color="auto"/>
                                                          </w:divBdr>
                                                        </w:div>
                                                        <w:div w:id="1427924705">
                                                          <w:blockQuote w:val="1"/>
                                                          <w:marLeft w:val="0"/>
                                                          <w:marRight w:val="0"/>
                                                          <w:marTop w:val="240"/>
                                                          <w:marBottom w:val="0"/>
                                                          <w:divBdr>
                                                            <w:top w:val="none" w:sz="0" w:space="0" w:color="auto"/>
                                                            <w:left w:val="single" w:sz="12" w:space="11" w:color="ADB2B8"/>
                                                            <w:bottom w:val="none" w:sz="0" w:space="0" w:color="auto"/>
                                                            <w:right w:val="none" w:sz="0" w:space="0" w:color="auto"/>
                                                          </w:divBdr>
                                                        </w:div>
                                                        <w:div w:id="2012831595">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3416926">
      <w:bodyDiv w:val="1"/>
      <w:marLeft w:val="0"/>
      <w:marRight w:val="0"/>
      <w:marTop w:val="0"/>
      <w:marBottom w:val="0"/>
      <w:divBdr>
        <w:top w:val="none" w:sz="0" w:space="0" w:color="auto"/>
        <w:left w:val="none" w:sz="0" w:space="0" w:color="auto"/>
        <w:bottom w:val="none" w:sz="0" w:space="0" w:color="auto"/>
        <w:right w:val="none" w:sz="0" w:space="0" w:color="auto"/>
      </w:divBdr>
      <w:divsChild>
        <w:div w:id="1586300704">
          <w:marLeft w:val="0"/>
          <w:marRight w:val="0"/>
          <w:marTop w:val="0"/>
          <w:marBottom w:val="0"/>
          <w:divBdr>
            <w:top w:val="none" w:sz="0" w:space="0" w:color="auto"/>
            <w:left w:val="none" w:sz="0" w:space="0" w:color="auto"/>
            <w:bottom w:val="none" w:sz="0" w:space="0" w:color="auto"/>
            <w:right w:val="none" w:sz="0" w:space="0" w:color="auto"/>
          </w:divBdr>
          <w:divsChild>
            <w:div w:id="187815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275</Words>
  <Characters>1574</Characters>
  <Application>Microsoft Office Word</Application>
  <DocSecurity>0</DocSecurity>
  <Lines>13</Lines>
  <Paragraphs>3</Paragraphs>
  <ScaleCrop>false</ScaleCrop>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7</cp:revision>
  <dcterms:created xsi:type="dcterms:W3CDTF">2026-05-14T14:16:00Z</dcterms:created>
  <dcterms:modified xsi:type="dcterms:W3CDTF">2026-05-16T05:50:00Z</dcterms:modified>
</cp:coreProperties>
</file>