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7"/>
        <w:gridCol w:w="2844"/>
        <w:gridCol w:w="1759"/>
        <w:gridCol w:w="1672"/>
      </w:tblGrid>
      <w:tr w14:paraId="5B566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41F27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Table S1. K-means clustering performance metrics for determining the optimal number of longitudinal trajectories</w:t>
            </w:r>
          </w:p>
        </w:tc>
      </w:tr>
      <w:tr w14:paraId="16812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324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48917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Number of</w:t>
            </w:r>
          </w:p>
          <w:p w14:paraId="24D30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Clusters (k)</w:t>
            </w:r>
          </w:p>
        </w:tc>
        <w:tc>
          <w:tcPr>
            <w:tcW w:w="1703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08357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Calinski-Harabasz (CH) Index</w:t>
            </w:r>
          </w:p>
        </w:tc>
        <w:tc>
          <w:tcPr>
            <w:tcW w:w="1014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333FF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Silhouette Score</w:t>
            </w:r>
          </w:p>
        </w:tc>
        <w:tc>
          <w:tcPr>
            <w:tcW w:w="958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3B42B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Inertia (WCSS)</w:t>
            </w:r>
          </w:p>
        </w:tc>
      </w:tr>
      <w:tr w14:paraId="1A5EE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24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BC6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 Clusters</w:t>
            </w:r>
          </w:p>
        </w:tc>
        <w:tc>
          <w:tcPr>
            <w:tcW w:w="1703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19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396.1</w:t>
            </w:r>
          </w:p>
        </w:tc>
        <w:tc>
          <w:tcPr>
            <w:tcW w:w="1014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FB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0.369</w:t>
            </w:r>
          </w:p>
        </w:tc>
        <w:tc>
          <w:tcPr>
            <w:tcW w:w="958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69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477.2</w:t>
            </w:r>
          </w:p>
        </w:tc>
      </w:tr>
      <w:tr w14:paraId="471C4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1D8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 Clusters (Optimal)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F9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323.2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7C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0.284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43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375.8</w:t>
            </w:r>
          </w:p>
        </w:tc>
      </w:tr>
      <w:tr w14:paraId="53387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EA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 Clusters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C3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272.6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E7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0.233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C3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327.9</w:t>
            </w:r>
          </w:p>
        </w:tc>
      </w:tr>
      <w:tr w14:paraId="660EE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2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20CEF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 Clusters</w:t>
            </w:r>
          </w:p>
        </w:tc>
        <w:tc>
          <w:tcPr>
            <w:tcW w:w="170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1CF3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101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7B62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0.191</w:t>
            </w:r>
          </w:p>
        </w:tc>
        <w:tc>
          <w:tcPr>
            <w:tcW w:w="95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C37C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301.1</w:t>
            </w:r>
          </w:p>
        </w:tc>
      </w:tr>
      <w:tr w14:paraId="4FA45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4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3CC83EA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Note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: While k=2 exhibited the highest Calinski-Harabasz index and Silhouette score indicating maximum mathematical separation, k=3 was ultimately selected as the optimal model. This decision was driven by the clear "elbow" inflection point observed in the Inertia metric between k=2 and k=4, combined with the absolute clinical necessity to preserve granularity (i.e., Low, Medium, and High risk tiers) for metabolic stratification in cancer patients.</w:t>
            </w:r>
            <w:bookmarkStart w:id="0" w:name="_GoBack"/>
            <w:bookmarkEnd w:id="0"/>
          </w:p>
        </w:tc>
      </w:tr>
    </w:tbl>
    <w:p w14:paraId="2C1DEAAE"/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6A1130"/>
    <w:rsid w:val="5A6A1130"/>
    <w:rsid w:val="7838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3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664</Characters>
  <Lines>0</Lines>
  <Paragraphs>0</Paragraphs>
  <TotalTime>6</TotalTime>
  <ScaleCrop>false</ScaleCrop>
  <LinksUpToDate>false</LinksUpToDate>
  <CharactersWithSpaces>751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2026-04-21T17:07:00Z</dcterms:created>
  <dc:creator>小介</dc:creator>
  <cp:lastModifiedBy>小介</cp:lastModifiedBy>
  <dcterms:modified xsi:type="dcterms:W3CDTF">2026-04-22T04:29:23Z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0B626019409540159DC3A3E418E916D9_11</vt:lpwstr>
  </property>
  <property fmtid="{D5CDD505-2E9C-101B-9397-08002B2CF9AE}" pid="4" name="KSOTemplateDocerSaveRecord">
    <vt:lpwstr>eyJoZGlkIjoiOWZlZjZmNTVhMTUwODdhZTdiMmVmZTBiZDdhNDFlNzAiLCJ1c2VySWQiOiIxMzcyNDUzMDc1In0=</vt:lpwstr>
  </property>
</Properties>
</file>