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53D9A" w14:textId="77777777" w:rsidR="00EE593C" w:rsidRPr="00EE593C" w:rsidRDefault="00EE593C" w:rsidP="00EE593C">
      <w:pPr>
        <w:spacing w:line="360" w:lineRule="auto"/>
        <w:rPr>
          <w:rFonts w:ascii="Times New Roman" w:hAnsi="Times New Roman" w:cs="Times New Roman"/>
          <w:b/>
          <w:bCs/>
          <w:sz w:val="20"/>
          <w:szCs w:val="20"/>
        </w:rPr>
      </w:pPr>
      <w:bookmarkStart w:id="0" w:name="_Hlk188630186"/>
      <w:r w:rsidRPr="00EE593C">
        <w:rPr>
          <w:rFonts w:ascii="Times New Roman" w:hAnsi="Times New Roman" w:cs="Times New Roman"/>
          <w:b/>
          <w:bCs/>
          <w:sz w:val="20"/>
          <w:szCs w:val="20"/>
        </w:rPr>
        <w:t>Inclusion and Exclusion Criteria</w:t>
      </w:r>
      <w:bookmarkEnd w:id="0"/>
    </w:p>
    <w:p w14:paraId="2E892339" w14:textId="77777777" w:rsidR="00EE593C" w:rsidRPr="00EE593C" w:rsidRDefault="00EE593C" w:rsidP="00EE593C">
      <w:pPr>
        <w:spacing w:line="360" w:lineRule="auto"/>
        <w:ind w:firstLineChars="200" w:firstLine="400"/>
        <w:rPr>
          <w:rFonts w:ascii="Times New Roman" w:hAnsi="Times New Roman" w:cs="Times New Roman"/>
          <w:sz w:val="20"/>
          <w:szCs w:val="20"/>
        </w:rPr>
      </w:pPr>
      <w:bookmarkStart w:id="1" w:name="_Hlk186131961"/>
      <w:r w:rsidRPr="00EE593C">
        <w:rPr>
          <w:rFonts w:ascii="Times New Roman" w:hAnsi="Times New Roman" w:cs="Times New Roman"/>
          <w:sz w:val="20"/>
          <w:szCs w:val="20"/>
        </w:rPr>
        <w:t>The</w:t>
      </w:r>
      <w:r w:rsidRPr="00EE593C">
        <w:rPr>
          <w:rFonts w:ascii="Times New Roman" w:hAnsi="Times New Roman" w:cs="Times New Roman"/>
          <w:b/>
          <w:bCs/>
          <w:sz w:val="20"/>
          <w:szCs w:val="20"/>
        </w:rPr>
        <w:t xml:space="preserve"> </w:t>
      </w:r>
      <w:r w:rsidRPr="00EE593C">
        <w:rPr>
          <w:rFonts w:ascii="Times New Roman" w:hAnsi="Times New Roman" w:cs="Times New Roman"/>
          <w:sz w:val="20"/>
          <w:szCs w:val="20"/>
        </w:rPr>
        <w:t>inclusion criteria</w:t>
      </w:r>
      <w:r w:rsidRPr="00EE593C">
        <w:rPr>
          <w:rFonts w:ascii="Times New Roman" w:eastAsia="等线" w:hAnsi="Times New Roman" w:cs="Times New Roman"/>
          <w:sz w:val="20"/>
          <w:szCs w:val="20"/>
        </w:rPr>
        <w:t xml:space="preserve"> were as follows: (1) </w:t>
      </w:r>
      <w:bookmarkEnd w:id="1"/>
      <w:r w:rsidRPr="00EE593C">
        <w:rPr>
          <w:rFonts w:ascii="Times New Roman" w:eastAsia="等线" w:hAnsi="Times New Roman" w:cs="Times New Roman" w:hint="eastAsia"/>
          <w:sz w:val="20"/>
          <w:szCs w:val="20"/>
        </w:rPr>
        <w:t>Patients were aged over 18 years. (2) According to the 2016 WHO CNS Tumor Classification, the pathological histological types included diffuse astrocytoma, IDH wild-type, anaplastic astrocytoma, IDH wild-type and GBM, IDH wild-type, all of which occurred intracranially. (3) All cases underwent surgical resection or biopsy to obtain histological, immunohistochemical, and molecular pathological results. Molecular pathology results included IDH mutation status, telomerase reverse transcriptase (TERT) promoter mutation status, 1p/19q codeletion status, and O6-methylguanine DNA methyltransferase (MGMT) gene promoter methylation status. (4) The quality of preoperative multi-sequence MRI images satisfies the diagnostic criteria.</w:t>
      </w:r>
    </w:p>
    <w:p w14:paraId="5E19194C" w14:textId="77777777" w:rsidR="00EE593C" w:rsidRDefault="00EE593C" w:rsidP="00EE593C">
      <w:pPr>
        <w:spacing w:line="360" w:lineRule="auto"/>
        <w:ind w:firstLineChars="200" w:firstLine="400"/>
        <w:rPr>
          <w:rFonts w:ascii="Times New Roman" w:eastAsia="等线" w:hAnsi="Times New Roman" w:cs="Times New Roman"/>
          <w:sz w:val="20"/>
          <w:szCs w:val="20"/>
        </w:rPr>
      </w:pPr>
      <w:r w:rsidRPr="00EE593C">
        <w:rPr>
          <w:rFonts w:ascii="Times New Roman" w:hAnsi="Times New Roman" w:cs="Times New Roman" w:hint="eastAsia"/>
          <w:sz w:val="20"/>
          <w:szCs w:val="20"/>
        </w:rPr>
        <w:t xml:space="preserve">The exclusion criteria were as follows: (1) Patients younger than 18 years old. (2) Molecular pathology results that were either incomplete or not detected. (3) Preoperative MRI images of the patient exhibited artifacts </w:t>
      </w:r>
      <w:r w:rsidRPr="00EE593C">
        <w:rPr>
          <w:rFonts w:ascii="Times New Roman" w:eastAsia="等线" w:hAnsi="Times New Roman" w:cs="Times New Roman" w:hint="eastAsia"/>
          <w:sz w:val="20"/>
          <w:szCs w:val="20"/>
        </w:rPr>
        <w:t>or were unobtainable.</w:t>
      </w:r>
    </w:p>
    <w:p w14:paraId="1D8FE2ED" w14:textId="77777777" w:rsidR="00EE593C" w:rsidRPr="00EE593C" w:rsidRDefault="00EE593C" w:rsidP="00EE593C">
      <w:pPr>
        <w:spacing w:line="360" w:lineRule="auto"/>
        <w:ind w:firstLineChars="200" w:firstLine="400"/>
        <w:rPr>
          <w:rFonts w:ascii="Times New Roman" w:eastAsia="等线" w:hAnsi="Times New Roman" w:cs="Times New Roman"/>
          <w:sz w:val="20"/>
          <w:szCs w:val="20"/>
        </w:rPr>
      </w:pPr>
    </w:p>
    <w:p w14:paraId="3D88D73B" w14:textId="5C74F37A" w:rsidR="00976615" w:rsidRPr="00133D57" w:rsidRDefault="00976615" w:rsidP="00133D57">
      <w:pPr>
        <w:adjustRightInd w:val="0"/>
        <w:snapToGrid w:val="0"/>
        <w:spacing w:line="480" w:lineRule="auto"/>
        <w:rPr>
          <w:rFonts w:ascii="Times New Roman" w:hAnsi="Times New Roman" w:cs="Times New Roman"/>
          <w:b/>
          <w:bCs/>
          <w:sz w:val="22"/>
        </w:rPr>
      </w:pPr>
      <w:r w:rsidRPr="00133D57">
        <w:rPr>
          <w:rFonts w:ascii="Times New Roman" w:hAnsi="Times New Roman" w:cs="Times New Roman"/>
          <w:b/>
          <w:bCs/>
          <w:sz w:val="22"/>
        </w:rPr>
        <w:t>MRI acquisition parameters</w:t>
      </w:r>
    </w:p>
    <w:p w14:paraId="5ED27DB9" w14:textId="397E4E26" w:rsidR="00976615" w:rsidRDefault="00976615" w:rsidP="00133D57">
      <w:pPr>
        <w:adjustRightInd w:val="0"/>
        <w:snapToGrid w:val="0"/>
        <w:spacing w:line="480" w:lineRule="auto"/>
        <w:rPr>
          <w:rFonts w:ascii="Times New Roman" w:hAnsi="Times New Roman" w:cs="Times New Roman"/>
          <w:sz w:val="22"/>
        </w:rPr>
      </w:pPr>
      <w:r w:rsidRPr="00133D57">
        <w:rPr>
          <w:rFonts w:ascii="Times New Roman" w:hAnsi="Times New Roman" w:cs="Times New Roman"/>
          <w:sz w:val="22"/>
        </w:rPr>
        <w:t>The brain MRI protocol included the following sequences: axial and sagittal spin-echo T1-weighted imaging (SE-T1W) (TR: 550 ms, TE: 12 ms), axial fast spin-echo T2-weighted imaging (FSE-T2W) (TR: 2,200 ms, TE: 90 ms), and axial fluid-attenuated inversion recovery (FLAIR) T2-weighted imaging (TR: 9,000 ms, TE: 110 ms, TI: 2,371 ms). Imaging parameters were as follows: field of view (FOV) 320 mm × 320 mm, matrix size 256 × 256, axial slice thickness 5 mm with 1.5 mm interslice spacing, and sagittal slice thickness 8.0 mm with 2.0 mm interslice spacing. Diffusion-weighted imaging (DWI) was performed using SE-EPI sequences with frequency-selective fat suppression, with TR = 4,000 ms, TE = 100 ms, slice thickness = 9 mm, slice spacing = 1 mm, FOV = 260 mm × 260 mm, matrix = 256 × 192, and diffusion gradients applied in three directions (b values = 0, 1,000 s/mm²). For contrast-enhanced T1-weighted imaging (T1C), gadoteric acid meglumine (0.1 mmol/kg) was injected intravenously at a rate of 3 mL/s, followed by acquisition of axial, coronal, and sagittal images using the same scanning parameters as for T1WI.</w:t>
      </w:r>
    </w:p>
    <w:p w14:paraId="1B2167EA" w14:textId="77777777" w:rsidR="00EE593C" w:rsidRPr="00133D57" w:rsidRDefault="00EE593C" w:rsidP="00133D57">
      <w:pPr>
        <w:adjustRightInd w:val="0"/>
        <w:snapToGrid w:val="0"/>
        <w:spacing w:line="480" w:lineRule="auto"/>
        <w:rPr>
          <w:rFonts w:ascii="Times New Roman" w:hAnsi="Times New Roman" w:cs="Times New Roman"/>
          <w:sz w:val="22"/>
        </w:rPr>
      </w:pPr>
    </w:p>
    <w:p w14:paraId="0B4D944F" w14:textId="6AF15909" w:rsidR="00976615" w:rsidRPr="00EE593C" w:rsidRDefault="00EE593C" w:rsidP="00133D57">
      <w:pPr>
        <w:adjustRightInd w:val="0"/>
        <w:snapToGrid w:val="0"/>
        <w:spacing w:line="480" w:lineRule="auto"/>
        <w:rPr>
          <w:rFonts w:ascii="Times New Roman" w:hAnsi="Times New Roman" w:cs="Times New Roman"/>
          <w:b/>
          <w:bCs/>
          <w:sz w:val="22"/>
        </w:rPr>
      </w:pPr>
      <w:r w:rsidRPr="00EE593C">
        <w:rPr>
          <w:rFonts w:ascii="Times New Roman" w:hAnsi="Times New Roman" w:cs="Times New Roman" w:hint="eastAsia"/>
          <w:b/>
          <w:bCs/>
          <w:sz w:val="22"/>
        </w:rPr>
        <w:t>Definition of Multiple and Multifocal Tumors</w:t>
      </w:r>
    </w:p>
    <w:p w14:paraId="35F5F449" w14:textId="09423A95" w:rsidR="00EE593C" w:rsidRDefault="00EE593C" w:rsidP="00133D57">
      <w:pPr>
        <w:adjustRightInd w:val="0"/>
        <w:snapToGrid w:val="0"/>
        <w:spacing w:line="480" w:lineRule="auto"/>
        <w:rPr>
          <w:rFonts w:ascii="Times New Roman" w:hAnsi="Times New Roman"/>
          <w:sz w:val="20"/>
          <w:szCs w:val="20"/>
        </w:rPr>
      </w:pPr>
      <w:r w:rsidRPr="00364DFC">
        <w:rPr>
          <w:rFonts w:ascii="Times New Roman" w:hAnsi="Times New Roman"/>
          <w:sz w:val="20"/>
          <w:szCs w:val="20"/>
        </w:rPr>
        <w:lastRenderedPageBreak/>
        <w:t>Tumors were categorized as multiple if distinct lesions were separated by normal brain tissue, and as multifocal if lesions were interconnected by abnormal signals without intervening normal brain tissue, resembling satellite lesions.</w:t>
      </w:r>
    </w:p>
    <w:p w14:paraId="6BAB006E" w14:textId="77777777" w:rsidR="00EE593C" w:rsidRPr="00133D57" w:rsidRDefault="00EE593C" w:rsidP="00133D57">
      <w:pPr>
        <w:adjustRightInd w:val="0"/>
        <w:snapToGrid w:val="0"/>
        <w:spacing w:line="480" w:lineRule="auto"/>
        <w:rPr>
          <w:rFonts w:ascii="Times New Roman" w:hAnsi="Times New Roman" w:cs="Times New Roman"/>
          <w:sz w:val="22"/>
        </w:rPr>
      </w:pPr>
    </w:p>
    <w:p w14:paraId="710C02D9" w14:textId="0F5FF1E9" w:rsidR="00964ABA" w:rsidRPr="00133D57" w:rsidRDefault="00964ABA" w:rsidP="00133D57">
      <w:pPr>
        <w:adjustRightInd w:val="0"/>
        <w:snapToGrid w:val="0"/>
        <w:spacing w:line="480" w:lineRule="auto"/>
        <w:rPr>
          <w:rFonts w:ascii="Times New Roman" w:hAnsi="Times New Roman" w:cs="Times New Roman"/>
          <w:b/>
          <w:bCs/>
          <w:sz w:val="22"/>
        </w:rPr>
      </w:pPr>
      <w:r w:rsidRPr="00133D57">
        <w:rPr>
          <w:rFonts w:ascii="Times New Roman" w:hAnsi="Times New Roman" w:cs="Times New Roman"/>
          <w:b/>
          <w:bCs/>
          <w:sz w:val="22"/>
        </w:rPr>
        <w:t>Measurement and calculation of quantitative parameters</w:t>
      </w:r>
    </w:p>
    <w:p w14:paraId="531DF743" w14:textId="77777777" w:rsidR="00964ABA" w:rsidRPr="00133D57" w:rsidRDefault="00964ABA" w:rsidP="00133D57">
      <w:pPr>
        <w:adjustRightInd w:val="0"/>
        <w:snapToGrid w:val="0"/>
        <w:spacing w:line="480" w:lineRule="auto"/>
        <w:rPr>
          <w:rFonts w:ascii="Times New Roman" w:hAnsi="Times New Roman" w:cs="Times New Roman"/>
          <w:sz w:val="22"/>
        </w:rPr>
      </w:pPr>
      <w:r w:rsidRPr="00133D57">
        <w:rPr>
          <w:rFonts w:ascii="Times New Roman" w:hAnsi="Times New Roman" w:cs="Times New Roman"/>
          <w:b/>
          <w:bCs/>
          <w:sz w:val="22"/>
        </w:rPr>
        <w:t xml:space="preserve">Tumor heterogeneity </w:t>
      </w:r>
      <w:r w:rsidRPr="00133D57">
        <w:rPr>
          <w:rFonts w:ascii="Times New Roman" w:hAnsi="Times New Roman" w:cs="Times New Roman"/>
          <w:sz w:val="22"/>
        </w:rPr>
        <w:t xml:space="preserve">was evaluated using the following grading criteria: </w:t>
      </w:r>
    </w:p>
    <w:p w14:paraId="3FA3AD44" w14:textId="77777777" w:rsidR="00964ABA" w:rsidRPr="00133D57" w:rsidRDefault="00964ABA" w:rsidP="00133D57">
      <w:pPr>
        <w:adjustRightInd w:val="0"/>
        <w:snapToGrid w:val="0"/>
        <w:spacing w:line="480" w:lineRule="auto"/>
        <w:rPr>
          <w:rFonts w:ascii="Times New Roman" w:hAnsi="Times New Roman" w:cs="Times New Roman"/>
          <w:sz w:val="22"/>
        </w:rPr>
      </w:pPr>
      <w:r w:rsidRPr="00133D57">
        <w:rPr>
          <w:rFonts w:ascii="Times New Roman" w:hAnsi="Times New Roman" w:cs="Times New Roman"/>
          <w:sz w:val="22"/>
        </w:rPr>
        <w:t>Grade 0: Homogeneous tumor appearance.</w:t>
      </w:r>
    </w:p>
    <w:p w14:paraId="053AE113" w14:textId="77777777" w:rsidR="00964ABA" w:rsidRPr="00133D57" w:rsidRDefault="00964ABA" w:rsidP="00133D57">
      <w:pPr>
        <w:adjustRightInd w:val="0"/>
        <w:snapToGrid w:val="0"/>
        <w:spacing w:line="480" w:lineRule="auto"/>
        <w:rPr>
          <w:rFonts w:ascii="Times New Roman" w:hAnsi="Times New Roman" w:cs="Times New Roman"/>
          <w:sz w:val="22"/>
        </w:rPr>
      </w:pPr>
      <w:r w:rsidRPr="00133D57">
        <w:rPr>
          <w:rFonts w:ascii="Times New Roman" w:hAnsi="Times New Roman" w:cs="Times New Roman"/>
          <w:sz w:val="22"/>
        </w:rPr>
        <w:t>Grade 1: Heterogeneous regions comprising less than one-third of the tumor volume.</w:t>
      </w:r>
    </w:p>
    <w:p w14:paraId="3ED94170" w14:textId="77777777" w:rsidR="00964ABA" w:rsidRPr="00133D57" w:rsidRDefault="00964ABA" w:rsidP="00133D57">
      <w:pPr>
        <w:adjustRightInd w:val="0"/>
        <w:snapToGrid w:val="0"/>
        <w:spacing w:line="480" w:lineRule="auto"/>
        <w:rPr>
          <w:rFonts w:ascii="Times New Roman" w:hAnsi="Times New Roman" w:cs="Times New Roman"/>
          <w:sz w:val="22"/>
        </w:rPr>
      </w:pPr>
      <w:r w:rsidRPr="00133D57">
        <w:rPr>
          <w:rFonts w:ascii="Times New Roman" w:hAnsi="Times New Roman" w:cs="Times New Roman"/>
          <w:sz w:val="22"/>
        </w:rPr>
        <w:t>Grade 2: Heterogeneous regions comprising one-third to two-thirds of the tumor volume.</w:t>
      </w:r>
    </w:p>
    <w:p w14:paraId="2FB02D9F" w14:textId="77777777" w:rsidR="00964ABA" w:rsidRPr="00133D57" w:rsidRDefault="00964ABA" w:rsidP="00133D57">
      <w:pPr>
        <w:adjustRightInd w:val="0"/>
        <w:snapToGrid w:val="0"/>
        <w:spacing w:line="480" w:lineRule="auto"/>
        <w:rPr>
          <w:rFonts w:ascii="Times New Roman" w:hAnsi="Times New Roman" w:cs="Times New Roman"/>
          <w:sz w:val="22"/>
        </w:rPr>
      </w:pPr>
      <w:r w:rsidRPr="00133D57">
        <w:rPr>
          <w:rFonts w:ascii="Times New Roman" w:hAnsi="Times New Roman" w:cs="Times New Roman"/>
          <w:sz w:val="22"/>
        </w:rPr>
        <w:t>Grade 3: Heterogeneous regions comprising more than two-thirds of the tumor volume.</w:t>
      </w:r>
    </w:p>
    <w:p w14:paraId="4457E752" w14:textId="77777777" w:rsidR="00964ABA" w:rsidRPr="00133D57" w:rsidRDefault="00964ABA" w:rsidP="00133D57">
      <w:pPr>
        <w:adjustRightInd w:val="0"/>
        <w:snapToGrid w:val="0"/>
        <w:spacing w:line="480" w:lineRule="auto"/>
        <w:rPr>
          <w:rFonts w:ascii="Times New Roman" w:hAnsi="Times New Roman" w:cs="Times New Roman"/>
          <w:sz w:val="22"/>
        </w:rPr>
      </w:pPr>
    </w:p>
    <w:p w14:paraId="14D2EEA0" w14:textId="77777777" w:rsidR="00964ABA" w:rsidRPr="00133D57" w:rsidRDefault="00964ABA" w:rsidP="00133D57">
      <w:pPr>
        <w:adjustRightInd w:val="0"/>
        <w:snapToGrid w:val="0"/>
        <w:spacing w:line="480" w:lineRule="auto"/>
        <w:rPr>
          <w:rFonts w:ascii="Times New Roman" w:hAnsi="Times New Roman" w:cs="Times New Roman"/>
          <w:sz w:val="22"/>
        </w:rPr>
      </w:pPr>
      <w:r w:rsidRPr="00133D57">
        <w:rPr>
          <w:rFonts w:ascii="Times New Roman" w:hAnsi="Times New Roman" w:cs="Times New Roman"/>
          <w:b/>
          <w:bCs/>
          <w:sz w:val="22"/>
        </w:rPr>
        <w:t>The degree of peritumoral edema</w:t>
      </w:r>
      <w:r w:rsidRPr="00133D57">
        <w:rPr>
          <w:rFonts w:ascii="Times New Roman" w:hAnsi="Times New Roman" w:cs="Times New Roman"/>
          <w:sz w:val="22"/>
        </w:rPr>
        <w:t xml:space="preserve"> was assessed following Schoenegger K’s classification:</w:t>
      </w:r>
    </w:p>
    <w:p w14:paraId="7B193D00" w14:textId="612AF85A" w:rsidR="00964ABA" w:rsidRPr="00133D57" w:rsidRDefault="0062533D" w:rsidP="00133D57">
      <w:pPr>
        <w:adjustRightInd w:val="0"/>
        <w:snapToGrid w:val="0"/>
        <w:spacing w:line="480" w:lineRule="auto"/>
        <w:rPr>
          <w:rFonts w:ascii="Times New Roman" w:hAnsi="Times New Roman" w:cs="Times New Roman"/>
          <w:sz w:val="22"/>
        </w:rPr>
      </w:pPr>
      <w:r>
        <w:rPr>
          <w:rFonts w:ascii="Times New Roman" w:hAnsi="Times New Roman" w:cs="Times New Roman" w:hint="eastAsia"/>
          <w:sz w:val="22"/>
        </w:rPr>
        <w:t>M</w:t>
      </w:r>
      <w:r w:rsidRPr="0062533D">
        <w:rPr>
          <w:rFonts w:ascii="Times New Roman" w:hAnsi="Times New Roman" w:cs="Times New Roman" w:hint="eastAsia"/>
          <w:sz w:val="22"/>
        </w:rPr>
        <w:t>inor edema</w:t>
      </w:r>
      <w:r w:rsidR="00964ABA" w:rsidRPr="00133D57">
        <w:rPr>
          <w:rFonts w:ascii="Times New Roman" w:hAnsi="Times New Roman" w:cs="Times New Roman"/>
          <w:sz w:val="22"/>
        </w:rPr>
        <w:t>: The distance from the outermost margin of the hyperintense T2-weighted imaging (T2WI) signal to the tumor boundary is less than 1 cm.</w:t>
      </w:r>
    </w:p>
    <w:p w14:paraId="0FCD23E7" w14:textId="43ACF8A1" w:rsidR="00F63001" w:rsidRDefault="0062533D" w:rsidP="0062533D">
      <w:pPr>
        <w:adjustRightInd w:val="0"/>
        <w:snapToGrid w:val="0"/>
        <w:spacing w:line="480" w:lineRule="auto"/>
        <w:rPr>
          <w:rFonts w:ascii="Times New Roman" w:hAnsi="Times New Roman" w:cs="Times New Roman"/>
          <w:sz w:val="22"/>
        </w:rPr>
      </w:pPr>
      <w:r>
        <w:rPr>
          <w:rFonts w:ascii="Times New Roman" w:hAnsi="Times New Roman" w:cs="Times New Roman" w:hint="eastAsia"/>
          <w:sz w:val="22"/>
        </w:rPr>
        <w:t>M</w:t>
      </w:r>
      <w:r w:rsidRPr="0062533D">
        <w:rPr>
          <w:rFonts w:ascii="Times New Roman" w:hAnsi="Times New Roman" w:cs="Times New Roman" w:hint="eastAsia"/>
          <w:sz w:val="22"/>
        </w:rPr>
        <w:t>ajor edema</w:t>
      </w:r>
      <w:r w:rsidR="00964ABA" w:rsidRPr="00133D57">
        <w:rPr>
          <w:rFonts w:ascii="Times New Roman" w:hAnsi="Times New Roman" w:cs="Times New Roman"/>
          <w:sz w:val="22"/>
        </w:rPr>
        <w:t>: The measured distance exceeds 1 cm.</w:t>
      </w:r>
    </w:p>
    <w:p w14:paraId="4FE490B5" w14:textId="77777777" w:rsidR="0062533D" w:rsidRPr="00133D57" w:rsidRDefault="0062533D" w:rsidP="0062533D">
      <w:pPr>
        <w:adjustRightInd w:val="0"/>
        <w:snapToGrid w:val="0"/>
        <w:spacing w:line="480" w:lineRule="auto"/>
        <w:rPr>
          <w:rFonts w:ascii="Times New Roman" w:hAnsi="Times New Roman" w:cs="Times New Roman"/>
          <w:sz w:val="22"/>
        </w:rPr>
      </w:pPr>
    </w:p>
    <w:p w14:paraId="152D91FE" w14:textId="56465B06" w:rsidR="00964ABA" w:rsidRPr="00133D57" w:rsidRDefault="00F63001" w:rsidP="00133D57">
      <w:pPr>
        <w:adjustRightInd w:val="0"/>
        <w:snapToGrid w:val="0"/>
        <w:spacing w:line="480" w:lineRule="auto"/>
        <w:rPr>
          <w:rFonts w:ascii="Times New Roman" w:hAnsi="Times New Roman" w:cs="Times New Roman"/>
          <w:b/>
          <w:bCs/>
          <w:sz w:val="22"/>
        </w:rPr>
      </w:pPr>
      <w:r w:rsidRPr="00133D57">
        <w:rPr>
          <w:rFonts w:ascii="Times New Roman" w:hAnsi="Times New Roman" w:cs="Times New Roman"/>
          <w:b/>
          <w:bCs/>
          <w:sz w:val="22"/>
        </w:rPr>
        <w:t>Calculation of T2W SNR</w:t>
      </w:r>
    </w:p>
    <w:p w14:paraId="24FE6BCD" w14:textId="77777777" w:rsidR="00964ABA" w:rsidRPr="00133D57" w:rsidRDefault="00964ABA" w:rsidP="00133D57">
      <w:pPr>
        <w:adjustRightInd w:val="0"/>
        <w:snapToGrid w:val="0"/>
        <w:spacing w:line="480" w:lineRule="auto"/>
        <w:rPr>
          <w:rFonts w:ascii="Times New Roman" w:hAnsi="Times New Roman" w:cs="Times New Roman"/>
          <w:sz w:val="22"/>
        </w:rPr>
      </w:pPr>
      <w:r w:rsidRPr="00133D57">
        <w:rPr>
          <w:rFonts w:ascii="Times New Roman" w:hAnsi="Times New Roman" w:cs="Times New Roman"/>
          <w:sz w:val="22"/>
        </w:rPr>
        <w:t>Measure the T2W signal intensity of the solid tumor region and the air background, and calculate the T2W signal-to-noise ratio (SNR). The SNR is calculated using the formula: T2W SNR = T2W signal intensity of the solid tumor region / air background signal intensity. This method quantitatively reflects the tumor's signal intensity and aids in differentiating tumor types.</w:t>
      </w:r>
    </w:p>
    <w:p w14:paraId="7A463D13" w14:textId="503B9FE4" w:rsidR="00964ABA" w:rsidRDefault="00771481" w:rsidP="00133D57">
      <w:pPr>
        <w:adjustRightInd w:val="0"/>
        <w:snapToGrid w:val="0"/>
        <w:spacing w:line="480" w:lineRule="auto"/>
        <w:rPr>
          <w:rFonts w:ascii="Times New Roman" w:hAnsi="Times New Roman" w:cs="Times New Roman"/>
          <w:sz w:val="22"/>
        </w:rPr>
      </w:pPr>
      <w:r w:rsidRPr="00771481">
        <w:rPr>
          <w:rFonts w:ascii="Times New Roman" w:hAnsi="Times New Roman" w:cs="Times New Roman" w:hint="eastAsia"/>
          <w:sz w:val="22"/>
        </w:rPr>
        <w:t>To avoid the influence of tumor heterogeneity on the calculation of the signal-to-noise ratio (SNR) of T2-weighted images, in this study, multiple regions of interest (ROIs) were delineated in the tumor parenchyma or homogeneous area and at the four corners of the background noise to calculate the average signal intensity and standard deviation of the tumor parenchyma or homogeneous area and the background noise</w:t>
      </w:r>
      <w:r>
        <w:rPr>
          <w:rFonts w:ascii="Times New Roman" w:hAnsi="Times New Roman" w:cs="Times New Roman" w:hint="eastAsia"/>
          <w:sz w:val="22"/>
        </w:rPr>
        <w:t xml:space="preserve"> [1]</w:t>
      </w:r>
      <w:r w:rsidRPr="00771481">
        <w:rPr>
          <w:rFonts w:ascii="Times New Roman" w:hAnsi="Times New Roman" w:cs="Times New Roman" w:hint="eastAsia"/>
          <w:sz w:val="22"/>
        </w:rPr>
        <w:t>.</w:t>
      </w:r>
    </w:p>
    <w:p w14:paraId="33010C55" w14:textId="77777777" w:rsidR="00771481" w:rsidRPr="00133D57" w:rsidRDefault="00771481" w:rsidP="00133D57">
      <w:pPr>
        <w:adjustRightInd w:val="0"/>
        <w:snapToGrid w:val="0"/>
        <w:spacing w:line="480" w:lineRule="auto"/>
        <w:rPr>
          <w:rFonts w:ascii="Times New Roman" w:hAnsi="Times New Roman" w:cs="Times New Roman"/>
          <w:sz w:val="22"/>
        </w:rPr>
      </w:pPr>
    </w:p>
    <w:p w14:paraId="4CF735F3" w14:textId="5C4A79EE" w:rsidR="00964ABA" w:rsidRPr="00133D57" w:rsidRDefault="00964ABA" w:rsidP="00133D57">
      <w:pPr>
        <w:adjustRightInd w:val="0"/>
        <w:snapToGrid w:val="0"/>
        <w:spacing w:line="480" w:lineRule="auto"/>
        <w:rPr>
          <w:rFonts w:ascii="Times New Roman" w:hAnsi="Times New Roman" w:cs="Times New Roman"/>
          <w:b/>
          <w:bCs/>
          <w:sz w:val="22"/>
        </w:rPr>
      </w:pPr>
      <w:r w:rsidRPr="00133D57">
        <w:rPr>
          <w:rFonts w:ascii="Times New Roman" w:hAnsi="Times New Roman" w:cs="Times New Roman"/>
          <w:b/>
          <w:bCs/>
          <w:color w:val="2A2F45"/>
          <w:sz w:val="22"/>
          <w:shd w:val="clear" w:color="auto" w:fill="FFFFFF"/>
        </w:rPr>
        <w:t>Measurement of ADC Values</w:t>
      </w:r>
      <w:r w:rsidRPr="00133D57">
        <w:rPr>
          <w:rFonts w:ascii="Times New Roman" w:hAnsi="Times New Roman" w:cs="Times New Roman"/>
          <w:b/>
          <w:bCs/>
          <w:sz w:val="22"/>
        </w:rPr>
        <w:t xml:space="preserve"> </w:t>
      </w:r>
    </w:p>
    <w:p w14:paraId="25BC7FA6" w14:textId="31093302" w:rsidR="00964ABA" w:rsidRPr="00F9794F" w:rsidRDefault="00964ABA" w:rsidP="00133D57">
      <w:pPr>
        <w:adjustRightInd w:val="0"/>
        <w:snapToGrid w:val="0"/>
        <w:spacing w:line="480" w:lineRule="auto"/>
        <w:rPr>
          <w:rFonts w:ascii="Times New Roman" w:hAnsi="Times New Roman" w:cs="Times New Roman"/>
          <w:sz w:val="22"/>
        </w:rPr>
      </w:pPr>
      <w:r w:rsidRPr="00133D57">
        <w:rPr>
          <w:rFonts w:ascii="Times New Roman" w:hAnsi="Times New Roman" w:cs="Times New Roman"/>
          <w:sz w:val="22"/>
        </w:rPr>
        <w:lastRenderedPageBreak/>
        <w:t xml:space="preserve">The </w:t>
      </w:r>
      <w:r w:rsidRPr="00133D57">
        <w:rPr>
          <w:rFonts w:ascii="Times New Roman" w:hAnsi="Times New Roman" w:cs="Times New Roman"/>
          <w:b/>
          <w:bCs/>
          <w:sz w:val="22"/>
        </w:rPr>
        <w:t>mean ADC value</w:t>
      </w:r>
      <w:r w:rsidRPr="00133D57">
        <w:rPr>
          <w:rFonts w:ascii="Times New Roman" w:hAnsi="Times New Roman" w:cs="Times New Roman"/>
          <w:sz w:val="22"/>
        </w:rPr>
        <w:t xml:space="preserve">, </w:t>
      </w:r>
      <w:r w:rsidRPr="00133D57">
        <w:rPr>
          <w:rFonts w:ascii="Times New Roman" w:hAnsi="Times New Roman" w:cs="Times New Roman"/>
          <w:b/>
          <w:bCs/>
          <w:sz w:val="22"/>
        </w:rPr>
        <w:t>maximum ADC value</w:t>
      </w:r>
      <w:r w:rsidRPr="00133D57">
        <w:rPr>
          <w:rFonts w:ascii="Times New Roman" w:hAnsi="Times New Roman" w:cs="Times New Roman"/>
          <w:sz w:val="22"/>
        </w:rPr>
        <w:t xml:space="preserve">, and </w:t>
      </w:r>
      <w:r w:rsidRPr="00133D57">
        <w:rPr>
          <w:rFonts w:ascii="Times New Roman" w:hAnsi="Times New Roman" w:cs="Times New Roman"/>
          <w:b/>
          <w:bCs/>
          <w:sz w:val="22"/>
        </w:rPr>
        <w:t>minimum ADC value</w:t>
      </w:r>
      <w:r w:rsidRPr="00133D57">
        <w:rPr>
          <w:rFonts w:ascii="Times New Roman" w:hAnsi="Times New Roman" w:cs="Times New Roman"/>
          <w:sz w:val="22"/>
        </w:rPr>
        <w:t xml:space="preserve"> of the solid tumor region, as well as the ADC value of the contralateral normal white matter, were measured. The </w:t>
      </w:r>
      <w:r w:rsidRPr="00133D57">
        <w:rPr>
          <w:rFonts w:ascii="Times New Roman" w:hAnsi="Times New Roman" w:cs="Times New Roman"/>
          <w:b/>
          <w:bCs/>
          <w:sz w:val="22"/>
        </w:rPr>
        <w:t>relative ADC (rADC)</w:t>
      </w:r>
      <w:r w:rsidRPr="00133D57">
        <w:rPr>
          <w:rFonts w:ascii="Times New Roman" w:hAnsi="Times New Roman" w:cs="Times New Roman"/>
          <w:sz w:val="22"/>
        </w:rPr>
        <w:t xml:space="preserve"> value was calculated using the formula: rADC = average ADC value of the solid tumor region / ADC value of the contralateral normal white matter. The size of the region of interest (ROI) for ADC measurement ranged from 10 to 120 mm², selected based on the area of the solid tumor component </w:t>
      </w:r>
      <w:r w:rsidR="00407E1E">
        <w:rPr>
          <w:rFonts w:ascii="Times New Roman" w:hAnsi="Times New Roman" w:cs="Times New Roman" w:hint="eastAsia"/>
          <w:sz w:val="22"/>
        </w:rPr>
        <w:t>(</w:t>
      </w:r>
      <w:r w:rsidR="00407E1E" w:rsidRPr="00407E1E">
        <w:rPr>
          <w:rFonts w:ascii="Times New Roman" w:hAnsi="Times New Roman" w:cs="Times New Roman" w:hint="eastAsia"/>
          <w:sz w:val="22"/>
        </w:rPr>
        <w:t>the region with the most prominent tumor enhancement or highest cell density, typically corresponding to the T1-enhanced area or the high-signal intensity region on DWI</w:t>
      </w:r>
      <w:r w:rsidR="00407E1E">
        <w:rPr>
          <w:rFonts w:ascii="Times New Roman" w:hAnsi="Times New Roman" w:cs="Times New Roman" w:hint="eastAsia"/>
          <w:sz w:val="22"/>
        </w:rPr>
        <w:t xml:space="preserve">) </w:t>
      </w:r>
      <w:r w:rsidRPr="00133D57">
        <w:rPr>
          <w:rFonts w:ascii="Times New Roman" w:hAnsi="Times New Roman" w:cs="Times New Roman"/>
          <w:sz w:val="22"/>
        </w:rPr>
        <w:t>while avoiding areas of necrosis, cystic change, hemorrhage, and calcification</w:t>
      </w:r>
      <w:r w:rsidR="005C5CC4">
        <w:rPr>
          <w:rFonts w:ascii="Times New Roman" w:hAnsi="Times New Roman" w:cs="Times New Roman" w:hint="eastAsia"/>
          <w:sz w:val="22"/>
        </w:rPr>
        <w:t>[2,3]</w:t>
      </w:r>
      <w:r w:rsidRPr="00133D57">
        <w:rPr>
          <w:rFonts w:ascii="Times New Roman" w:hAnsi="Times New Roman" w:cs="Times New Roman"/>
          <w:sz w:val="22"/>
        </w:rPr>
        <w:t>.</w:t>
      </w:r>
      <w:r w:rsidR="00407E1E">
        <w:rPr>
          <w:rFonts w:ascii="Times New Roman" w:hAnsi="Times New Roman" w:cs="Times New Roman" w:hint="eastAsia"/>
          <w:sz w:val="22"/>
        </w:rPr>
        <w:t xml:space="preserve"> </w:t>
      </w:r>
    </w:p>
    <w:p w14:paraId="78C121CB" w14:textId="560B9DA1" w:rsidR="00F63001" w:rsidRPr="00133D57" w:rsidRDefault="00F63001" w:rsidP="00133D57">
      <w:pPr>
        <w:adjustRightInd w:val="0"/>
        <w:snapToGrid w:val="0"/>
        <w:spacing w:line="480" w:lineRule="auto"/>
        <w:rPr>
          <w:rFonts w:ascii="Times New Roman" w:hAnsi="Times New Roman" w:cs="Times New Roman"/>
          <w:b/>
          <w:bCs/>
          <w:sz w:val="22"/>
        </w:rPr>
      </w:pPr>
      <w:r w:rsidRPr="00133D57">
        <w:rPr>
          <w:rFonts w:ascii="Times New Roman" w:hAnsi="Times New Roman" w:cs="Times New Roman"/>
          <w:b/>
          <w:bCs/>
          <w:sz w:val="22"/>
        </w:rPr>
        <w:t>Quantitative Enhancement Parameters</w:t>
      </w:r>
    </w:p>
    <w:p w14:paraId="22B0F168" w14:textId="77777777" w:rsidR="00964ABA" w:rsidRPr="00133D57" w:rsidRDefault="00964ABA" w:rsidP="00133D57">
      <w:pPr>
        <w:adjustRightInd w:val="0"/>
        <w:snapToGrid w:val="0"/>
        <w:spacing w:line="480" w:lineRule="auto"/>
        <w:rPr>
          <w:rFonts w:ascii="Times New Roman" w:hAnsi="Times New Roman" w:cs="Times New Roman"/>
          <w:sz w:val="22"/>
        </w:rPr>
      </w:pPr>
      <w:r w:rsidRPr="00133D57">
        <w:rPr>
          <w:rFonts w:ascii="Times New Roman" w:hAnsi="Times New Roman" w:cs="Times New Roman"/>
          <w:sz w:val="22"/>
        </w:rPr>
        <w:t>Measurement of quantitative enhancement parameters: the T1W signal intensity of the solid tumor region before and after contrast enhancement, the T1W signal intensity of air, and the T1W signal intensity of the contralateral white matter. The following parameters were calculated:</w:t>
      </w:r>
    </w:p>
    <w:p w14:paraId="7929EC0F" w14:textId="1A1D8909" w:rsidR="00964ABA" w:rsidRPr="00133D57" w:rsidRDefault="00964ABA" w:rsidP="00133D57">
      <w:pPr>
        <w:adjustRightInd w:val="0"/>
        <w:snapToGrid w:val="0"/>
        <w:spacing w:line="480" w:lineRule="auto"/>
        <w:rPr>
          <w:rFonts w:ascii="Times New Roman" w:hAnsi="Times New Roman" w:cs="Times New Roman"/>
          <w:sz w:val="22"/>
        </w:rPr>
      </w:pPr>
      <w:r w:rsidRPr="00133D57">
        <w:rPr>
          <w:rFonts w:ascii="Times New Roman" w:hAnsi="Times New Roman" w:cs="Times New Roman"/>
          <w:b/>
          <w:bCs/>
          <w:sz w:val="22"/>
        </w:rPr>
        <w:t>Enhancement rate before and after contrast administration</w:t>
      </w:r>
      <w:r w:rsidRPr="00133D57">
        <w:rPr>
          <w:rFonts w:ascii="Times New Roman" w:hAnsi="Times New Roman" w:cs="Times New Roman"/>
          <w:sz w:val="22"/>
        </w:rPr>
        <w:t xml:space="preserve"> = (T1W signal intensity of the enhanced tumor area post-contrast - T1W signal intensity of the corresponding area pre-contrast) / T1W signal intensity of the corresponding area pre-contrast.</w:t>
      </w:r>
    </w:p>
    <w:p w14:paraId="5851EE03" w14:textId="0B55DE94" w:rsidR="00964ABA" w:rsidRPr="00133D57" w:rsidRDefault="00964ABA" w:rsidP="00133D57">
      <w:pPr>
        <w:adjustRightInd w:val="0"/>
        <w:snapToGrid w:val="0"/>
        <w:spacing w:line="480" w:lineRule="auto"/>
        <w:rPr>
          <w:rFonts w:ascii="Times New Roman" w:hAnsi="Times New Roman" w:cs="Times New Roman"/>
          <w:sz w:val="22"/>
        </w:rPr>
      </w:pPr>
      <w:r w:rsidRPr="00133D57">
        <w:rPr>
          <w:rFonts w:ascii="Times New Roman" w:hAnsi="Times New Roman" w:cs="Times New Roman"/>
          <w:b/>
          <w:bCs/>
          <w:sz w:val="22"/>
        </w:rPr>
        <w:t>Tumor enhancement SNR</w:t>
      </w:r>
      <w:r w:rsidRPr="00133D57">
        <w:rPr>
          <w:rFonts w:ascii="Times New Roman" w:hAnsi="Times New Roman" w:cs="Times New Roman"/>
          <w:sz w:val="22"/>
        </w:rPr>
        <w:t xml:space="preserve"> = T1W signal intensity of the enhanced tumor area post-contrast / T1W signal intensity of air.</w:t>
      </w:r>
    </w:p>
    <w:p w14:paraId="59B1E2D0" w14:textId="7B4ADB15" w:rsidR="00FC2AB7" w:rsidRDefault="00964ABA" w:rsidP="00133D57">
      <w:pPr>
        <w:adjustRightInd w:val="0"/>
        <w:snapToGrid w:val="0"/>
        <w:spacing w:line="480" w:lineRule="auto"/>
        <w:rPr>
          <w:rFonts w:ascii="Times New Roman" w:hAnsi="Times New Roman" w:cs="Times New Roman"/>
          <w:sz w:val="22"/>
        </w:rPr>
      </w:pPr>
      <w:r w:rsidRPr="00133D57">
        <w:rPr>
          <w:rFonts w:ascii="Times New Roman" w:hAnsi="Times New Roman" w:cs="Times New Roman"/>
          <w:b/>
          <w:bCs/>
          <w:sz w:val="22"/>
        </w:rPr>
        <w:t>Enhancement ratio</w:t>
      </w:r>
      <w:r w:rsidRPr="00133D57">
        <w:rPr>
          <w:rFonts w:ascii="Times New Roman" w:hAnsi="Times New Roman" w:cs="Times New Roman"/>
          <w:sz w:val="22"/>
        </w:rPr>
        <w:t xml:space="preserve"> = T1W signal intensity of the enhanced tumor area post-contrast / T1W signal intensity of the contralateral normal white matter in the same region.</w:t>
      </w:r>
    </w:p>
    <w:p w14:paraId="1A1CBBC3" w14:textId="77777777" w:rsidR="00771481" w:rsidRDefault="00771481" w:rsidP="00133D57">
      <w:pPr>
        <w:adjustRightInd w:val="0"/>
        <w:snapToGrid w:val="0"/>
        <w:spacing w:line="480" w:lineRule="auto"/>
        <w:rPr>
          <w:rFonts w:ascii="Times New Roman" w:hAnsi="Times New Roman" w:cs="Times New Roman"/>
          <w:sz w:val="22"/>
        </w:rPr>
      </w:pPr>
    </w:p>
    <w:p w14:paraId="6EB73B8F" w14:textId="6F08FBD8" w:rsidR="00771481" w:rsidRPr="004F20A9" w:rsidRDefault="00771481" w:rsidP="00133D57">
      <w:pPr>
        <w:adjustRightInd w:val="0"/>
        <w:snapToGrid w:val="0"/>
        <w:spacing w:line="480" w:lineRule="auto"/>
        <w:rPr>
          <w:rFonts w:ascii="Times New Roman" w:hAnsi="Times New Roman" w:cs="Times New Roman"/>
          <w:b/>
          <w:bCs/>
          <w:sz w:val="22"/>
        </w:rPr>
      </w:pPr>
      <w:r w:rsidRPr="004F20A9">
        <w:rPr>
          <w:rFonts w:ascii="Times New Roman" w:hAnsi="Times New Roman" w:cs="Times New Roman" w:hint="eastAsia"/>
          <w:b/>
          <w:bCs/>
          <w:sz w:val="22"/>
        </w:rPr>
        <w:t>References</w:t>
      </w:r>
    </w:p>
    <w:p w14:paraId="4A3CB94E" w14:textId="4B71B7CB" w:rsidR="00771481" w:rsidRDefault="00771481" w:rsidP="00771481">
      <w:pPr>
        <w:adjustRightInd w:val="0"/>
        <w:snapToGrid w:val="0"/>
        <w:spacing w:line="360" w:lineRule="auto"/>
        <w:rPr>
          <w:rFonts w:ascii="Times New Roman" w:hAnsi="Times New Roman" w:cs="Times New Roman"/>
          <w:sz w:val="22"/>
        </w:rPr>
      </w:pPr>
      <w:r>
        <w:rPr>
          <w:rFonts w:ascii="Times New Roman" w:hAnsi="Times New Roman" w:cs="Times New Roman" w:hint="eastAsia"/>
          <w:sz w:val="22"/>
        </w:rPr>
        <w:t xml:space="preserve">[1] </w:t>
      </w:r>
      <w:r w:rsidR="005C5CC4" w:rsidRPr="005C5CC4">
        <w:rPr>
          <w:rFonts w:ascii="Times New Roman" w:hAnsi="Times New Roman" w:cs="Times New Roman"/>
          <w:sz w:val="22"/>
        </w:rPr>
        <w:t>Zhao B, et al. Usefulness of Magnetic Resonance Imaging Characteristics in Discriminating H3 K27M-Mutant Gliomas from Wildtype Gliomas in Spinal Cord. Neurol Sci. 45, 2845</w:t>
      </w:r>
      <w:r w:rsidR="00661E1A">
        <w:rPr>
          <w:rFonts w:ascii="Times New Roman" w:hAnsi="Times New Roman" w:cs="Times New Roman" w:hint="eastAsia"/>
          <w:sz w:val="22"/>
        </w:rPr>
        <w:t>-</w:t>
      </w:r>
      <w:r w:rsidR="005C5CC4" w:rsidRPr="005C5CC4">
        <w:rPr>
          <w:rFonts w:ascii="Times New Roman" w:hAnsi="Times New Roman" w:cs="Times New Roman"/>
          <w:sz w:val="22"/>
        </w:rPr>
        <w:t>2851. https://doi.org/10.1007/s10072-024-07315-z (2024).</w:t>
      </w:r>
    </w:p>
    <w:p w14:paraId="2D72E018" w14:textId="292232E3" w:rsidR="005C5CC4" w:rsidRPr="005C5CC4" w:rsidRDefault="005C5CC4" w:rsidP="005C5CC4">
      <w:pPr>
        <w:adjustRightInd w:val="0"/>
        <w:snapToGrid w:val="0"/>
        <w:spacing w:line="360" w:lineRule="auto"/>
        <w:rPr>
          <w:rFonts w:ascii="Times New Roman" w:hAnsi="Times New Roman" w:cs="Times New Roman" w:hint="eastAsia"/>
          <w:sz w:val="22"/>
        </w:rPr>
      </w:pPr>
      <w:r>
        <w:rPr>
          <w:rFonts w:ascii="Times New Roman" w:hAnsi="Times New Roman" w:cs="Times New Roman" w:hint="eastAsia"/>
          <w:sz w:val="22"/>
        </w:rPr>
        <w:t xml:space="preserve">[2] </w:t>
      </w:r>
      <w:r w:rsidRPr="005C5CC4">
        <w:rPr>
          <w:rFonts w:ascii="Times New Roman" w:hAnsi="Times New Roman" w:cs="Times New Roman" w:hint="eastAsia"/>
          <w:sz w:val="22"/>
        </w:rPr>
        <w:t>Yu X, et al. Atypical Primary Central Nervous System Lymphoma and Glioblastoma: Multiparametric Differentiation Based on Non-Enhancing Volume, Apparent Diffusion Coefficient, and Arterial Spin Labeling. Eur Radiol. 33,</w:t>
      </w:r>
      <w:r>
        <w:rPr>
          <w:rFonts w:ascii="Times New Roman" w:hAnsi="Times New Roman" w:cs="Times New Roman" w:hint="eastAsia"/>
          <w:sz w:val="22"/>
        </w:rPr>
        <w:t xml:space="preserve"> </w:t>
      </w:r>
      <w:r w:rsidRPr="005C5CC4">
        <w:rPr>
          <w:rFonts w:ascii="Times New Roman" w:hAnsi="Times New Roman" w:cs="Times New Roman" w:hint="eastAsia"/>
          <w:sz w:val="22"/>
        </w:rPr>
        <w:t>5357</w:t>
      </w:r>
      <w:r>
        <w:rPr>
          <w:rFonts w:ascii="Times New Roman" w:hAnsi="Times New Roman" w:cs="Times New Roman" w:hint="eastAsia"/>
          <w:sz w:val="22"/>
        </w:rPr>
        <w:t>-</w:t>
      </w:r>
      <w:r w:rsidRPr="005C5CC4">
        <w:rPr>
          <w:rFonts w:ascii="Times New Roman" w:hAnsi="Times New Roman" w:cs="Times New Roman" w:hint="eastAsia"/>
          <w:sz w:val="22"/>
        </w:rPr>
        <w:t xml:space="preserve">5367. </w:t>
      </w:r>
      <w:r w:rsidRPr="005C5CC4">
        <w:rPr>
          <w:rFonts w:ascii="Times New Roman" w:hAnsi="Times New Roman" w:cs="Times New Roman" w:hint="eastAsia"/>
          <w:sz w:val="22"/>
        </w:rPr>
        <w:lastRenderedPageBreak/>
        <w:t>https://doi.org/10.1007/s00330-023-09681-2 (2023).</w:t>
      </w:r>
    </w:p>
    <w:p w14:paraId="38031EFD" w14:textId="2096D67F" w:rsidR="005C5CC4" w:rsidRPr="00133D57" w:rsidRDefault="005C5CC4" w:rsidP="00771481">
      <w:pPr>
        <w:adjustRightInd w:val="0"/>
        <w:snapToGrid w:val="0"/>
        <w:spacing w:line="360" w:lineRule="auto"/>
        <w:rPr>
          <w:rFonts w:ascii="Times New Roman" w:hAnsi="Times New Roman" w:cs="Times New Roman" w:hint="eastAsia"/>
          <w:sz w:val="22"/>
        </w:rPr>
      </w:pPr>
      <w:r>
        <w:rPr>
          <w:rFonts w:ascii="Times New Roman" w:hAnsi="Times New Roman" w:cs="Times New Roman" w:hint="eastAsia"/>
          <w:sz w:val="22"/>
        </w:rPr>
        <w:t xml:space="preserve">[3] </w:t>
      </w:r>
      <w:r w:rsidRPr="005C5CC4">
        <w:rPr>
          <w:rFonts w:ascii="Times New Roman" w:hAnsi="Times New Roman" w:cs="Times New Roman" w:hint="eastAsia"/>
          <w:sz w:val="22"/>
        </w:rPr>
        <w:t>Han X, et al. Apparent Diffusion Coefficient Measurement in Glioma: Influence of Region-of-Interest Determination Methods on Apparent Diffusion Coefficient Values, Interobserver Variability, Time Efficiency, and Diagnostic Ability. J Magn Reson Imaging. 45, 722</w:t>
      </w:r>
      <w:r w:rsidR="00661E1A">
        <w:rPr>
          <w:rFonts w:ascii="Times New Roman" w:hAnsi="Times New Roman" w:cs="Times New Roman" w:hint="eastAsia"/>
          <w:sz w:val="22"/>
        </w:rPr>
        <w:t>-</w:t>
      </w:r>
      <w:r w:rsidRPr="005C5CC4">
        <w:rPr>
          <w:rFonts w:ascii="Times New Roman" w:hAnsi="Times New Roman" w:cs="Times New Roman" w:hint="eastAsia"/>
          <w:sz w:val="22"/>
        </w:rPr>
        <w:t>730. https://doi.org/10.1002/jmri.25405 (2017).</w:t>
      </w:r>
    </w:p>
    <w:sectPr w:rsidR="005C5CC4" w:rsidRPr="00133D5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69D7D9" w14:textId="77777777" w:rsidR="008E2DDE" w:rsidRDefault="008E2DDE" w:rsidP="00976615">
      <w:pPr>
        <w:rPr>
          <w:rFonts w:hint="eastAsia"/>
        </w:rPr>
      </w:pPr>
      <w:r>
        <w:separator/>
      </w:r>
    </w:p>
  </w:endnote>
  <w:endnote w:type="continuationSeparator" w:id="0">
    <w:p w14:paraId="5352B4A4" w14:textId="77777777" w:rsidR="008E2DDE" w:rsidRDefault="008E2DDE" w:rsidP="0097661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75CF9" w14:textId="77777777" w:rsidR="008E2DDE" w:rsidRDefault="008E2DDE" w:rsidP="00976615">
      <w:pPr>
        <w:rPr>
          <w:rFonts w:hint="eastAsia"/>
        </w:rPr>
      </w:pPr>
      <w:r>
        <w:separator/>
      </w:r>
    </w:p>
  </w:footnote>
  <w:footnote w:type="continuationSeparator" w:id="0">
    <w:p w14:paraId="0C2F1D1E" w14:textId="77777777" w:rsidR="008E2DDE" w:rsidRDefault="008E2DDE" w:rsidP="00976615">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AB7"/>
    <w:rsid w:val="00133D57"/>
    <w:rsid w:val="00396D0E"/>
    <w:rsid w:val="00407E1E"/>
    <w:rsid w:val="00464A8F"/>
    <w:rsid w:val="004F20A9"/>
    <w:rsid w:val="004F36C5"/>
    <w:rsid w:val="00595775"/>
    <w:rsid w:val="005957BA"/>
    <w:rsid w:val="005C5CC4"/>
    <w:rsid w:val="0062533D"/>
    <w:rsid w:val="00661E1A"/>
    <w:rsid w:val="006E6DE2"/>
    <w:rsid w:val="00723F94"/>
    <w:rsid w:val="00771481"/>
    <w:rsid w:val="008E2DDE"/>
    <w:rsid w:val="00904D13"/>
    <w:rsid w:val="00945B03"/>
    <w:rsid w:val="0095178E"/>
    <w:rsid w:val="00964ABA"/>
    <w:rsid w:val="00976615"/>
    <w:rsid w:val="009A5540"/>
    <w:rsid w:val="00B961F4"/>
    <w:rsid w:val="00E04BF2"/>
    <w:rsid w:val="00E1557E"/>
    <w:rsid w:val="00E9031D"/>
    <w:rsid w:val="00EE593C"/>
    <w:rsid w:val="00F63001"/>
    <w:rsid w:val="00F9794F"/>
    <w:rsid w:val="00FC2A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0F3A72"/>
  <w15:chartTrackingRefBased/>
  <w15:docId w15:val="{C0866BEE-F106-4AEC-A048-E78BDC226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661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6615"/>
    <w:pPr>
      <w:tabs>
        <w:tab w:val="center" w:pos="4153"/>
        <w:tab w:val="right" w:pos="8306"/>
      </w:tabs>
      <w:snapToGrid w:val="0"/>
      <w:jc w:val="center"/>
    </w:pPr>
    <w:rPr>
      <w:sz w:val="18"/>
      <w:szCs w:val="18"/>
    </w:rPr>
  </w:style>
  <w:style w:type="character" w:customStyle="1" w:styleId="a4">
    <w:name w:val="页眉 字符"/>
    <w:basedOn w:val="a0"/>
    <w:link w:val="a3"/>
    <w:uiPriority w:val="99"/>
    <w:rsid w:val="00976615"/>
    <w:rPr>
      <w:sz w:val="18"/>
      <w:szCs w:val="18"/>
    </w:rPr>
  </w:style>
  <w:style w:type="paragraph" w:styleId="a5">
    <w:name w:val="footer"/>
    <w:basedOn w:val="a"/>
    <w:link w:val="a6"/>
    <w:uiPriority w:val="99"/>
    <w:unhideWhenUsed/>
    <w:rsid w:val="00976615"/>
    <w:pPr>
      <w:tabs>
        <w:tab w:val="center" w:pos="4153"/>
        <w:tab w:val="right" w:pos="8306"/>
      </w:tabs>
      <w:snapToGrid w:val="0"/>
      <w:jc w:val="left"/>
    </w:pPr>
    <w:rPr>
      <w:sz w:val="18"/>
      <w:szCs w:val="18"/>
    </w:rPr>
  </w:style>
  <w:style w:type="character" w:customStyle="1" w:styleId="a6">
    <w:name w:val="页脚 字符"/>
    <w:basedOn w:val="a0"/>
    <w:link w:val="a5"/>
    <w:uiPriority w:val="99"/>
    <w:rsid w:val="0097661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4</Pages>
  <Words>957</Words>
  <Characters>5507</Characters>
  <Application>Microsoft Office Word</Application>
  <DocSecurity>0</DocSecurity>
  <Lines>91</Lines>
  <Paragraphs>35</Paragraphs>
  <ScaleCrop>false</ScaleCrop>
  <Company/>
  <LinksUpToDate>false</LinksUpToDate>
  <CharactersWithSpaces>6429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健 蒋</dc:creator>
  <cp:keywords/>
  <dc:description/>
  <cp:lastModifiedBy>健 蒋</cp:lastModifiedBy>
  <cp:revision>3</cp:revision>
  <dcterms:created xsi:type="dcterms:W3CDTF">2026-06-05T16:52:00Z</dcterms:created>
  <dcterms:modified xsi:type="dcterms:W3CDTF">2026-06-05T17:05:00Z</dcterms:modified>
</cp:coreProperties>
</file>