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A56E9" w14:textId="2325C065" w:rsidR="008E474C" w:rsidRPr="008E474C" w:rsidRDefault="0097795D" w:rsidP="007E72E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</w:t>
      </w:r>
      <w:r w:rsidR="008E474C" w:rsidRPr="008E474C">
        <w:rPr>
          <w:rFonts w:ascii="Times New Roman" w:hAnsi="Times New Roman" w:cs="Times New Roman"/>
          <w:b/>
          <w:bCs/>
        </w:rPr>
        <w:t>able</w:t>
      </w:r>
      <w:r>
        <w:rPr>
          <w:rFonts w:ascii="Times New Roman" w:hAnsi="Times New Roman" w:cs="Times New Roman"/>
          <w:b/>
          <w:bCs/>
        </w:rPr>
        <w:t xml:space="preserve"> 1</w:t>
      </w:r>
      <w:r w:rsidR="008E474C" w:rsidRPr="008E474C">
        <w:rPr>
          <w:rFonts w:ascii="Times New Roman" w:hAnsi="Times New Roman" w:cs="Times New Roman"/>
          <w:b/>
          <w:bCs/>
        </w:rPr>
        <w:t>: Classification of interview questions used in the semi-structured interview guide</w:t>
      </w:r>
    </w:p>
    <w:tbl>
      <w:tblPr>
        <w:tblStyle w:val="TableGrid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3685"/>
        <w:gridCol w:w="3544"/>
      </w:tblGrid>
      <w:tr w:rsidR="008E474C" w:rsidRPr="008E474C" w14:paraId="546A5232" w14:textId="77777777" w:rsidTr="008E474C">
        <w:trPr>
          <w:jc w:val="center"/>
        </w:trPr>
        <w:tc>
          <w:tcPr>
            <w:tcW w:w="1980" w:type="dxa"/>
          </w:tcPr>
          <w:p w14:paraId="02AB26CE" w14:textId="400221EA" w:rsidR="008E474C" w:rsidRPr="008E474C" w:rsidRDefault="008E474C" w:rsidP="008E4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E47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Type of question</w:t>
            </w:r>
          </w:p>
        </w:tc>
        <w:tc>
          <w:tcPr>
            <w:tcW w:w="3685" w:type="dxa"/>
          </w:tcPr>
          <w:p w14:paraId="7AFC5931" w14:textId="2CDBDC76" w:rsidR="008E474C" w:rsidRPr="008E474C" w:rsidRDefault="008E474C" w:rsidP="008E4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E47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Explanation of type of question</w:t>
            </w:r>
          </w:p>
        </w:tc>
        <w:tc>
          <w:tcPr>
            <w:tcW w:w="3544" w:type="dxa"/>
          </w:tcPr>
          <w:p w14:paraId="3DF69B06" w14:textId="09A5552A" w:rsidR="008E474C" w:rsidRPr="008E474C" w:rsidRDefault="008E474C" w:rsidP="008E47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E47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Examples from the present study</w:t>
            </w:r>
          </w:p>
        </w:tc>
      </w:tr>
      <w:tr w:rsidR="008E474C" w:rsidRPr="008E474C" w14:paraId="7342DF3B" w14:textId="77777777" w:rsidTr="008E474C">
        <w:trPr>
          <w:jc w:val="center"/>
        </w:trPr>
        <w:tc>
          <w:tcPr>
            <w:tcW w:w="1980" w:type="dxa"/>
          </w:tcPr>
          <w:p w14:paraId="0DE03065" w14:textId="2E1E7767" w:rsidR="008E474C" w:rsidRPr="008E474C" w:rsidRDefault="008E474C" w:rsidP="008E474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E474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Introductory questions </w:t>
            </w:r>
          </w:p>
        </w:tc>
        <w:tc>
          <w:tcPr>
            <w:tcW w:w="3685" w:type="dxa"/>
          </w:tcPr>
          <w:p w14:paraId="6CAD3934" w14:textId="7FA9A4C3" w:rsidR="008E474C" w:rsidRPr="008E474C" w:rsidRDefault="000E7998" w:rsidP="008E474C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Open-ended questions intended to initiate the interview, build rapport, and elicit general clinical experience without directing responses toward specific outcomes.  </w:t>
            </w:r>
            <w:r w:rsidR="008E47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14:paraId="4BC3B5CB" w14:textId="77777777" w:rsidR="00720B50" w:rsidRPr="00720B50" w:rsidRDefault="00720B50" w:rsidP="00720B50">
            <w:pPr>
              <w:spacing w:before="24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0B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Over time, have you noticed any patterns or recurring challenges in the management of such patients?</w:t>
            </w:r>
          </w:p>
          <w:p w14:paraId="4C7867AA" w14:textId="169E237A" w:rsidR="008E474C" w:rsidRPr="008E474C" w:rsidRDefault="008E474C" w:rsidP="008E474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8E474C" w:rsidRPr="008E474C" w14:paraId="1BCAB28B" w14:textId="77777777" w:rsidTr="008E474C">
        <w:trPr>
          <w:jc w:val="center"/>
        </w:trPr>
        <w:tc>
          <w:tcPr>
            <w:tcW w:w="1980" w:type="dxa"/>
          </w:tcPr>
          <w:p w14:paraId="677AC3DB" w14:textId="70C677F6" w:rsidR="008E474C" w:rsidRPr="000E7998" w:rsidRDefault="008E474C" w:rsidP="008E474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E79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Transition questions </w:t>
            </w:r>
          </w:p>
        </w:tc>
        <w:tc>
          <w:tcPr>
            <w:tcW w:w="3685" w:type="dxa"/>
          </w:tcPr>
          <w:p w14:paraId="6BB89846" w14:textId="3778CE44" w:rsidR="008E474C" w:rsidRPr="008E474C" w:rsidRDefault="008E474C" w:rsidP="008E474C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Questions that </w:t>
            </w:r>
            <w:r w:rsidR="000E7998">
              <w:rPr>
                <w:rFonts w:ascii="Times New Roman" w:hAnsi="Times New Roman" w:cs="Times New Roman"/>
                <w:sz w:val="22"/>
                <w:szCs w:val="22"/>
              </w:rPr>
              <w:t>bridge general clinical experience to the specific focus of the study, guiding participants toward discussion of polymyxin use and dosing considerations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3FA1D3F3" w14:textId="77777777" w:rsidR="00720B50" w:rsidRPr="00720B50" w:rsidRDefault="00720B50" w:rsidP="00720B50">
            <w:pPr>
              <w:spacing w:before="24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0B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What  clinical or patient-related factors influence  your choice between  polymyxin B and colistin ?</w:t>
            </w:r>
          </w:p>
          <w:p w14:paraId="23B6AEF7" w14:textId="34A52C50" w:rsidR="008E474C" w:rsidRPr="008E474C" w:rsidRDefault="008E474C" w:rsidP="008E474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8E474C" w:rsidRPr="008E474C" w14:paraId="4AB073D9" w14:textId="77777777" w:rsidTr="008E474C">
        <w:trPr>
          <w:jc w:val="center"/>
        </w:trPr>
        <w:tc>
          <w:tcPr>
            <w:tcW w:w="1980" w:type="dxa"/>
          </w:tcPr>
          <w:p w14:paraId="4A304980" w14:textId="6788E701" w:rsidR="008E474C" w:rsidRPr="000E7998" w:rsidRDefault="000E7998" w:rsidP="008E474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E79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Key questions </w:t>
            </w:r>
          </w:p>
        </w:tc>
        <w:tc>
          <w:tcPr>
            <w:tcW w:w="3685" w:type="dxa"/>
          </w:tcPr>
          <w:p w14:paraId="39808685" w14:textId="5F0937AC" w:rsidR="008E474C" w:rsidRPr="008E474C" w:rsidRDefault="000E7998" w:rsidP="008E474C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Core questions directly aligned with the research objectives, designed to explore clinical reasoning, dosing decision-making, and contextual factors influencing polymyxin use in renally impaired critically ill patients.</w:t>
            </w:r>
          </w:p>
        </w:tc>
        <w:tc>
          <w:tcPr>
            <w:tcW w:w="3544" w:type="dxa"/>
          </w:tcPr>
          <w:p w14:paraId="630C8894" w14:textId="77777777" w:rsidR="00720B50" w:rsidRPr="00720B50" w:rsidRDefault="00720B50" w:rsidP="00720B50">
            <w:pPr>
              <w:spacing w:before="24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0B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Finally, based on your experience, what suggestions would you offer to improve polymyxin dosing in critically ill patients with renal impairment? </w:t>
            </w:r>
          </w:p>
          <w:p w14:paraId="12B5800D" w14:textId="4DEB9DAB" w:rsidR="008E474C" w:rsidRPr="000E7998" w:rsidRDefault="008E474C" w:rsidP="008E474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8E474C" w:rsidRPr="008E474C" w14:paraId="00A7AA4D" w14:textId="77777777" w:rsidTr="008E474C">
        <w:trPr>
          <w:jc w:val="center"/>
        </w:trPr>
        <w:tc>
          <w:tcPr>
            <w:tcW w:w="1980" w:type="dxa"/>
          </w:tcPr>
          <w:p w14:paraId="6E592525" w14:textId="0116E53D" w:rsidR="008E474C" w:rsidRPr="000E7998" w:rsidRDefault="000E7998" w:rsidP="008E474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E79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Probing questions </w:t>
            </w:r>
          </w:p>
        </w:tc>
        <w:tc>
          <w:tcPr>
            <w:tcW w:w="3685" w:type="dxa"/>
          </w:tcPr>
          <w:p w14:paraId="6CF2EA0F" w14:textId="535580A8" w:rsidR="008E474C" w:rsidRPr="008E474C" w:rsidRDefault="000E7998" w:rsidP="008E474C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Follow-up questions used flexibly to clarify, elaborate or deepen participant responses, allowing exploration of reasoning and contextual details.  </w:t>
            </w:r>
          </w:p>
        </w:tc>
        <w:tc>
          <w:tcPr>
            <w:tcW w:w="3544" w:type="dxa"/>
          </w:tcPr>
          <w:p w14:paraId="103E2FF1" w14:textId="77777777" w:rsidR="00720B50" w:rsidRPr="00720B50" w:rsidRDefault="00720B50" w:rsidP="00720B50">
            <w:pPr>
              <w:spacing w:before="24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0B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Do you modify the  timing of polymyxin administration in relation  to dialysis sessions? What informs this decision ? </w:t>
            </w:r>
          </w:p>
          <w:p w14:paraId="3E0A37C3" w14:textId="0FE99D24" w:rsidR="008E474C" w:rsidRPr="000E7998" w:rsidRDefault="008E474C" w:rsidP="008E474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8E474C" w:rsidRPr="008E474C" w14:paraId="5C9EF8AE" w14:textId="77777777" w:rsidTr="008E474C">
        <w:trPr>
          <w:jc w:val="center"/>
        </w:trPr>
        <w:tc>
          <w:tcPr>
            <w:tcW w:w="1980" w:type="dxa"/>
          </w:tcPr>
          <w:p w14:paraId="3B3D0AFD" w14:textId="1B5E6951" w:rsidR="008E474C" w:rsidRPr="000E7998" w:rsidRDefault="000E7998" w:rsidP="008E474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E79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Reflective questions </w:t>
            </w:r>
          </w:p>
        </w:tc>
        <w:tc>
          <w:tcPr>
            <w:tcW w:w="3685" w:type="dxa"/>
          </w:tcPr>
          <w:p w14:paraId="2FDB5C89" w14:textId="501AC049" w:rsidR="008E474C" w:rsidRPr="008E474C" w:rsidRDefault="000E7998" w:rsidP="008E474C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Questions that encourage participants to reflect on challenges, uncertainties and evolving practices related to polymyxin dosing and decision-making. </w:t>
            </w:r>
          </w:p>
        </w:tc>
        <w:tc>
          <w:tcPr>
            <w:tcW w:w="3544" w:type="dxa"/>
          </w:tcPr>
          <w:p w14:paraId="1E538E58" w14:textId="77777777" w:rsidR="00720B50" w:rsidRPr="00720B50" w:rsidRDefault="00720B50" w:rsidP="00720B50">
            <w:pPr>
              <w:spacing w:before="24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0B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Have you faced  challenges related to drug preparation, dilution or infusion times or product labelling? </w:t>
            </w:r>
          </w:p>
          <w:p w14:paraId="0D79C3CC" w14:textId="78382E42" w:rsidR="008E474C" w:rsidRPr="000E7998" w:rsidRDefault="008E474C" w:rsidP="008E474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  <w:tr w:rsidR="000E7998" w:rsidRPr="008E474C" w14:paraId="4BC8A46E" w14:textId="77777777" w:rsidTr="008E474C">
        <w:trPr>
          <w:jc w:val="center"/>
        </w:trPr>
        <w:tc>
          <w:tcPr>
            <w:tcW w:w="1980" w:type="dxa"/>
          </w:tcPr>
          <w:p w14:paraId="63EC4E37" w14:textId="3B5735C8" w:rsidR="000E7998" w:rsidRPr="000E7998" w:rsidRDefault="000E7998" w:rsidP="008E474C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E799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Closing questions </w:t>
            </w:r>
          </w:p>
        </w:tc>
        <w:tc>
          <w:tcPr>
            <w:tcW w:w="3685" w:type="dxa"/>
          </w:tcPr>
          <w:p w14:paraId="7B818EEF" w14:textId="6A795B81" w:rsidR="000E7998" w:rsidRDefault="000E7998" w:rsidP="008E474C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Questions intended to provide closure to the interview and allow participants to share additional insights not previously discussed. </w:t>
            </w:r>
          </w:p>
        </w:tc>
        <w:tc>
          <w:tcPr>
            <w:tcW w:w="3544" w:type="dxa"/>
          </w:tcPr>
          <w:p w14:paraId="1DF2CEA2" w14:textId="77777777" w:rsidR="00720B50" w:rsidRPr="00720B50" w:rsidRDefault="00720B50" w:rsidP="00720B50">
            <w:pPr>
              <w:spacing w:before="24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20B5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What kind of  training, tools or institutional support would be required  to make this feasible? </w:t>
            </w:r>
          </w:p>
          <w:p w14:paraId="345569CD" w14:textId="071078B1" w:rsidR="000E7998" w:rsidRPr="000E7998" w:rsidRDefault="000E7998" w:rsidP="008E474C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</w:tr>
    </w:tbl>
    <w:p w14:paraId="78995CEF" w14:textId="4DD09469" w:rsidR="000E0F91" w:rsidRPr="008E474C" w:rsidRDefault="008E474C">
      <w:pPr>
        <w:rPr>
          <w:rFonts w:ascii="Times New Roman" w:hAnsi="Times New Roman" w:cs="Times New Roman"/>
        </w:rPr>
      </w:pPr>
      <w:r w:rsidRPr="008E474C">
        <w:rPr>
          <w:rFonts w:ascii="Times New Roman" w:hAnsi="Times New Roman" w:cs="Times New Roman"/>
        </w:rPr>
        <w:t xml:space="preserve"> </w:t>
      </w:r>
    </w:p>
    <w:sectPr w:rsidR="000E0F91" w:rsidRPr="008E47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0E1D"/>
    <w:multiLevelType w:val="hybridMultilevel"/>
    <w:tmpl w:val="C91247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905C8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E06AF"/>
    <w:multiLevelType w:val="hybridMultilevel"/>
    <w:tmpl w:val="2EA861A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084D87"/>
    <w:multiLevelType w:val="hybridMultilevel"/>
    <w:tmpl w:val="0672C0A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E85FFF"/>
    <w:multiLevelType w:val="hybridMultilevel"/>
    <w:tmpl w:val="EAAC536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3E4EFC"/>
    <w:multiLevelType w:val="hybridMultilevel"/>
    <w:tmpl w:val="28FA447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A23CCC"/>
    <w:multiLevelType w:val="hybridMultilevel"/>
    <w:tmpl w:val="45ECF8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086881">
    <w:abstractNumId w:val="2"/>
  </w:num>
  <w:num w:numId="2" w16cid:durableId="1402017698">
    <w:abstractNumId w:val="3"/>
  </w:num>
  <w:num w:numId="3" w16cid:durableId="196352097">
    <w:abstractNumId w:val="0"/>
  </w:num>
  <w:num w:numId="4" w16cid:durableId="724450922">
    <w:abstractNumId w:val="5"/>
  </w:num>
  <w:num w:numId="5" w16cid:durableId="1759908234">
    <w:abstractNumId w:val="4"/>
  </w:num>
  <w:num w:numId="6" w16cid:durableId="268390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IwA0ILI0MzSwNDAyUdpeDU4uLM/DyQAqNaAPhVBSwsAAAA"/>
  </w:docVars>
  <w:rsids>
    <w:rsidRoot w:val="000E0F91"/>
    <w:rsid w:val="000E0F91"/>
    <w:rsid w:val="000E7998"/>
    <w:rsid w:val="001C37EB"/>
    <w:rsid w:val="004F4C08"/>
    <w:rsid w:val="00702BCB"/>
    <w:rsid w:val="00720B50"/>
    <w:rsid w:val="007E72E6"/>
    <w:rsid w:val="008E474C"/>
    <w:rsid w:val="0097795D"/>
    <w:rsid w:val="009F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DDB4F"/>
  <w15:chartTrackingRefBased/>
  <w15:docId w15:val="{7EFF6B25-937F-4D88-BCD4-91B6479A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F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F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F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F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F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F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F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F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F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F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F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K Rajan</dc:creator>
  <cp:keywords/>
  <dc:description/>
  <cp:lastModifiedBy>Asha K Rajan</cp:lastModifiedBy>
  <cp:revision>5</cp:revision>
  <dcterms:created xsi:type="dcterms:W3CDTF">2026-01-05T04:22:00Z</dcterms:created>
  <dcterms:modified xsi:type="dcterms:W3CDTF">2026-03-23T14:02:00Z</dcterms:modified>
</cp:coreProperties>
</file>