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B4B40" w14:textId="5141BC0E" w:rsidR="007F303C" w:rsidRPr="00AE6C30" w:rsidRDefault="00D21AF6" w:rsidP="00AE6C30">
      <w:pPr>
        <w:jc w:val="center"/>
        <w:rPr>
          <w:rFonts w:ascii="Times New Roman" w:hAnsi="Times New Roman" w:cs="Times New Roman"/>
          <w:b/>
          <w:bCs/>
        </w:rPr>
      </w:pPr>
      <w:r w:rsidRPr="00AE6C30">
        <w:rPr>
          <w:rFonts w:ascii="Times New Roman" w:hAnsi="Times New Roman" w:cs="Times New Roman"/>
          <w:b/>
          <w:bCs/>
        </w:rPr>
        <w:t xml:space="preserve">Supplementary </w:t>
      </w:r>
      <w:r w:rsidR="00AE6C30" w:rsidRPr="00AE6C30">
        <w:rPr>
          <w:rFonts w:ascii="Times New Roman" w:hAnsi="Times New Roman" w:cs="Times New Roman"/>
          <w:b/>
          <w:bCs/>
        </w:rPr>
        <w:t>T</w:t>
      </w:r>
      <w:r w:rsidRPr="00AE6C30">
        <w:rPr>
          <w:rFonts w:ascii="Times New Roman" w:hAnsi="Times New Roman" w:cs="Times New Roman"/>
          <w:b/>
          <w:bCs/>
        </w:rPr>
        <w:t>able</w:t>
      </w:r>
      <w:r w:rsidR="006C2026">
        <w:rPr>
          <w:rFonts w:ascii="Times New Roman" w:hAnsi="Times New Roman" w:cs="Times New Roman"/>
          <w:b/>
          <w:bCs/>
        </w:rPr>
        <w:t xml:space="preserve"> </w:t>
      </w:r>
      <w:r w:rsidR="001D229D">
        <w:rPr>
          <w:rFonts w:ascii="Times New Roman" w:hAnsi="Times New Roman" w:cs="Times New Roman"/>
          <w:b/>
          <w:bCs/>
        </w:rPr>
        <w:t>3</w:t>
      </w:r>
      <w:r w:rsidRPr="00AE6C30">
        <w:rPr>
          <w:rFonts w:ascii="Times New Roman" w:hAnsi="Times New Roman" w:cs="Times New Roman"/>
          <w:b/>
          <w:bCs/>
        </w:rPr>
        <w:t>: Themes, subthemes and exemplar quotations from clinician interviews</w:t>
      </w:r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2127"/>
        <w:gridCol w:w="3544"/>
        <w:gridCol w:w="5103"/>
      </w:tblGrid>
      <w:tr w:rsidR="00AE6C30" w:rsidRPr="00AE6C30" w14:paraId="77E948AE" w14:textId="77777777" w:rsidTr="00C3579C">
        <w:tc>
          <w:tcPr>
            <w:tcW w:w="2127" w:type="dxa"/>
          </w:tcPr>
          <w:p w14:paraId="3D378440" w14:textId="435FF1DD" w:rsidR="00AE6C30" w:rsidRPr="00AE6C30" w:rsidRDefault="00AE6C30" w:rsidP="00AE6C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E6C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Theme</w:t>
            </w:r>
          </w:p>
        </w:tc>
        <w:tc>
          <w:tcPr>
            <w:tcW w:w="3544" w:type="dxa"/>
          </w:tcPr>
          <w:p w14:paraId="15D963E5" w14:textId="52CE7324" w:rsidR="00AE6C30" w:rsidRPr="00AE6C30" w:rsidRDefault="00AE6C30" w:rsidP="00AE6C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E6C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Subtheme</w:t>
            </w:r>
          </w:p>
        </w:tc>
        <w:tc>
          <w:tcPr>
            <w:tcW w:w="5103" w:type="dxa"/>
          </w:tcPr>
          <w:p w14:paraId="4FD9F719" w14:textId="55240D56" w:rsidR="00AE6C30" w:rsidRPr="00AE6C30" w:rsidRDefault="00AE6C30" w:rsidP="00AE6C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E6C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Exemplar quotations</w:t>
            </w:r>
          </w:p>
        </w:tc>
      </w:tr>
      <w:tr w:rsidR="005A78BE" w:rsidRPr="00AE6C30" w14:paraId="17D79506" w14:textId="77777777" w:rsidTr="00C3579C">
        <w:tc>
          <w:tcPr>
            <w:tcW w:w="2127" w:type="dxa"/>
            <w:vMerge w:val="restart"/>
          </w:tcPr>
          <w:p w14:paraId="4B9629CE" w14:textId="41D8AD09" w:rsidR="005A78BE" w:rsidRPr="005A78BE" w:rsidRDefault="005A78BE" w:rsidP="00AE6C3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A78B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Clinical determinants of polymyxin selection </w:t>
            </w:r>
          </w:p>
        </w:tc>
        <w:tc>
          <w:tcPr>
            <w:tcW w:w="3544" w:type="dxa"/>
          </w:tcPr>
          <w:p w14:paraId="5ACEA192" w14:textId="1D2C70B5" w:rsidR="005A78BE" w:rsidRPr="00AE6C30" w:rsidRDefault="005A78BE" w:rsidP="00AE6C3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Infection source </w:t>
            </w:r>
          </w:p>
        </w:tc>
        <w:tc>
          <w:tcPr>
            <w:tcW w:w="5103" w:type="dxa"/>
          </w:tcPr>
          <w:p w14:paraId="441940CB" w14:textId="6412E173" w:rsidR="005A78BE" w:rsidRPr="00AE6C30" w:rsidRDefault="005A78BE" w:rsidP="00AE6C30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6C3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“If it is something to urine or pyelonephritis, we usually go with colistin. Anything related to blood or lungs, we prefer polymyxin B”.</w:t>
            </w:r>
          </w:p>
        </w:tc>
      </w:tr>
      <w:tr w:rsidR="005A78BE" w:rsidRPr="00AE6C30" w14:paraId="3135062D" w14:textId="77777777" w:rsidTr="00C3579C">
        <w:tc>
          <w:tcPr>
            <w:tcW w:w="2127" w:type="dxa"/>
            <w:vMerge/>
          </w:tcPr>
          <w:p w14:paraId="447CC286" w14:textId="77777777" w:rsidR="005A78BE" w:rsidRPr="005A78BE" w:rsidRDefault="005A78BE" w:rsidP="00AE6C3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</w:tcPr>
          <w:p w14:paraId="013F6321" w14:textId="73B707A5" w:rsidR="005A78BE" w:rsidRPr="00AE6C30" w:rsidRDefault="005A78BE" w:rsidP="00AE6C3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Resistance patterns </w:t>
            </w:r>
          </w:p>
        </w:tc>
        <w:tc>
          <w:tcPr>
            <w:tcW w:w="5103" w:type="dxa"/>
          </w:tcPr>
          <w:p w14:paraId="77CA914C" w14:textId="14E8424D" w:rsidR="005A78BE" w:rsidRPr="00AE6C30" w:rsidRDefault="005A78BE" w:rsidP="00AE6C30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6C3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“Now we are seeing more and more multidrug-resistant infections, especially hospital-acquired ones, which is why polymyxins come into the picture”. </w:t>
            </w:r>
          </w:p>
        </w:tc>
      </w:tr>
      <w:tr w:rsidR="005A78BE" w:rsidRPr="00AE6C30" w14:paraId="7A67D18A" w14:textId="77777777" w:rsidTr="00C3579C">
        <w:tc>
          <w:tcPr>
            <w:tcW w:w="2127" w:type="dxa"/>
            <w:vMerge/>
          </w:tcPr>
          <w:p w14:paraId="5A3AAB36" w14:textId="77777777" w:rsidR="005A78BE" w:rsidRPr="005A78BE" w:rsidRDefault="005A78BE" w:rsidP="00AE6C3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</w:tcPr>
          <w:p w14:paraId="17C71FAB" w14:textId="2D3C7643" w:rsidR="005A78BE" w:rsidRPr="00AE6C30" w:rsidRDefault="005A78BE" w:rsidP="00AE6C3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Clinician experience </w:t>
            </w:r>
          </w:p>
        </w:tc>
        <w:tc>
          <w:tcPr>
            <w:tcW w:w="5103" w:type="dxa"/>
          </w:tcPr>
          <w:p w14:paraId="4D16AFEC" w14:textId="3B77C32C" w:rsidR="005A78BE" w:rsidRPr="00AE6C30" w:rsidRDefault="005A78BE" w:rsidP="00AE6C30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E6C3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“Somehow, I feel polymyxin B dosing is slightly easier compared to colistin. It is less clumsy”. </w:t>
            </w:r>
          </w:p>
        </w:tc>
      </w:tr>
      <w:tr w:rsidR="00C3579C" w:rsidRPr="00AE6C30" w14:paraId="0C295CCA" w14:textId="77777777" w:rsidTr="00C3579C">
        <w:tc>
          <w:tcPr>
            <w:tcW w:w="2127" w:type="dxa"/>
            <w:vMerge w:val="restart"/>
          </w:tcPr>
          <w:p w14:paraId="7BDE8F0B" w14:textId="273FEDB1" w:rsidR="00C3579C" w:rsidRPr="005A78BE" w:rsidRDefault="00C3579C" w:rsidP="00AE6C3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A78B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Individualized and adaptive dosing paradigm </w:t>
            </w:r>
          </w:p>
        </w:tc>
        <w:tc>
          <w:tcPr>
            <w:tcW w:w="3544" w:type="dxa"/>
          </w:tcPr>
          <w:p w14:paraId="24229933" w14:textId="1374DE45" w:rsidR="00C3579C" w:rsidRPr="00AE6C30" w:rsidRDefault="00C3579C" w:rsidP="00AE6C3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Patient-specific factors </w:t>
            </w:r>
          </w:p>
        </w:tc>
        <w:tc>
          <w:tcPr>
            <w:tcW w:w="5103" w:type="dxa"/>
          </w:tcPr>
          <w:p w14:paraId="5E5C0B46" w14:textId="101B4E6F" w:rsidR="00C3579C" w:rsidRPr="00AE6C30" w:rsidRDefault="00C3579C" w:rsidP="00AE6C3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“</w:t>
            </w:r>
            <w:r w:rsidRPr="005A78B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For each and every patient, we calculate the renal clearance and then decide the dose accordingly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”</w:t>
            </w:r>
          </w:p>
        </w:tc>
      </w:tr>
      <w:tr w:rsidR="00C3579C" w:rsidRPr="00AE6C30" w14:paraId="5392B122" w14:textId="77777777" w:rsidTr="00C3579C">
        <w:tc>
          <w:tcPr>
            <w:tcW w:w="2127" w:type="dxa"/>
            <w:vMerge/>
          </w:tcPr>
          <w:p w14:paraId="29D97B7D" w14:textId="77777777" w:rsidR="00C3579C" w:rsidRPr="00AE6C30" w:rsidRDefault="00C3579C" w:rsidP="00AE6C3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</w:tcPr>
          <w:p w14:paraId="1763368A" w14:textId="631582F8" w:rsidR="00C3579C" w:rsidRPr="00AE6C30" w:rsidRDefault="00C3579C" w:rsidP="00AE6C3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Weight and renal function </w:t>
            </w:r>
          </w:p>
        </w:tc>
        <w:tc>
          <w:tcPr>
            <w:tcW w:w="5103" w:type="dxa"/>
          </w:tcPr>
          <w:p w14:paraId="54301496" w14:textId="50765BDF" w:rsidR="00C3579C" w:rsidRPr="005A78BE" w:rsidRDefault="00C3579C" w:rsidP="00AE6C30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5A78B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“Based on the patient’s weight and the GFR, the dose should be adjusted rather than following a fixed dose”. </w:t>
            </w:r>
          </w:p>
        </w:tc>
      </w:tr>
      <w:tr w:rsidR="00C3579C" w:rsidRPr="00AE6C30" w14:paraId="7A01A922" w14:textId="77777777" w:rsidTr="00C3579C">
        <w:tc>
          <w:tcPr>
            <w:tcW w:w="2127" w:type="dxa"/>
            <w:vMerge/>
          </w:tcPr>
          <w:p w14:paraId="0BAFB48F" w14:textId="77777777" w:rsidR="00C3579C" w:rsidRPr="00AE6C30" w:rsidRDefault="00C3579C" w:rsidP="00AE6C3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</w:tcPr>
          <w:p w14:paraId="6EAE7E28" w14:textId="375B1DDB" w:rsidR="00C3579C" w:rsidRDefault="00C3579C" w:rsidP="00AE6C3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Dynamic adjustment </w:t>
            </w:r>
          </w:p>
        </w:tc>
        <w:tc>
          <w:tcPr>
            <w:tcW w:w="5103" w:type="dxa"/>
          </w:tcPr>
          <w:p w14:paraId="372AA4D1" w14:textId="1D6018E6" w:rsidR="00C3579C" w:rsidRPr="005A78BE" w:rsidRDefault="00C3579C" w:rsidP="00AE6C30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5A78B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“Dat-to-day improvements are seen, and dosage adjustments are made accordingly”. </w:t>
            </w:r>
          </w:p>
        </w:tc>
      </w:tr>
      <w:tr w:rsidR="00C3579C" w:rsidRPr="00AE6C30" w14:paraId="600058C9" w14:textId="77777777" w:rsidTr="00C3579C">
        <w:tc>
          <w:tcPr>
            <w:tcW w:w="2127" w:type="dxa"/>
            <w:vMerge w:val="restart"/>
          </w:tcPr>
          <w:p w14:paraId="735EA530" w14:textId="3CB62630" w:rsidR="00C3579C" w:rsidRPr="00C3579C" w:rsidRDefault="00C3579C" w:rsidP="00AE6C3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3579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Renal dysfunction and renal replacement therapy </w:t>
            </w:r>
          </w:p>
        </w:tc>
        <w:tc>
          <w:tcPr>
            <w:tcW w:w="3544" w:type="dxa"/>
          </w:tcPr>
          <w:p w14:paraId="10F416CE" w14:textId="73474F13" w:rsidR="00C3579C" w:rsidRDefault="00C3579C" w:rsidP="00AE6C3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AKI and renal variability </w:t>
            </w:r>
          </w:p>
        </w:tc>
        <w:tc>
          <w:tcPr>
            <w:tcW w:w="5103" w:type="dxa"/>
          </w:tcPr>
          <w:p w14:paraId="7F1B93C1" w14:textId="036FA5B8" w:rsidR="00C3579C" w:rsidRPr="005A78BE" w:rsidRDefault="00C3579C" w:rsidP="00AE6C30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“Renal function keeps fluctuating in these patients, so the dose cannot be the same throughout”</w:t>
            </w:r>
          </w:p>
        </w:tc>
      </w:tr>
      <w:tr w:rsidR="00C3579C" w:rsidRPr="00AE6C30" w14:paraId="67ADF50F" w14:textId="77777777" w:rsidTr="00C3579C">
        <w:tc>
          <w:tcPr>
            <w:tcW w:w="2127" w:type="dxa"/>
            <w:vMerge/>
          </w:tcPr>
          <w:p w14:paraId="7E3F591F" w14:textId="77777777" w:rsidR="00C3579C" w:rsidRPr="00C3579C" w:rsidRDefault="00C3579C" w:rsidP="00AE6C3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</w:tcPr>
          <w:p w14:paraId="5F4AE389" w14:textId="202C3AC4" w:rsidR="00C3579C" w:rsidRDefault="00C3579C" w:rsidP="00AE6C3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Dialysis modality and timing </w:t>
            </w:r>
          </w:p>
        </w:tc>
        <w:tc>
          <w:tcPr>
            <w:tcW w:w="5103" w:type="dxa"/>
          </w:tcPr>
          <w:p w14:paraId="5707F77A" w14:textId="74A5AC73" w:rsidR="00C3579C" w:rsidRDefault="00C3579C" w:rsidP="00AE6C30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“In general, we give all drugs post-HD. Even if it is not dialyzable, it avoids any possible impact or human error”. </w:t>
            </w:r>
          </w:p>
        </w:tc>
      </w:tr>
      <w:tr w:rsidR="00C3579C" w:rsidRPr="00AE6C30" w14:paraId="57650000" w14:textId="77777777" w:rsidTr="00C3579C">
        <w:tc>
          <w:tcPr>
            <w:tcW w:w="2127" w:type="dxa"/>
            <w:vMerge/>
          </w:tcPr>
          <w:p w14:paraId="487692E3" w14:textId="77777777" w:rsidR="00C3579C" w:rsidRPr="00C3579C" w:rsidRDefault="00C3579C" w:rsidP="00AE6C3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</w:tcPr>
          <w:p w14:paraId="07EDDECB" w14:textId="5E816245" w:rsidR="00C3579C" w:rsidRDefault="00C3579C" w:rsidP="00AE6C3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RRT-related uncertainty </w:t>
            </w:r>
          </w:p>
        </w:tc>
        <w:tc>
          <w:tcPr>
            <w:tcW w:w="5103" w:type="dxa"/>
          </w:tcPr>
          <w:p w14:paraId="4B88BA6F" w14:textId="2E5BCCD2" w:rsidR="00C3579C" w:rsidRDefault="00C3579C" w:rsidP="00AE6C30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“During dialysis, dosing always becomes confusing because there is no clear guidance”. </w:t>
            </w:r>
          </w:p>
        </w:tc>
      </w:tr>
      <w:tr w:rsidR="00C3579C" w:rsidRPr="00AE6C30" w14:paraId="6868AD72" w14:textId="77777777" w:rsidTr="00C3579C">
        <w:tc>
          <w:tcPr>
            <w:tcW w:w="2127" w:type="dxa"/>
            <w:vMerge w:val="restart"/>
          </w:tcPr>
          <w:p w14:paraId="5777E075" w14:textId="2223995F" w:rsidR="00C3579C" w:rsidRPr="00C3579C" w:rsidRDefault="00C3579C" w:rsidP="00AE6C3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3579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Safety-driven decision-making </w:t>
            </w:r>
          </w:p>
        </w:tc>
        <w:tc>
          <w:tcPr>
            <w:tcW w:w="3544" w:type="dxa"/>
          </w:tcPr>
          <w:p w14:paraId="2CEABA7A" w14:textId="0CBCBBC4" w:rsidR="00C3579C" w:rsidRDefault="00C3579C" w:rsidP="00AE6C3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Nephrotoxicity concerns </w:t>
            </w:r>
          </w:p>
        </w:tc>
        <w:tc>
          <w:tcPr>
            <w:tcW w:w="5103" w:type="dxa"/>
          </w:tcPr>
          <w:p w14:paraId="4400A938" w14:textId="371D012D" w:rsidR="00C3579C" w:rsidRDefault="00C3579C" w:rsidP="00AE6C30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“We are always worried about kidney injury when using polymyxins, especially in critically ill patients”. </w:t>
            </w:r>
          </w:p>
        </w:tc>
      </w:tr>
      <w:tr w:rsidR="00C3579C" w:rsidRPr="00AE6C30" w14:paraId="3973A3FE" w14:textId="77777777" w:rsidTr="00C3579C">
        <w:tc>
          <w:tcPr>
            <w:tcW w:w="2127" w:type="dxa"/>
            <w:vMerge/>
          </w:tcPr>
          <w:p w14:paraId="352E4DF2" w14:textId="77777777" w:rsidR="00C3579C" w:rsidRDefault="00C3579C" w:rsidP="00AE6C3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</w:tcPr>
          <w:p w14:paraId="4C71006D" w14:textId="40B02697" w:rsidR="00C3579C" w:rsidRDefault="00C3579C" w:rsidP="00AE6C3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Neurotoxicity concerns </w:t>
            </w:r>
          </w:p>
        </w:tc>
        <w:tc>
          <w:tcPr>
            <w:tcW w:w="5103" w:type="dxa"/>
          </w:tcPr>
          <w:p w14:paraId="262A2253" w14:textId="52B190B2" w:rsidR="00C3579C" w:rsidRDefault="00C3579C" w:rsidP="00AE6C30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“Neurological complications are something we keep in mind, particularly when higher doses are considered”. </w:t>
            </w:r>
          </w:p>
        </w:tc>
      </w:tr>
      <w:tr w:rsidR="00C3579C" w:rsidRPr="00AE6C30" w14:paraId="657CD823" w14:textId="77777777" w:rsidTr="00C3579C">
        <w:tc>
          <w:tcPr>
            <w:tcW w:w="2127" w:type="dxa"/>
            <w:vMerge/>
          </w:tcPr>
          <w:p w14:paraId="21AEA754" w14:textId="77777777" w:rsidR="00C3579C" w:rsidRDefault="00C3579C" w:rsidP="00AE6C3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</w:tcPr>
          <w:p w14:paraId="4456058D" w14:textId="6691C1D1" w:rsidR="00C3579C" w:rsidRDefault="00C3579C" w:rsidP="00AE6C3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Risk-benefit negotiation </w:t>
            </w:r>
          </w:p>
        </w:tc>
        <w:tc>
          <w:tcPr>
            <w:tcW w:w="5103" w:type="dxa"/>
          </w:tcPr>
          <w:p w14:paraId="331FC95E" w14:textId="5F1B6837" w:rsidR="00C3579C" w:rsidRDefault="00C3579C" w:rsidP="00AE6C30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“Sometimes we have to balance between treating the infection aggressively and not harming the patient further”. </w:t>
            </w:r>
          </w:p>
        </w:tc>
      </w:tr>
      <w:tr w:rsidR="00C3579C" w:rsidRPr="00AE6C30" w14:paraId="12BFBEA8" w14:textId="77777777" w:rsidTr="00C3579C">
        <w:tc>
          <w:tcPr>
            <w:tcW w:w="2127" w:type="dxa"/>
            <w:vMerge w:val="restart"/>
          </w:tcPr>
          <w:p w14:paraId="6DACA85C" w14:textId="02F6FF13" w:rsidR="00C3579C" w:rsidRPr="00C3579C" w:rsidRDefault="00C3579C" w:rsidP="00AE6C3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3579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Monitoring, diagnostic and evidence limitations </w:t>
            </w:r>
          </w:p>
        </w:tc>
        <w:tc>
          <w:tcPr>
            <w:tcW w:w="3544" w:type="dxa"/>
          </w:tcPr>
          <w:p w14:paraId="13C3BD79" w14:textId="606541BC" w:rsidR="00C3579C" w:rsidRDefault="00C3579C" w:rsidP="00AE6C3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Limited access to TDM </w:t>
            </w:r>
          </w:p>
        </w:tc>
        <w:tc>
          <w:tcPr>
            <w:tcW w:w="5103" w:type="dxa"/>
          </w:tcPr>
          <w:p w14:paraId="57487BBC" w14:textId="1CA9DBF7" w:rsidR="00C3579C" w:rsidRDefault="00C3579C" w:rsidP="00AE6C30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“Therapeutic drug monitoring is ideal, but practically it is not available for us”. </w:t>
            </w:r>
          </w:p>
        </w:tc>
      </w:tr>
      <w:tr w:rsidR="00C3579C" w:rsidRPr="00AE6C30" w14:paraId="6C645523" w14:textId="77777777" w:rsidTr="00C3579C">
        <w:tc>
          <w:tcPr>
            <w:tcW w:w="2127" w:type="dxa"/>
            <w:vMerge/>
          </w:tcPr>
          <w:p w14:paraId="602DEEF6" w14:textId="77777777" w:rsidR="00C3579C" w:rsidRPr="00C3579C" w:rsidRDefault="00C3579C" w:rsidP="00AE6C3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</w:tcPr>
          <w:p w14:paraId="5D35440F" w14:textId="0D3210C3" w:rsidR="00C3579C" w:rsidRDefault="00C3579C" w:rsidP="00AE6C3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Evidence-practice gap </w:t>
            </w:r>
          </w:p>
        </w:tc>
        <w:tc>
          <w:tcPr>
            <w:tcW w:w="5103" w:type="dxa"/>
          </w:tcPr>
          <w:p w14:paraId="5F80D47B" w14:textId="351C8E23" w:rsidR="00C3579C" w:rsidRDefault="00C3579C" w:rsidP="00AE6C30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“Most of what we do is based on literature and experience, but applying it exactly is difficult”. </w:t>
            </w:r>
          </w:p>
        </w:tc>
      </w:tr>
      <w:tr w:rsidR="00C3579C" w:rsidRPr="00AE6C30" w14:paraId="462DC2C9" w14:textId="77777777" w:rsidTr="00C3579C">
        <w:tc>
          <w:tcPr>
            <w:tcW w:w="2127" w:type="dxa"/>
            <w:vMerge/>
          </w:tcPr>
          <w:p w14:paraId="388457A3" w14:textId="77777777" w:rsidR="00C3579C" w:rsidRPr="00C3579C" w:rsidRDefault="00C3579C" w:rsidP="00AE6C3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</w:tcPr>
          <w:p w14:paraId="4822DEAF" w14:textId="5E67F78F" w:rsidR="00C3579C" w:rsidRDefault="00C3579C" w:rsidP="00AE6C3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Diagnostic delays </w:t>
            </w:r>
          </w:p>
        </w:tc>
        <w:tc>
          <w:tcPr>
            <w:tcW w:w="5103" w:type="dxa"/>
          </w:tcPr>
          <w:p w14:paraId="7CC5AA93" w14:textId="4FAF29A7" w:rsidR="00C3579C" w:rsidRDefault="00C3579C" w:rsidP="00AE6C30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“By the time culture results come, we have already started treatment based on clinical judgment”. </w:t>
            </w:r>
          </w:p>
        </w:tc>
      </w:tr>
      <w:tr w:rsidR="00C3579C" w:rsidRPr="00AE6C30" w14:paraId="156CDD20" w14:textId="77777777" w:rsidTr="00C3579C">
        <w:tc>
          <w:tcPr>
            <w:tcW w:w="2127" w:type="dxa"/>
            <w:vMerge w:val="restart"/>
          </w:tcPr>
          <w:p w14:paraId="53944FB1" w14:textId="08180E7E" w:rsidR="00C3579C" w:rsidRPr="00C3579C" w:rsidRDefault="00C3579C" w:rsidP="00AE6C3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3579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Institutional and system-level influences </w:t>
            </w:r>
          </w:p>
        </w:tc>
        <w:tc>
          <w:tcPr>
            <w:tcW w:w="3544" w:type="dxa"/>
          </w:tcPr>
          <w:p w14:paraId="7BC21DA1" w14:textId="56F68AA7" w:rsidR="00C3579C" w:rsidRDefault="00C3579C" w:rsidP="00AE6C3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Protocol gaps </w:t>
            </w:r>
          </w:p>
        </w:tc>
        <w:tc>
          <w:tcPr>
            <w:tcW w:w="5103" w:type="dxa"/>
          </w:tcPr>
          <w:p w14:paraId="60F7971B" w14:textId="0EAD07EE" w:rsidR="00C3579C" w:rsidRDefault="00C3579C" w:rsidP="00AE6C30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“We don’t really have a fixed institutional dosing strategy for polymyxins”. </w:t>
            </w:r>
          </w:p>
        </w:tc>
      </w:tr>
      <w:tr w:rsidR="00C3579C" w:rsidRPr="00AE6C30" w14:paraId="792D6E4B" w14:textId="77777777" w:rsidTr="00C3579C">
        <w:tc>
          <w:tcPr>
            <w:tcW w:w="2127" w:type="dxa"/>
            <w:vMerge/>
          </w:tcPr>
          <w:p w14:paraId="05EC9AFC" w14:textId="77777777" w:rsidR="00C3579C" w:rsidRPr="00C3579C" w:rsidRDefault="00C3579C" w:rsidP="00AE6C3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</w:tcPr>
          <w:p w14:paraId="61025CE2" w14:textId="130AF650" w:rsidR="00C3579C" w:rsidRDefault="00C3579C" w:rsidP="00AE6C3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Resource constraints </w:t>
            </w:r>
          </w:p>
        </w:tc>
        <w:tc>
          <w:tcPr>
            <w:tcW w:w="5103" w:type="dxa"/>
          </w:tcPr>
          <w:p w14:paraId="32B231CE" w14:textId="34110E05" w:rsidR="00C3579C" w:rsidRDefault="00C3579C" w:rsidP="00AE6C30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“Availability of drugs, monitoring facilities and even weighing beds can be a limitation”. </w:t>
            </w:r>
          </w:p>
        </w:tc>
      </w:tr>
      <w:tr w:rsidR="00C3579C" w:rsidRPr="00AE6C30" w14:paraId="4AA69A07" w14:textId="77777777" w:rsidTr="00C3579C">
        <w:tc>
          <w:tcPr>
            <w:tcW w:w="2127" w:type="dxa"/>
            <w:vMerge/>
          </w:tcPr>
          <w:p w14:paraId="53C70D7E" w14:textId="77777777" w:rsidR="00C3579C" w:rsidRPr="00C3579C" w:rsidRDefault="00C3579C" w:rsidP="00AE6C3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</w:tcPr>
          <w:p w14:paraId="165D8733" w14:textId="7BFD3523" w:rsidR="00C3579C" w:rsidRDefault="00C3579C" w:rsidP="00AE6C3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Multidisciplinary collaboration </w:t>
            </w:r>
          </w:p>
        </w:tc>
        <w:tc>
          <w:tcPr>
            <w:tcW w:w="5103" w:type="dxa"/>
          </w:tcPr>
          <w:p w14:paraId="1D185CA3" w14:textId="4CF3260A" w:rsidR="00C3579C" w:rsidRDefault="00C3579C" w:rsidP="00AE6C30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“Having inputs from infectious disease specialists and clinical pharmacists definitely helps in decision-making”. </w:t>
            </w:r>
          </w:p>
        </w:tc>
      </w:tr>
    </w:tbl>
    <w:p w14:paraId="0E10568A" w14:textId="77777777" w:rsidR="00AE6C30" w:rsidRPr="00AE6C30" w:rsidRDefault="00AE6C30" w:rsidP="00AE6C30">
      <w:pPr>
        <w:jc w:val="both"/>
        <w:rPr>
          <w:rFonts w:ascii="Times New Roman" w:hAnsi="Times New Roman" w:cs="Times New Roman"/>
        </w:rPr>
      </w:pPr>
    </w:p>
    <w:sectPr w:rsidR="00AE6C30" w:rsidRPr="00AE6C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DKwsDAwMTK2MDA3t7RQ0lEKTi0uzszPAykwrAUAgN1OYywAAAA="/>
  </w:docVars>
  <w:rsids>
    <w:rsidRoot w:val="007F303C"/>
    <w:rsid w:val="001C37EB"/>
    <w:rsid w:val="001D229D"/>
    <w:rsid w:val="005A78BE"/>
    <w:rsid w:val="006645FE"/>
    <w:rsid w:val="006C2026"/>
    <w:rsid w:val="007F303C"/>
    <w:rsid w:val="0091241C"/>
    <w:rsid w:val="00AE6C30"/>
    <w:rsid w:val="00C3579C"/>
    <w:rsid w:val="00D21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1D690"/>
  <w15:chartTrackingRefBased/>
  <w15:docId w15:val="{4DFB9004-448A-41F6-AA18-83956B7D2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kn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30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30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30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30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30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30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30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30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30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30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30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30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30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30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30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30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30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30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30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30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30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30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30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30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30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30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0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0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303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E6C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Asha K Rajan</dc:creator>
  <cp:keywords/>
  <dc:description/>
  <cp:lastModifiedBy>Asha K Rajan</cp:lastModifiedBy>
  <cp:revision>6</cp:revision>
  <dcterms:created xsi:type="dcterms:W3CDTF">2026-01-05T12:00:00Z</dcterms:created>
  <dcterms:modified xsi:type="dcterms:W3CDTF">2026-01-06T16:24:00Z</dcterms:modified>
</cp:coreProperties>
</file>