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3B08" w14:textId="3A588505" w:rsidR="00386F4A" w:rsidRPr="00FC1DEE" w:rsidRDefault="00256B3A" w:rsidP="0058616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</w:t>
      </w:r>
      <w:r w:rsidR="00FC1DEE" w:rsidRPr="00FC1DEE">
        <w:rPr>
          <w:rFonts w:ascii="Times New Roman" w:hAnsi="Times New Roman" w:cs="Times New Roman"/>
          <w:b/>
          <w:bCs/>
        </w:rPr>
        <w:t>able</w:t>
      </w:r>
      <w:r w:rsidR="001301D9">
        <w:rPr>
          <w:rFonts w:ascii="Times New Roman" w:hAnsi="Times New Roman" w:cs="Times New Roman"/>
          <w:b/>
          <w:bCs/>
        </w:rPr>
        <w:t xml:space="preserve"> 5</w:t>
      </w:r>
      <w:r w:rsidR="00FC1DEE" w:rsidRPr="00FC1DEE">
        <w:rPr>
          <w:rFonts w:ascii="Times New Roman" w:hAnsi="Times New Roman" w:cs="Times New Roman"/>
          <w:b/>
          <w:bCs/>
        </w:rPr>
        <w:t xml:space="preserve">: </w:t>
      </w:r>
      <w:r w:rsidR="00FC1DEE">
        <w:rPr>
          <w:rFonts w:ascii="Times New Roman" w:hAnsi="Times New Roman" w:cs="Times New Roman"/>
          <w:b/>
          <w:bCs/>
        </w:rPr>
        <w:t>M</w:t>
      </w:r>
      <w:r w:rsidR="00FC1DEE" w:rsidRPr="00FC1DEE">
        <w:rPr>
          <w:rFonts w:ascii="Times New Roman" w:hAnsi="Times New Roman" w:cs="Times New Roman"/>
          <w:b/>
          <w:bCs/>
        </w:rPr>
        <w:t xml:space="preserve">atrix map illustrating cross-case patterns </w:t>
      </w:r>
      <w:r w:rsidR="00884811">
        <w:rPr>
          <w:rFonts w:ascii="Times New Roman" w:hAnsi="Times New Roman" w:cs="Times New Roman"/>
          <w:b/>
          <w:bCs/>
        </w:rPr>
        <w:t>in clinician perspectives on polymyxin dosing</w:t>
      </w:r>
    </w:p>
    <w:tbl>
      <w:tblPr>
        <w:tblStyle w:val="TableGrid"/>
        <w:tblW w:w="16302" w:type="dxa"/>
        <w:tblInd w:w="-1139" w:type="dxa"/>
        <w:tblLook w:val="04A0" w:firstRow="1" w:lastRow="0" w:firstColumn="1" w:lastColumn="0" w:noHBand="0" w:noVBand="1"/>
      </w:tblPr>
      <w:tblGrid>
        <w:gridCol w:w="1276"/>
        <w:gridCol w:w="2693"/>
        <w:gridCol w:w="2410"/>
        <w:gridCol w:w="2410"/>
        <w:gridCol w:w="2551"/>
        <w:gridCol w:w="2694"/>
        <w:gridCol w:w="2268"/>
      </w:tblGrid>
      <w:tr w:rsidR="00FC1DEE" w:rsidRPr="00A349C5" w14:paraId="146A973E" w14:textId="77777777" w:rsidTr="00F675A4">
        <w:tc>
          <w:tcPr>
            <w:tcW w:w="1276" w:type="dxa"/>
          </w:tcPr>
          <w:p w14:paraId="66C34A64" w14:textId="77777777" w:rsidR="00FC1DEE" w:rsidRPr="00A349C5" w:rsidRDefault="00FC1DEE" w:rsidP="00937F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 </w:t>
            </w:r>
          </w:p>
        </w:tc>
        <w:tc>
          <w:tcPr>
            <w:tcW w:w="2693" w:type="dxa"/>
          </w:tcPr>
          <w:p w14:paraId="6D09C7C0" w14:textId="4BFC61B1" w:rsidR="00FC1DEE" w:rsidRPr="00A349C5" w:rsidRDefault="00FC1DEE" w:rsidP="00F6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determinants guiding polymyxin selection</w:t>
            </w:r>
          </w:p>
        </w:tc>
        <w:tc>
          <w:tcPr>
            <w:tcW w:w="2410" w:type="dxa"/>
          </w:tcPr>
          <w:p w14:paraId="2B410065" w14:textId="2C3CA60F" w:rsidR="00FC1DEE" w:rsidRPr="00A349C5" w:rsidRDefault="00FC1DEE" w:rsidP="00F6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Individualized and adaptive dosing paradigm</w:t>
            </w:r>
          </w:p>
        </w:tc>
        <w:tc>
          <w:tcPr>
            <w:tcW w:w="2410" w:type="dxa"/>
          </w:tcPr>
          <w:p w14:paraId="77B8EF0A" w14:textId="2DBB505D" w:rsidR="00FC1DEE" w:rsidRPr="00A349C5" w:rsidRDefault="00FC1DEE" w:rsidP="00F6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Renal dysfunction and renal replacement therapy</w:t>
            </w:r>
          </w:p>
        </w:tc>
        <w:tc>
          <w:tcPr>
            <w:tcW w:w="2551" w:type="dxa"/>
          </w:tcPr>
          <w:p w14:paraId="0CB7565C" w14:textId="0606BB22" w:rsidR="00FC1DEE" w:rsidRPr="00A349C5" w:rsidRDefault="00FC1DEE" w:rsidP="00F6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Safety-driven decision-making and risk-benefit negotiation</w:t>
            </w:r>
          </w:p>
        </w:tc>
        <w:tc>
          <w:tcPr>
            <w:tcW w:w="2694" w:type="dxa"/>
          </w:tcPr>
          <w:p w14:paraId="7078C77C" w14:textId="4B45B56F" w:rsidR="00FC1DEE" w:rsidRPr="00A349C5" w:rsidRDefault="00FC1DEE" w:rsidP="00F6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Monitoring, diagnostic, and evidence-related limitations</w:t>
            </w:r>
          </w:p>
        </w:tc>
        <w:tc>
          <w:tcPr>
            <w:tcW w:w="2268" w:type="dxa"/>
          </w:tcPr>
          <w:p w14:paraId="6489C57F" w14:textId="4C4E3200" w:rsidR="00FC1DEE" w:rsidRPr="00A349C5" w:rsidRDefault="00FC1DEE" w:rsidP="00F6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9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Institutional and system-level influences</w:t>
            </w:r>
          </w:p>
        </w:tc>
      </w:tr>
      <w:tr w:rsidR="00FC1DEE" w:rsidRPr="00A349C5" w14:paraId="411C2D74" w14:textId="77777777" w:rsidTr="00F675A4">
        <w:tc>
          <w:tcPr>
            <w:tcW w:w="1276" w:type="dxa"/>
          </w:tcPr>
          <w:p w14:paraId="5838F3E6" w14:textId="391EF074" w:rsidR="00FC1DEE" w:rsidRPr="00A349C5" w:rsidRDefault="00911B3E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D5867">
              <w:rPr>
                <w:rFonts w:ascii="Times New Roman" w:hAnsi="Times New Roman" w:cs="Times New Roman"/>
                <w:sz w:val="20"/>
                <w:szCs w:val="20"/>
              </w:rPr>
              <w:t>FN-40</w:t>
            </w:r>
          </w:p>
        </w:tc>
        <w:tc>
          <w:tcPr>
            <w:tcW w:w="2693" w:type="dxa"/>
          </w:tcPr>
          <w:p w14:paraId="1BF1983F" w14:textId="3B6C98FF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Emphasized infection patterns and rising MDR burden influencing polymyxin choice </w:t>
            </w:r>
          </w:p>
        </w:tc>
        <w:tc>
          <w:tcPr>
            <w:tcW w:w="2410" w:type="dxa"/>
          </w:tcPr>
          <w:p w14:paraId="1E6A6CA0" w14:textId="15B91BC0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Supported individualized dosing based on patient condition </w:t>
            </w:r>
          </w:p>
        </w:tc>
        <w:tc>
          <w:tcPr>
            <w:tcW w:w="2410" w:type="dxa"/>
          </w:tcPr>
          <w:p w14:paraId="73D5F164" w14:textId="7672737B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Recognized renal impairment as a complicating factor </w:t>
            </w:r>
          </w:p>
        </w:tc>
        <w:tc>
          <w:tcPr>
            <w:tcW w:w="2551" w:type="dxa"/>
          </w:tcPr>
          <w:p w14:paraId="719A7D2A" w14:textId="3801585C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Expressed caution regarding toxicity in critically ill patients </w:t>
            </w:r>
          </w:p>
        </w:tc>
        <w:tc>
          <w:tcPr>
            <w:tcW w:w="2694" w:type="dxa"/>
          </w:tcPr>
          <w:p w14:paraId="4EC0AD91" w14:textId="63ACB0A4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>Limited discussion of formal monitoring strategies</w:t>
            </w:r>
          </w:p>
        </w:tc>
        <w:tc>
          <w:tcPr>
            <w:tcW w:w="2268" w:type="dxa"/>
          </w:tcPr>
          <w:p w14:paraId="50CF7083" w14:textId="21A16256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Noted </w:t>
            </w:r>
            <w:r w:rsidR="00473426">
              <w:rPr>
                <w:rFonts w:ascii="Times New Roman" w:hAnsi="Times New Roman" w:cs="Times New Roman"/>
                <w:sz w:val="20"/>
                <w:szCs w:val="20"/>
              </w:rPr>
              <w:t>reliance on institutional norms and expert opinion</w:t>
            </w: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C1DEE" w:rsidRPr="00A349C5" w14:paraId="2911F884" w14:textId="77777777" w:rsidTr="00F675A4">
        <w:tc>
          <w:tcPr>
            <w:tcW w:w="1276" w:type="dxa"/>
          </w:tcPr>
          <w:p w14:paraId="71088923" w14:textId="008D5852" w:rsidR="00FC1DEE" w:rsidRPr="00A349C5" w:rsidRDefault="00911B3E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D5867">
              <w:rPr>
                <w:rFonts w:ascii="Times New Roman" w:hAnsi="Times New Roman" w:cs="Times New Roman"/>
                <w:sz w:val="20"/>
                <w:szCs w:val="20"/>
              </w:rPr>
              <w:t>MGP-61</w:t>
            </w:r>
          </w:p>
        </w:tc>
        <w:tc>
          <w:tcPr>
            <w:tcW w:w="2693" w:type="dxa"/>
          </w:tcPr>
          <w:p w14:paraId="6F820749" w14:textId="00D502BB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Favoured protocol-based selection of polymyxins </w:t>
            </w:r>
          </w:p>
        </w:tc>
        <w:tc>
          <w:tcPr>
            <w:tcW w:w="2410" w:type="dxa"/>
          </w:tcPr>
          <w:p w14:paraId="6A5E7A39" w14:textId="595592B3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Preferred standardized dosing within institutional policy </w:t>
            </w:r>
          </w:p>
        </w:tc>
        <w:tc>
          <w:tcPr>
            <w:tcW w:w="2410" w:type="dxa"/>
          </w:tcPr>
          <w:p w14:paraId="4583BC8A" w14:textId="6E5B47C2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Acknowledged dialysis considerations </w:t>
            </w:r>
            <w:r w:rsidR="0092739C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 limited dose adjustment </w:t>
            </w:r>
          </w:p>
        </w:tc>
        <w:tc>
          <w:tcPr>
            <w:tcW w:w="2551" w:type="dxa"/>
          </w:tcPr>
          <w:p w14:paraId="69E4E02F" w14:textId="6BFF1D35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Safety considerations guided conservative dosing </w:t>
            </w:r>
          </w:p>
        </w:tc>
        <w:tc>
          <w:tcPr>
            <w:tcW w:w="2694" w:type="dxa"/>
          </w:tcPr>
          <w:p w14:paraId="0C79540D" w14:textId="70EB527B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Relied on literature rather than real-time monitoring </w:t>
            </w:r>
          </w:p>
        </w:tc>
        <w:tc>
          <w:tcPr>
            <w:tcW w:w="2268" w:type="dxa"/>
          </w:tcPr>
          <w:p w14:paraId="259A3C8F" w14:textId="1C56A16F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Strong emphasis on institutional policy and protocol development </w:t>
            </w:r>
          </w:p>
        </w:tc>
      </w:tr>
      <w:tr w:rsidR="00FC1DEE" w:rsidRPr="00A349C5" w14:paraId="3641C7ED" w14:textId="77777777" w:rsidTr="00F675A4">
        <w:tc>
          <w:tcPr>
            <w:tcW w:w="1276" w:type="dxa"/>
          </w:tcPr>
          <w:p w14:paraId="3177AD21" w14:textId="44385722" w:rsidR="00FC1DEE" w:rsidRPr="00A349C5" w:rsidRDefault="00911B3E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D5867">
              <w:rPr>
                <w:rFonts w:ascii="Times New Roman" w:hAnsi="Times New Roman" w:cs="Times New Roman"/>
                <w:sz w:val="20"/>
                <w:szCs w:val="20"/>
              </w:rPr>
              <w:t>MN-48</w:t>
            </w:r>
          </w:p>
        </w:tc>
        <w:tc>
          <w:tcPr>
            <w:tcW w:w="2693" w:type="dxa"/>
          </w:tcPr>
          <w:p w14:paraId="5739A846" w14:textId="7477D098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Differentiated polymyxin choice by infection source and organ involvement </w:t>
            </w:r>
          </w:p>
        </w:tc>
        <w:tc>
          <w:tcPr>
            <w:tcW w:w="2410" w:type="dxa"/>
          </w:tcPr>
          <w:p w14:paraId="59F964BD" w14:textId="26862CEB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Viewed polymyxin B dosing as easier and more adaptable </w:t>
            </w:r>
          </w:p>
        </w:tc>
        <w:tc>
          <w:tcPr>
            <w:tcW w:w="2410" w:type="dxa"/>
          </w:tcPr>
          <w:p w14:paraId="4F9A824C" w14:textId="0F7C475A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Considered renal function central to dosing decisions </w:t>
            </w:r>
          </w:p>
        </w:tc>
        <w:tc>
          <w:tcPr>
            <w:tcW w:w="2551" w:type="dxa"/>
          </w:tcPr>
          <w:p w14:paraId="75857D11" w14:textId="4E0CFC83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Balanced toxicity concerns with clinical necessity </w:t>
            </w:r>
          </w:p>
        </w:tc>
        <w:tc>
          <w:tcPr>
            <w:tcW w:w="2694" w:type="dxa"/>
          </w:tcPr>
          <w:p w14:paraId="1D1BDEC1" w14:textId="4D1D8052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Limited access to monitoring tools acknowledged </w:t>
            </w:r>
          </w:p>
        </w:tc>
        <w:tc>
          <w:tcPr>
            <w:tcW w:w="2268" w:type="dxa"/>
          </w:tcPr>
          <w:p w14:paraId="513D430A" w14:textId="684A748B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>Highlighted ICU workflow and nursing practices</w:t>
            </w:r>
          </w:p>
        </w:tc>
      </w:tr>
      <w:tr w:rsidR="00FC1DEE" w:rsidRPr="00A349C5" w14:paraId="44E6CF51" w14:textId="77777777" w:rsidTr="00F675A4">
        <w:tc>
          <w:tcPr>
            <w:tcW w:w="1276" w:type="dxa"/>
          </w:tcPr>
          <w:p w14:paraId="149F9B27" w14:textId="7611D448" w:rsidR="00FC1DEE" w:rsidRPr="00A349C5" w:rsidRDefault="00911B3E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D5867">
              <w:rPr>
                <w:rFonts w:ascii="Times New Roman" w:hAnsi="Times New Roman" w:cs="Times New Roman"/>
                <w:sz w:val="20"/>
                <w:szCs w:val="20"/>
              </w:rPr>
              <w:t>FGP-39</w:t>
            </w:r>
          </w:p>
        </w:tc>
        <w:tc>
          <w:tcPr>
            <w:tcW w:w="2693" w:type="dxa"/>
          </w:tcPr>
          <w:p w14:paraId="4A0FE8A8" w14:textId="527F1721" w:rsidR="00FC1DEE" w:rsidRPr="00F675A4" w:rsidRDefault="00F56750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Relied on prior clinical experience for polymyxin selection </w:t>
            </w:r>
            <w:r w:rsidR="00911B3E"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5F5D456D" w14:textId="474293E4" w:rsidR="00FC1DEE" w:rsidRPr="00F675A4" w:rsidRDefault="00911B3E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Individualized dosing informed by clinical judgement </w:t>
            </w:r>
          </w:p>
        </w:tc>
        <w:tc>
          <w:tcPr>
            <w:tcW w:w="2410" w:type="dxa"/>
          </w:tcPr>
          <w:p w14:paraId="183D62FB" w14:textId="53BCEC19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Identified dialysis timing as relevant but inconsistently applied </w:t>
            </w:r>
          </w:p>
        </w:tc>
        <w:tc>
          <w:tcPr>
            <w:tcW w:w="2551" w:type="dxa"/>
          </w:tcPr>
          <w:p w14:paraId="060AFEBE" w14:textId="109EA2CF" w:rsidR="00FC1DEE" w:rsidRPr="00F675A4" w:rsidRDefault="0092739C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Demonstrated cautious risk-benefit negotiation </w:t>
            </w:r>
            <w:r w:rsidR="00FD4CDB"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</w:tcPr>
          <w:p w14:paraId="6EDB8468" w14:textId="2010D386" w:rsidR="00FC1DEE" w:rsidRPr="00F675A4" w:rsidRDefault="0092739C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FD4CDB"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imited familiarity with TDM and PK models </w:t>
            </w:r>
          </w:p>
        </w:tc>
        <w:tc>
          <w:tcPr>
            <w:tcW w:w="2268" w:type="dxa"/>
          </w:tcPr>
          <w:p w14:paraId="76736B43" w14:textId="51D48224" w:rsidR="00FC1DEE" w:rsidRPr="00F675A4" w:rsidRDefault="00FD4CDB" w:rsidP="00F675A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75A4">
              <w:rPr>
                <w:rFonts w:ascii="Times New Roman" w:hAnsi="Times New Roman" w:cs="Times New Roman"/>
                <w:sz w:val="20"/>
                <w:szCs w:val="20"/>
              </w:rPr>
              <w:t xml:space="preserve">Noted dependence on specialist input and system constraints </w:t>
            </w:r>
          </w:p>
        </w:tc>
      </w:tr>
      <w:tr w:rsidR="00FC1DEE" w:rsidRPr="00A349C5" w14:paraId="592268F5" w14:textId="77777777" w:rsidTr="00F675A4">
        <w:tc>
          <w:tcPr>
            <w:tcW w:w="1276" w:type="dxa"/>
          </w:tcPr>
          <w:p w14:paraId="65AC3881" w14:textId="098C456A" w:rsidR="00FC1DEE" w:rsidRPr="00A349C5" w:rsidRDefault="008D586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PMCCM-41</w:t>
            </w:r>
          </w:p>
        </w:tc>
        <w:tc>
          <w:tcPr>
            <w:tcW w:w="2693" w:type="dxa"/>
          </w:tcPr>
          <w:p w14:paraId="1B00A427" w14:textId="30496558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Highlighted MDR patterns influencing polymyxin use </w:t>
            </w:r>
          </w:p>
        </w:tc>
        <w:tc>
          <w:tcPr>
            <w:tcW w:w="2410" w:type="dxa"/>
          </w:tcPr>
          <w:p w14:paraId="02A6263E" w14:textId="497C49BA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Supported adaptive dosing in unstable patterns </w:t>
            </w:r>
          </w:p>
        </w:tc>
        <w:tc>
          <w:tcPr>
            <w:tcW w:w="2410" w:type="dxa"/>
          </w:tcPr>
          <w:p w14:paraId="3B15C33C" w14:textId="6645DF1E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Recognized fluctuating renal function as complicating dosing </w:t>
            </w:r>
          </w:p>
        </w:tc>
        <w:tc>
          <w:tcPr>
            <w:tcW w:w="2551" w:type="dxa"/>
          </w:tcPr>
          <w:p w14:paraId="4CEF9CCE" w14:textId="5F487CDA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Expressed concern about nephrotoxicity </w:t>
            </w:r>
          </w:p>
        </w:tc>
        <w:tc>
          <w:tcPr>
            <w:tcW w:w="2694" w:type="dxa"/>
          </w:tcPr>
          <w:p w14:paraId="1F5F6AAC" w14:textId="11BD4ADE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Acknowledged evidence-practice gap </w:t>
            </w:r>
          </w:p>
        </w:tc>
        <w:tc>
          <w:tcPr>
            <w:tcW w:w="2268" w:type="dxa"/>
          </w:tcPr>
          <w:p w14:paraId="2A8C082D" w14:textId="2BF80F10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Reported lack of standardized protocols </w:t>
            </w:r>
          </w:p>
        </w:tc>
      </w:tr>
      <w:tr w:rsidR="00FC1DEE" w:rsidRPr="00A349C5" w14:paraId="7C63ED7C" w14:textId="77777777" w:rsidTr="00F675A4">
        <w:tc>
          <w:tcPr>
            <w:tcW w:w="1276" w:type="dxa"/>
          </w:tcPr>
          <w:p w14:paraId="18216B34" w14:textId="41DB6CD1" w:rsidR="00FC1DEE" w:rsidRDefault="008D586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PMCCM-38</w:t>
            </w:r>
          </w:p>
        </w:tc>
        <w:tc>
          <w:tcPr>
            <w:tcW w:w="2693" w:type="dxa"/>
          </w:tcPr>
          <w:p w14:paraId="551A6874" w14:textId="34F9B936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Considered polymyxins are salvage therapy </w:t>
            </w:r>
          </w:p>
        </w:tc>
        <w:tc>
          <w:tcPr>
            <w:tcW w:w="2410" w:type="dxa"/>
          </w:tcPr>
          <w:p w14:paraId="71261DAD" w14:textId="5058293D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Favoured patient-specific dose modification </w:t>
            </w:r>
          </w:p>
        </w:tc>
        <w:tc>
          <w:tcPr>
            <w:tcW w:w="2410" w:type="dxa"/>
          </w:tcPr>
          <w:p w14:paraId="5E4D797F" w14:textId="04134756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Noted challenges during CRRT </w:t>
            </w:r>
          </w:p>
        </w:tc>
        <w:tc>
          <w:tcPr>
            <w:tcW w:w="2551" w:type="dxa"/>
          </w:tcPr>
          <w:p w14:paraId="5D3ADC85" w14:textId="7C2F7DF7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Safety concerns limited dose escalation </w:t>
            </w:r>
          </w:p>
        </w:tc>
        <w:tc>
          <w:tcPr>
            <w:tcW w:w="2694" w:type="dxa"/>
          </w:tcPr>
          <w:p w14:paraId="362ABCEC" w14:textId="77D4FAEC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Limited feasibility of therapeutic monitoring </w:t>
            </w:r>
          </w:p>
        </w:tc>
        <w:tc>
          <w:tcPr>
            <w:tcW w:w="2268" w:type="dxa"/>
          </w:tcPr>
          <w:p w14:paraId="209E8513" w14:textId="134EF0E0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Cited resource constraints </w:t>
            </w:r>
          </w:p>
        </w:tc>
      </w:tr>
      <w:tr w:rsidR="00FC1DEE" w:rsidRPr="00A349C5" w14:paraId="1275951E" w14:textId="77777777" w:rsidTr="00F675A4">
        <w:tc>
          <w:tcPr>
            <w:tcW w:w="1276" w:type="dxa"/>
          </w:tcPr>
          <w:p w14:paraId="209AA81B" w14:textId="6549F03F" w:rsidR="00FC1DEE" w:rsidRDefault="008D586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PMGP-42</w:t>
            </w:r>
          </w:p>
        </w:tc>
        <w:tc>
          <w:tcPr>
            <w:tcW w:w="2693" w:type="dxa"/>
          </w:tcPr>
          <w:p w14:paraId="682FE999" w14:textId="260EF1DA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Emphasized clinical severity in polymyxin selection </w:t>
            </w:r>
          </w:p>
        </w:tc>
        <w:tc>
          <w:tcPr>
            <w:tcW w:w="2410" w:type="dxa"/>
          </w:tcPr>
          <w:p w14:paraId="112191F7" w14:textId="1A814A6D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Individualized dosing viewed as necessary </w:t>
            </w:r>
          </w:p>
        </w:tc>
        <w:tc>
          <w:tcPr>
            <w:tcW w:w="2410" w:type="dxa"/>
          </w:tcPr>
          <w:p w14:paraId="4FE95C1D" w14:textId="6A9D75A2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impairment increased dosing uncertainty </w:t>
            </w:r>
          </w:p>
        </w:tc>
        <w:tc>
          <w:tcPr>
            <w:tcW w:w="2551" w:type="dxa"/>
          </w:tcPr>
          <w:p w14:paraId="467FA4E5" w14:textId="4AB00E00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Safety concerns influenced conservative practice </w:t>
            </w:r>
          </w:p>
        </w:tc>
        <w:tc>
          <w:tcPr>
            <w:tcW w:w="2694" w:type="dxa"/>
          </w:tcPr>
          <w:p w14:paraId="29E5AF4C" w14:textId="45948235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Limited awareness of PK-guided dosing </w:t>
            </w:r>
          </w:p>
        </w:tc>
        <w:tc>
          <w:tcPr>
            <w:tcW w:w="2268" w:type="dxa"/>
          </w:tcPr>
          <w:p w14:paraId="6B82C2BC" w14:textId="23B3C301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Highlighted variability across departments </w:t>
            </w:r>
          </w:p>
        </w:tc>
      </w:tr>
      <w:tr w:rsidR="00FC1DEE" w:rsidRPr="00A349C5" w14:paraId="6E879DFD" w14:textId="77777777" w:rsidTr="00F675A4">
        <w:tc>
          <w:tcPr>
            <w:tcW w:w="1276" w:type="dxa"/>
          </w:tcPr>
          <w:p w14:paraId="43E66C40" w14:textId="53838275" w:rsidR="00FC1DEE" w:rsidRDefault="008D586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PMCCM-51</w:t>
            </w:r>
          </w:p>
        </w:tc>
        <w:tc>
          <w:tcPr>
            <w:tcW w:w="2693" w:type="dxa"/>
          </w:tcPr>
          <w:p w14:paraId="79D3B09C" w14:textId="283CC489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Relied on resistance patterns for polymyxin choice </w:t>
            </w:r>
          </w:p>
        </w:tc>
        <w:tc>
          <w:tcPr>
            <w:tcW w:w="2410" w:type="dxa"/>
          </w:tcPr>
          <w:p w14:paraId="492B36F3" w14:textId="75DF7B7F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Supported flexible dosing approaches </w:t>
            </w:r>
          </w:p>
        </w:tc>
        <w:tc>
          <w:tcPr>
            <w:tcW w:w="2410" w:type="dxa"/>
          </w:tcPr>
          <w:p w14:paraId="19E7DFDF" w14:textId="69E007A6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Dialysis status guided dosing decisions </w:t>
            </w:r>
          </w:p>
        </w:tc>
        <w:tc>
          <w:tcPr>
            <w:tcW w:w="2551" w:type="dxa"/>
          </w:tcPr>
          <w:p w14:paraId="6F842E73" w14:textId="14187745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Risk-benefit trade-offs explicitly acknowledged </w:t>
            </w:r>
          </w:p>
        </w:tc>
        <w:tc>
          <w:tcPr>
            <w:tcW w:w="2694" w:type="dxa"/>
          </w:tcPr>
          <w:p w14:paraId="3CF6D3B6" w14:textId="4A99BDB7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Diagnostic delays affected optimization </w:t>
            </w:r>
          </w:p>
        </w:tc>
        <w:tc>
          <w:tcPr>
            <w:tcW w:w="2268" w:type="dxa"/>
          </w:tcPr>
          <w:p w14:paraId="6424B02D" w14:textId="787F4FC5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Emphasized multidisciplinary consultation </w:t>
            </w:r>
          </w:p>
        </w:tc>
      </w:tr>
      <w:tr w:rsidR="00FC1DEE" w:rsidRPr="00A349C5" w14:paraId="7E1AB5B6" w14:textId="77777777" w:rsidTr="00F675A4">
        <w:tc>
          <w:tcPr>
            <w:tcW w:w="1276" w:type="dxa"/>
          </w:tcPr>
          <w:p w14:paraId="63C4E579" w14:textId="232A79B2" w:rsidR="00FC1DEE" w:rsidRDefault="008D586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PFGP-38</w:t>
            </w:r>
          </w:p>
        </w:tc>
        <w:tc>
          <w:tcPr>
            <w:tcW w:w="2693" w:type="dxa"/>
          </w:tcPr>
          <w:p w14:paraId="13A448D2" w14:textId="255E5D01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Noted evolving use of polymyxins over time </w:t>
            </w:r>
          </w:p>
        </w:tc>
        <w:tc>
          <w:tcPr>
            <w:tcW w:w="2410" w:type="dxa"/>
          </w:tcPr>
          <w:p w14:paraId="208A6F6A" w14:textId="257533F3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Adaptive dosing preferred over fixed regimens </w:t>
            </w:r>
          </w:p>
        </w:tc>
        <w:tc>
          <w:tcPr>
            <w:tcW w:w="2410" w:type="dxa"/>
          </w:tcPr>
          <w:p w14:paraId="79E10827" w14:textId="161744D1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dysfunction frequently prompted reassessment </w:t>
            </w:r>
          </w:p>
        </w:tc>
        <w:tc>
          <w:tcPr>
            <w:tcW w:w="2551" w:type="dxa"/>
          </w:tcPr>
          <w:p w14:paraId="4902A76B" w14:textId="14DE939F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Toxicity concerns shaped dosing restraint </w:t>
            </w:r>
          </w:p>
        </w:tc>
        <w:tc>
          <w:tcPr>
            <w:tcW w:w="2694" w:type="dxa"/>
          </w:tcPr>
          <w:p w14:paraId="05DD9967" w14:textId="40FEBBC8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Monitoring limitations constrained precision </w:t>
            </w:r>
          </w:p>
        </w:tc>
        <w:tc>
          <w:tcPr>
            <w:tcW w:w="2268" w:type="dxa"/>
          </w:tcPr>
          <w:p w14:paraId="2152BC9E" w14:textId="21FEFD11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Absence of institutional guidance noted </w:t>
            </w:r>
          </w:p>
        </w:tc>
      </w:tr>
      <w:tr w:rsidR="00FC1DEE" w:rsidRPr="00A349C5" w14:paraId="33634951" w14:textId="77777777" w:rsidTr="00F675A4">
        <w:tc>
          <w:tcPr>
            <w:tcW w:w="1276" w:type="dxa"/>
          </w:tcPr>
          <w:p w14:paraId="61BA0FC9" w14:textId="50745B89" w:rsidR="00FC1DEE" w:rsidRDefault="008D586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PMCCM-52</w:t>
            </w:r>
          </w:p>
        </w:tc>
        <w:tc>
          <w:tcPr>
            <w:tcW w:w="2693" w:type="dxa"/>
          </w:tcPr>
          <w:p w14:paraId="39FC77D9" w14:textId="22C943FC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Contextualized polymyxin choice by infection site </w:t>
            </w:r>
          </w:p>
        </w:tc>
        <w:tc>
          <w:tcPr>
            <w:tcW w:w="2410" w:type="dxa"/>
          </w:tcPr>
          <w:p w14:paraId="258E93E7" w14:textId="0CC1782F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Individualization guided by clinical response </w:t>
            </w:r>
          </w:p>
        </w:tc>
        <w:tc>
          <w:tcPr>
            <w:tcW w:w="2410" w:type="dxa"/>
          </w:tcPr>
          <w:p w14:paraId="69CCD71D" w14:textId="5F9E8417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Identified AKI as a major dosing determinant </w:t>
            </w:r>
          </w:p>
        </w:tc>
        <w:tc>
          <w:tcPr>
            <w:tcW w:w="2551" w:type="dxa"/>
          </w:tcPr>
          <w:p w14:paraId="72655756" w14:textId="08356E6F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Safety considerations dominated decision-making </w:t>
            </w:r>
          </w:p>
        </w:tc>
        <w:tc>
          <w:tcPr>
            <w:tcW w:w="2694" w:type="dxa"/>
          </w:tcPr>
          <w:p w14:paraId="34D47C59" w14:textId="49D2F756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Limited access to evidence-based tools </w:t>
            </w:r>
          </w:p>
        </w:tc>
        <w:tc>
          <w:tcPr>
            <w:tcW w:w="2268" w:type="dxa"/>
          </w:tcPr>
          <w:p w14:paraId="56B330C8" w14:textId="47A6FEFD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System level constraints highlighted </w:t>
            </w:r>
          </w:p>
        </w:tc>
      </w:tr>
      <w:tr w:rsidR="00FC1DEE" w:rsidRPr="00A349C5" w14:paraId="1AA1B42F" w14:textId="77777777" w:rsidTr="00F675A4">
        <w:tc>
          <w:tcPr>
            <w:tcW w:w="1276" w:type="dxa"/>
          </w:tcPr>
          <w:p w14:paraId="0300680B" w14:textId="43832899" w:rsidR="00FC1DEE" w:rsidRDefault="00341C7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PFID-33</w:t>
            </w:r>
          </w:p>
        </w:tc>
        <w:tc>
          <w:tcPr>
            <w:tcW w:w="2693" w:type="dxa"/>
          </w:tcPr>
          <w:p w14:paraId="41A429A4" w14:textId="5D42F76B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Favoured polymyxin B for non-urinary infections </w:t>
            </w:r>
          </w:p>
        </w:tc>
        <w:tc>
          <w:tcPr>
            <w:tcW w:w="2410" w:type="dxa"/>
          </w:tcPr>
          <w:p w14:paraId="51DE4289" w14:textId="6A5E98BE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Viewed individualized dosing as essential </w:t>
            </w:r>
          </w:p>
        </w:tc>
        <w:tc>
          <w:tcPr>
            <w:tcW w:w="2410" w:type="dxa"/>
          </w:tcPr>
          <w:p w14:paraId="56AB56F6" w14:textId="522DE41E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Dialysis timing inconsistently incorporated </w:t>
            </w:r>
          </w:p>
        </w:tc>
        <w:tc>
          <w:tcPr>
            <w:tcW w:w="2551" w:type="dxa"/>
          </w:tcPr>
          <w:p w14:paraId="0634095E" w14:textId="57B2BA05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Balanced toxicity risk with treatment urgency </w:t>
            </w:r>
          </w:p>
        </w:tc>
        <w:tc>
          <w:tcPr>
            <w:tcW w:w="2694" w:type="dxa"/>
          </w:tcPr>
          <w:p w14:paraId="15580124" w14:textId="26B8BAE9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Limited exposure to TDM </w:t>
            </w:r>
          </w:p>
        </w:tc>
        <w:tc>
          <w:tcPr>
            <w:tcW w:w="2268" w:type="dxa"/>
          </w:tcPr>
          <w:p w14:paraId="6C307913" w14:textId="5F8704E1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Relied on senior clinician input </w:t>
            </w:r>
          </w:p>
        </w:tc>
      </w:tr>
      <w:tr w:rsidR="00FC1DEE" w:rsidRPr="00A349C5" w14:paraId="043BF986" w14:textId="77777777" w:rsidTr="00F675A4">
        <w:tc>
          <w:tcPr>
            <w:tcW w:w="1276" w:type="dxa"/>
          </w:tcPr>
          <w:p w14:paraId="488A204D" w14:textId="01232960" w:rsidR="00FC1DEE" w:rsidRDefault="00341C7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PMCCM-40</w:t>
            </w:r>
            <w:r w:rsidR="009E30D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693" w:type="dxa"/>
          </w:tcPr>
          <w:p w14:paraId="760610C5" w14:textId="232026B2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Emphasized experiential learning in drug selection </w:t>
            </w:r>
          </w:p>
        </w:tc>
        <w:tc>
          <w:tcPr>
            <w:tcW w:w="2410" w:type="dxa"/>
          </w:tcPr>
          <w:p w14:paraId="61BE5DDC" w14:textId="144A9F1A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Supported clinician-driven dose tailoring </w:t>
            </w:r>
          </w:p>
        </w:tc>
        <w:tc>
          <w:tcPr>
            <w:tcW w:w="2410" w:type="dxa"/>
          </w:tcPr>
          <w:p w14:paraId="5F23AA58" w14:textId="4F0FE9E0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impairment necessitated frequent adjustments </w:t>
            </w:r>
          </w:p>
        </w:tc>
        <w:tc>
          <w:tcPr>
            <w:tcW w:w="2551" w:type="dxa"/>
          </w:tcPr>
          <w:p w14:paraId="764AE19C" w14:textId="52B2425E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Conservative approach due to toxicity concerns </w:t>
            </w:r>
          </w:p>
        </w:tc>
        <w:tc>
          <w:tcPr>
            <w:tcW w:w="2694" w:type="dxa"/>
          </w:tcPr>
          <w:p w14:paraId="31BE103D" w14:textId="1F34957F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Difficulty applying literature to practice </w:t>
            </w:r>
          </w:p>
        </w:tc>
        <w:tc>
          <w:tcPr>
            <w:tcW w:w="2268" w:type="dxa"/>
          </w:tcPr>
          <w:p w14:paraId="6381C3A8" w14:textId="5D521F9F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Institutional variability acknowledged </w:t>
            </w:r>
          </w:p>
        </w:tc>
      </w:tr>
      <w:tr w:rsidR="00FC1DEE" w:rsidRPr="00A349C5" w14:paraId="5C53B111" w14:textId="77777777" w:rsidTr="00F675A4">
        <w:tc>
          <w:tcPr>
            <w:tcW w:w="1276" w:type="dxa"/>
          </w:tcPr>
          <w:p w14:paraId="0BE035F7" w14:textId="435DD0E1" w:rsidR="00FC1DEE" w:rsidRDefault="00341C77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PMCCM-40</w:t>
            </w:r>
            <w:r w:rsidR="009E30D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693" w:type="dxa"/>
          </w:tcPr>
          <w:p w14:paraId="3383059F" w14:textId="52E18FA5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Considered polymyxins a last-line option </w:t>
            </w:r>
          </w:p>
        </w:tc>
        <w:tc>
          <w:tcPr>
            <w:tcW w:w="2410" w:type="dxa"/>
          </w:tcPr>
          <w:p w14:paraId="447B63C7" w14:textId="1C42565B" w:rsidR="00FC1DEE" w:rsidRPr="00A349C5" w:rsidRDefault="00F56750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Adaptive dosing used in complex cases </w:t>
            </w:r>
          </w:p>
        </w:tc>
        <w:tc>
          <w:tcPr>
            <w:tcW w:w="2410" w:type="dxa"/>
          </w:tcPr>
          <w:p w14:paraId="4CAF99EA" w14:textId="41C7CFC6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replacement therapy increased complexity </w:t>
            </w:r>
          </w:p>
        </w:tc>
        <w:tc>
          <w:tcPr>
            <w:tcW w:w="2551" w:type="dxa"/>
          </w:tcPr>
          <w:p w14:paraId="07B090EF" w14:textId="7198DF32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Risk-benefit negotiation ongoing </w:t>
            </w:r>
          </w:p>
        </w:tc>
        <w:tc>
          <w:tcPr>
            <w:tcW w:w="2694" w:type="dxa"/>
          </w:tcPr>
          <w:p w14:paraId="1BB4DC05" w14:textId="60E2CD4F" w:rsidR="00FC1DEE" w:rsidRPr="00A349C5" w:rsidRDefault="0092739C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Evidence gaps limited confidence </w:t>
            </w:r>
          </w:p>
        </w:tc>
        <w:tc>
          <w:tcPr>
            <w:tcW w:w="2268" w:type="dxa"/>
          </w:tcPr>
          <w:p w14:paraId="04697254" w14:textId="7C342ABE" w:rsidR="00FC1DEE" w:rsidRPr="00A349C5" w:rsidRDefault="00473426" w:rsidP="00937F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Lack of formal protocols reported </w:t>
            </w:r>
          </w:p>
        </w:tc>
      </w:tr>
      <w:tr w:rsidR="00341C77" w:rsidRPr="00A349C5" w14:paraId="2BFAAEF2" w14:textId="77777777" w:rsidTr="009C350D">
        <w:tc>
          <w:tcPr>
            <w:tcW w:w="1276" w:type="dxa"/>
            <w:vAlign w:val="center"/>
          </w:tcPr>
          <w:p w14:paraId="11BCCDFE" w14:textId="60D5178C" w:rsidR="00341C77" w:rsidRPr="00341C77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C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PMCCM-44</w:t>
            </w:r>
          </w:p>
        </w:tc>
        <w:tc>
          <w:tcPr>
            <w:tcW w:w="2693" w:type="dxa"/>
          </w:tcPr>
          <w:p w14:paraId="13374392" w14:textId="363EEBCC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Used polymyxins selectively based on clinical context </w:t>
            </w:r>
          </w:p>
        </w:tc>
        <w:tc>
          <w:tcPr>
            <w:tcW w:w="2410" w:type="dxa"/>
          </w:tcPr>
          <w:p w14:paraId="4A27F7A7" w14:textId="57F34B81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Favoured individualized dosing strategies </w:t>
            </w:r>
          </w:p>
        </w:tc>
        <w:tc>
          <w:tcPr>
            <w:tcW w:w="2410" w:type="dxa"/>
          </w:tcPr>
          <w:p w14:paraId="7A54A3AC" w14:textId="6C16F0B1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dysfunction influenced dose reductions </w:t>
            </w:r>
          </w:p>
        </w:tc>
        <w:tc>
          <w:tcPr>
            <w:tcW w:w="2551" w:type="dxa"/>
          </w:tcPr>
          <w:p w14:paraId="1C17EDCE" w14:textId="6EE7289C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Safety concerns limited aggressive dosing </w:t>
            </w:r>
          </w:p>
        </w:tc>
        <w:tc>
          <w:tcPr>
            <w:tcW w:w="2694" w:type="dxa"/>
          </w:tcPr>
          <w:p w14:paraId="5D0AB61A" w14:textId="0CA475AB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Limited diagnostic support noted </w:t>
            </w:r>
          </w:p>
        </w:tc>
        <w:tc>
          <w:tcPr>
            <w:tcW w:w="2268" w:type="dxa"/>
          </w:tcPr>
          <w:p w14:paraId="7EF8DB1C" w14:textId="2099528E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Dependence on multidisciplinary teams </w:t>
            </w:r>
          </w:p>
        </w:tc>
      </w:tr>
      <w:tr w:rsidR="00341C77" w:rsidRPr="00A349C5" w14:paraId="545B8638" w14:textId="77777777" w:rsidTr="009C350D">
        <w:tc>
          <w:tcPr>
            <w:tcW w:w="1276" w:type="dxa"/>
            <w:vAlign w:val="center"/>
          </w:tcPr>
          <w:p w14:paraId="4B163170" w14:textId="69F54D85" w:rsidR="00341C77" w:rsidRPr="00341C77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C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PMN-45</w:t>
            </w:r>
          </w:p>
        </w:tc>
        <w:tc>
          <w:tcPr>
            <w:tcW w:w="2693" w:type="dxa"/>
          </w:tcPr>
          <w:p w14:paraId="2D736005" w14:textId="166CEA9A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Noted preference shifts with emerging alternatives </w:t>
            </w:r>
          </w:p>
        </w:tc>
        <w:tc>
          <w:tcPr>
            <w:tcW w:w="2410" w:type="dxa"/>
          </w:tcPr>
          <w:p w14:paraId="3E375A7C" w14:textId="77D4F3F9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Individualization seen as necessary but challenging </w:t>
            </w:r>
          </w:p>
        </w:tc>
        <w:tc>
          <w:tcPr>
            <w:tcW w:w="2410" w:type="dxa"/>
          </w:tcPr>
          <w:p w14:paraId="6C972980" w14:textId="2EF45D16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impairment complicated dosing decisions </w:t>
            </w:r>
          </w:p>
        </w:tc>
        <w:tc>
          <w:tcPr>
            <w:tcW w:w="2551" w:type="dxa"/>
          </w:tcPr>
          <w:p w14:paraId="7E200743" w14:textId="5DD970D6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Toxicity risk drove cautious practice </w:t>
            </w:r>
          </w:p>
        </w:tc>
        <w:tc>
          <w:tcPr>
            <w:tcW w:w="2694" w:type="dxa"/>
          </w:tcPr>
          <w:p w14:paraId="2DC3879B" w14:textId="00B0A600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Limited familiarity with PK models </w:t>
            </w:r>
          </w:p>
        </w:tc>
        <w:tc>
          <w:tcPr>
            <w:tcW w:w="2268" w:type="dxa"/>
          </w:tcPr>
          <w:p w14:paraId="41361F4C" w14:textId="7B32D0AD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System constraints affected implementation </w:t>
            </w:r>
          </w:p>
        </w:tc>
      </w:tr>
      <w:tr w:rsidR="00341C77" w:rsidRPr="00A349C5" w14:paraId="18E972ED" w14:textId="77777777" w:rsidTr="009C350D">
        <w:tc>
          <w:tcPr>
            <w:tcW w:w="1276" w:type="dxa"/>
            <w:vAlign w:val="center"/>
          </w:tcPr>
          <w:p w14:paraId="5638E37D" w14:textId="02ABC43B" w:rsidR="00341C77" w:rsidRPr="00341C77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C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PMCCM-47</w:t>
            </w:r>
          </w:p>
        </w:tc>
        <w:tc>
          <w:tcPr>
            <w:tcW w:w="2693" w:type="dxa"/>
          </w:tcPr>
          <w:p w14:paraId="5F7C27BF" w14:textId="42E673D5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Emphasized clinician judgement in polymyxin choice </w:t>
            </w:r>
          </w:p>
        </w:tc>
        <w:tc>
          <w:tcPr>
            <w:tcW w:w="2410" w:type="dxa"/>
          </w:tcPr>
          <w:p w14:paraId="390DB576" w14:textId="77A5682D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Flexible dosing approach adopted </w:t>
            </w:r>
          </w:p>
        </w:tc>
        <w:tc>
          <w:tcPr>
            <w:tcW w:w="2410" w:type="dxa"/>
          </w:tcPr>
          <w:p w14:paraId="5DF738FF" w14:textId="05453BE2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Dialysis variability increased uncertainty </w:t>
            </w:r>
          </w:p>
        </w:tc>
        <w:tc>
          <w:tcPr>
            <w:tcW w:w="2551" w:type="dxa"/>
          </w:tcPr>
          <w:p w14:paraId="70527343" w14:textId="3F011AAA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Safety considerations influenced hesitation </w:t>
            </w:r>
          </w:p>
        </w:tc>
        <w:tc>
          <w:tcPr>
            <w:tcW w:w="2694" w:type="dxa"/>
          </w:tcPr>
          <w:p w14:paraId="261CCF5F" w14:textId="39404519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Monitoring gaps highlighted </w:t>
            </w:r>
          </w:p>
        </w:tc>
        <w:tc>
          <w:tcPr>
            <w:tcW w:w="2268" w:type="dxa"/>
          </w:tcPr>
          <w:p w14:paraId="3A4C3712" w14:textId="2227D305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Institutional practices shaped decisions </w:t>
            </w:r>
          </w:p>
        </w:tc>
      </w:tr>
      <w:tr w:rsidR="00341C77" w:rsidRPr="00A349C5" w14:paraId="77CAB19E" w14:textId="77777777" w:rsidTr="009C350D">
        <w:tc>
          <w:tcPr>
            <w:tcW w:w="1276" w:type="dxa"/>
            <w:vAlign w:val="center"/>
          </w:tcPr>
          <w:p w14:paraId="4EEAA937" w14:textId="1293C7E7" w:rsidR="00341C77" w:rsidRPr="00341C77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C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PMCCM-49</w:t>
            </w:r>
          </w:p>
        </w:tc>
        <w:tc>
          <w:tcPr>
            <w:tcW w:w="2693" w:type="dxa"/>
          </w:tcPr>
          <w:p w14:paraId="1B6A88E3" w14:textId="5073FFE9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infection characteristics in drug selection </w:t>
            </w:r>
          </w:p>
        </w:tc>
        <w:tc>
          <w:tcPr>
            <w:tcW w:w="2410" w:type="dxa"/>
          </w:tcPr>
          <w:p w14:paraId="61122123" w14:textId="533DD60C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Individualized dosing preferred in critically ill </w:t>
            </w:r>
          </w:p>
        </w:tc>
        <w:tc>
          <w:tcPr>
            <w:tcW w:w="2410" w:type="dxa"/>
          </w:tcPr>
          <w:p w14:paraId="0F8E3028" w14:textId="64817783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Renal dysfunction central to dosing strategy </w:t>
            </w:r>
          </w:p>
        </w:tc>
        <w:tc>
          <w:tcPr>
            <w:tcW w:w="2551" w:type="dxa"/>
          </w:tcPr>
          <w:p w14:paraId="5CDA2C58" w14:textId="0ED6A6D7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Risk-benefit considerations explicitly stated </w:t>
            </w:r>
          </w:p>
        </w:tc>
        <w:tc>
          <w:tcPr>
            <w:tcW w:w="2694" w:type="dxa"/>
          </w:tcPr>
          <w:p w14:paraId="38E4268D" w14:textId="764D14D5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Evidence translations challenges noted </w:t>
            </w:r>
          </w:p>
        </w:tc>
        <w:tc>
          <w:tcPr>
            <w:tcW w:w="2268" w:type="dxa"/>
          </w:tcPr>
          <w:p w14:paraId="23A7CF5C" w14:textId="7817F52D" w:rsidR="00341C77" w:rsidRPr="00A349C5" w:rsidRDefault="00341C77" w:rsidP="00341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Absence of standardized guidance emphasized </w:t>
            </w:r>
          </w:p>
        </w:tc>
      </w:tr>
    </w:tbl>
    <w:p w14:paraId="7F75D6ED" w14:textId="07C22CF9" w:rsidR="00FC1DEE" w:rsidRPr="00175D07" w:rsidRDefault="00175D07" w:rsidP="00A349C5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75D07">
        <w:rPr>
          <w:rFonts w:ascii="Times New Roman" w:hAnsi="Times New Roman" w:cs="Times New Roman"/>
          <w:i/>
          <w:iCs/>
          <w:sz w:val="20"/>
          <w:szCs w:val="20"/>
        </w:rPr>
        <w:t>Note: Cells summarize participants’ engagement with each theme based on analytic synthesis of interview data and do not represent frequency counts.</w:t>
      </w:r>
    </w:p>
    <w:sectPr w:rsidR="00FC1DEE" w:rsidRPr="00175D07" w:rsidSect="00A349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5C287" w14:textId="77777777" w:rsidR="00AD0CCC" w:rsidRDefault="00AD0CCC" w:rsidP="00FC1DEE">
      <w:pPr>
        <w:spacing w:after="0" w:line="240" w:lineRule="auto"/>
      </w:pPr>
      <w:r>
        <w:separator/>
      </w:r>
    </w:p>
  </w:endnote>
  <w:endnote w:type="continuationSeparator" w:id="0">
    <w:p w14:paraId="65319BC2" w14:textId="77777777" w:rsidR="00AD0CCC" w:rsidRDefault="00AD0CCC" w:rsidP="00FC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56CD" w14:textId="77777777" w:rsidR="00AD0CCC" w:rsidRDefault="00AD0CCC" w:rsidP="00FC1DEE">
      <w:pPr>
        <w:spacing w:after="0" w:line="240" w:lineRule="auto"/>
      </w:pPr>
      <w:r>
        <w:separator/>
      </w:r>
    </w:p>
  </w:footnote>
  <w:footnote w:type="continuationSeparator" w:id="0">
    <w:p w14:paraId="3AA5788B" w14:textId="77777777" w:rsidR="00AD0CCC" w:rsidRDefault="00AD0CCC" w:rsidP="00FC1D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wMjYysDAzMzA1NzVX0lEKTi0uzszPAykwrgUAKKxDiywAAAA="/>
  </w:docVars>
  <w:rsids>
    <w:rsidRoot w:val="00386F4A"/>
    <w:rsid w:val="00077D55"/>
    <w:rsid w:val="001301D9"/>
    <w:rsid w:val="00174F2A"/>
    <w:rsid w:val="00175D07"/>
    <w:rsid w:val="001B7DC4"/>
    <w:rsid w:val="001C37EB"/>
    <w:rsid w:val="00256B3A"/>
    <w:rsid w:val="00341C77"/>
    <w:rsid w:val="00386F4A"/>
    <w:rsid w:val="00473426"/>
    <w:rsid w:val="0058616A"/>
    <w:rsid w:val="00884811"/>
    <w:rsid w:val="008D5867"/>
    <w:rsid w:val="00911B3E"/>
    <w:rsid w:val="0091241C"/>
    <w:rsid w:val="009142C3"/>
    <w:rsid w:val="0092739C"/>
    <w:rsid w:val="009E30D6"/>
    <w:rsid w:val="00A349C5"/>
    <w:rsid w:val="00AD0CCC"/>
    <w:rsid w:val="00C61AAB"/>
    <w:rsid w:val="00C93664"/>
    <w:rsid w:val="00CD06D6"/>
    <w:rsid w:val="00D02F36"/>
    <w:rsid w:val="00D478E9"/>
    <w:rsid w:val="00D864C4"/>
    <w:rsid w:val="00F56750"/>
    <w:rsid w:val="00F675A4"/>
    <w:rsid w:val="00FC1DEE"/>
    <w:rsid w:val="00FD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63D0"/>
  <w15:chartTrackingRefBased/>
  <w15:docId w15:val="{2A785510-B10C-4EC7-995E-1B90445B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F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4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EE"/>
  </w:style>
  <w:style w:type="paragraph" w:styleId="Footer">
    <w:name w:val="footer"/>
    <w:basedOn w:val="Normal"/>
    <w:link w:val="FooterChar"/>
    <w:uiPriority w:val="99"/>
    <w:unhideWhenUsed/>
    <w:rsid w:val="00FC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K Rajan</dc:creator>
  <cp:keywords/>
  <dc:description/>
  <cp:lastModifiedBy>Asha K Rajan</cp:lastModifiedBy>
  <cp:revision>20</cp:revision>
  <dcterms:created xsi:type="dcterms:W3CDTF">2026-01-04T18:00:00Z</dcterms:created>
  <dcterms:modified xsi:type="dcterms:W3CDTF">2026-01-06T17:02:00Z</dcterms:modified>
</cp:coreProperties>
</file>