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Table S5.</w:t>
      </w:r>
      <w:r>
        <w:t xml:space="preserve"> </w:t>
      </w:r>
      <w:r>
        <w:t xml:space="preserve">Fine-grained pacing metrics computed from 5 km splits. Subset: runners with all cumulative splits valid (n = 856,759; 98.1% of the analytical cohort). Comparison by sex via Welch’s</w:t>
      </w:r>
      <w:r>
        <w:t xml:space="preserve"> </w:t>
      </w:r>
      <w:r>
        <w:rPr>
          <w:i/>
          <w:iCs/>
        </w:rPr>
        <w:t xml:space="preserve">t</w:t>
      </w:r>
      <w:r>
        <w:t xml:space="preserve">-test, Mann-Whitney U test, and Cohen’s</w:t>
      </w:r>
      <w:r>
        <w:t xml:space="preserve"> </w:t>
      </w:r>
      <w:r>
        <w:rPr>
          <w:i/>
          <w:iCs/>
        </w:rPr>
        <w:t xml:space="preserve">d</w:t>
      </w:r>
      <w:r>
        <w:t xml:space="preserve">.</w:t>
      </w:r>
    </w:p>
    <w:tbl>
      <w:tblPr>
        <w:tblStyle w:val="Table"/>
        <w:tblW w:type="pct" w:w="5000"/>
        <w:tblLayout w:type="fixed"/>
        <w:tblLook w:firstRow="1" w:lastRow="0" w:firstColumn="0" w:lastColumn="0" w:noHBand="0" w:noVBand="0" w:val="0020"/>
      </w:tblPr>
      <w:tblGrid>
        <w:gridCol w:w="1218"/>
        <w:gridCol w:w="1218"/>
        <w:gridCol w:w="913"/>
        <w:gridCol w:w="913"/>
        <w:gridCol w:w="913"/>
        <w:gridCol w:w="913"/>
        <w:gridCol w:w="913"/>
        <w:gridCol w:w="913"/>
      </w:tblGrid>
      <w:tr>
        <w:trPr>
          <w:tblHeader w:val="on"/>
        </w:trPr>
        <w:tc>
          <w:tcPr/>
          <w:p>
            <w:pPr>
              <w:pStyle w:val="Compact"/>
              <w:jc w:val="left"/>
            </w:pPr>
            <w:r>
              <w:t xml:space="preserve">Metric</w:t>
            </w:r>
          </w:p>
        </w:tc>
        <w:tc>
          <w:tcPr/>
          <w:p>
            <w:pPr>
              <w:pStyle w:val="Compact"/>
              <w:jc w:val="left"/>
            </w:pPr>
            <w:r>
              <w:t xml:space="preserve">Definition</w:t>
            </w:r>
          </w:p>
        </w:tc>
        <w:tc>
          <w:tcPr/>
          <w:p>
            <w:pPr>
              <w:pStyle w:val="Compact"/>
              <w:jc w:val="center"/>
            </w:pPr>
            <w:r>
              <w:t xml:space="preserve">n_M</w:t>
            </w:r>
          </w:p>
        </w:tc>
        <w:tc>
          <w:tcPr/>
          <w:p>
            <w:pPr>
              <w:pStyle w:val="Compact"/>
              <w:jc w:val="center"/>
            </w:pPr>
            <w:r>
              <w:t xml:space="preserve">n_F</w:t>
            </w:r>
          </w:p>
        </w:tc>
        <w:tc>
          <w:tcPr/>
          <w:p>
            <w:pPr>
              <w:pStyle w:val="Compact"/>
              <w:jc w:val="center"/>
            </w:pPr>
            <w:r>
              <w:t xml:space="preserve">Mean ± SD, Men</w:t>
            </w:r>
          </w:p>
        </w:tc>
        <w:tc>
          <w:tcPr/>
          <w:p>
            <w:pPr>
              <w:pStyle w:val="Compact"/>
              <w:jc w:val="center"/>
            </w:pPr>
            <w:r>
              <w:t xml:space="preserve">Mean ± SD, Women</w:t>
            </w:r>
          </w:p>
        </w:tc>
        <w:tc>
          <w:tcPr/>
          <w:p>
            <w:pPr>
              <w:pStyle w:val="Compact"/>
              <w:jc w:val="center"/>
            </w:pPr>
            <w:r>
              <w:t xml:space="preserve">Cohen’s</w:t>
            </w:r>
            <w:r>
              <w:t xml:space="preserve"> </w:t>
            </w:r>
            <w:r>
              <w:rPr>
                <w:i/>
                <w:iCs/>
              </w:rPr>
              <w:t xml:space="preserve">d</w:t>
            </w:r>
          </w:p>
        </w:tc>
        <w:tc>
          <w:tcPr/>
          <w:p>
            <w:pPr>
              <w:pStyle w:val="Compact"/>
              <w:jc w:val="center"/>
            </w:pPr>
            <w:r>
              <w:rPr>
                <w:i/>
                <w:iCs/>
              </w:rPr>
              <w:t xml:space="preserve">p</w:t>
            </w:r>
            <w:r>
              <w:t xml:space="preserve"> </w:t>
            </w:r>
            <w:r>
              <w:t xml:space="preserve">(Welch)</w:t>
            </w:r>
          </w:p>
        </w:tc>
      </w:tr>
      <w:tr>
        <w:tc>
          <w:tcPr/>
          <w:p>
            <w:pPr>
              <w:pStyle w:val="Compact"/>
              <w:jc w:val="left"/>
            </w:pPr>
            <w:r>
              <w:rPr>
                <w:b/>
                <w:bCs/>
              </w:rPr>
              <w:t xml:space="preserve">Coefficient of variation (CV) of pace across 5 km segments</w:t>
            </w:r>
          </w:p>
        </w:tc>
        <w:tc>
          <w:tcPr/>
          <w:p>
            <w:pPr>
              <w:pStyle w:val="Compact"/>
              <w:jc w:val="left"/>
            </w:pPr>
            <w:r>
              <w:t xml:space="preserve">Within-runner SD/mean of segment pace</w:t>
            </w:r>
          </w:p>
        </w:tc>
        <w:tc>
          <w:tcPr/>
          <w:p>
            <w:pPr>
              <w:pStyle w:val="Compact"/>
              <w:jc w:val="center"/>
            </w:pPr>
            <w:r>
              <w:t xml:space="preserve">645,699</w:t>
            </w:r>
          </w:p>
        </w:tc>
        <w:tc>
          <w:tcPr/>
          <w:p>
            <w:pPr>
              <w:pStyle w:val="Compact"/>
              <w:jc w:val="center"/>
            </w:pPr>
            <w:r>
              <w:t xml:space="preserve">211,060</w:t>
            </w:r>
          </w:p>
        </w:tc>
        <w:tc>
          <w:tcPr/>
          <w:p>
            <w:pPr>
              <w:pStyle w:val="Compact"/>
              <w:jc w:val="center"/>
            </w:pPr>
            <w:r>
              <w:t xml:space="preserve">0.077 ± 0.064</w:t>
            </w:r>
          </w:p>
        </w:tc>
        <w:tc>
          <w:tcPr/>
          <w:p>
            <w:pPr>
              <w:pStyle w:val="Compact"/>
              <w:jc w:val="center"/>
            </w:pPr>
            <w:r>
              <w:t xml:space="preserve">0.062 ± 0.044</w:t>
            </w:r>
          </w:p>
        </w:tc>
        <w:tc>
          <w:tcPr/>
          <w:p>
            <w:pPr>
              <w:pStyle w:val="Compact"/>
              <w:jc w:val="center"/>
            </w:pPr>
            <w:r>
              <w:rPr>
                <w:b/>
                <w:bCs/>
              </w:rPr>
              <w:t xml:space="preserve">0.27</w:t>
            </w:r>
          </w:p>
        </w:tc>
        <w:tc>
          <w:tcPr/>
          <w:p>
            <w:pPr>
              <w:pStyle w:val="Compact"/>
              <w:jc w:val="center"/>
            </w:pPr>
            <w:r>
              <w:t xml:space="preserve">&lt; 0.001</w:t>
            </w:r>
          </w:p>
        </w:tc>
      </w:tr>
      <w:tr>
        <w:tc>
          <w:tcPr/>
          <w:p>
            <w:pPr>
              <w:pStyle w:val="Compact"/>
              <w:jc w:val="left"/>
            </w:pPr>
            <w:r>
              <w:rPr>
                <w:b/>
                <w:bCs/>
              </w:rPr>
              <w:t xml:space="preserve">Inflection point (km)</w:t>
            </w:r>
          </w:p>
        </w:tc>
        <w:tc>
          <w:tcPr/>
          <w:p>
            <w:pPr>
              <w:pStyle w:val="Compact"/>
              <w:jc w:val="left"/>
            </w:pPr>
            <w:r>
              <w:t xml:space="preserve">First 5 km segment for which pace exceeded the pre-half-marathon mean by &gt; 5% AND remained slower for all subsequent segments through the finish (NaN if no such segment)</w:t>
            </w:r>
          </w:p>
        </w:tc>
        <w:tc>
          <w:tcPr/>
          <w:p>
            <w:pPr>
              <w:pStyle w:val="Compact"/>
              <w:jc w:val="center"/>
            </w:pPr>
            <w:r>
              <w:t xml:space="preserve">411,101 (63.7%)</w:t>
            </w:r>
          </w:p>
        </w:tc>
        <w:tc>
          <w:tcPr/>
          <w:p>
            <w:pPr>
              <w:pStyle w:val="Compact"/>
              <w:jc w:val="center"/>
            </w:pPr>
            <w:r>
              <w:t xml:space="preserve">101,224 (48.0%)</w:t>
            </w:r>
          </w:p>
        </w:tc>
        <w:tc>
          <w:tcPr/>
          <w:p>
            <w:pPr>
              <w:pStyle w:val="Compact"/>
              <w:jc w:val="center"/>
            </w:pPr>
            <w:r>
              <w:t xml:space="preserve">25.845 ± 5.928</w:t>
            </w:r>
          </w:p>
        </w:tc>
        <w:tc>
          <w:tcPr/>
          <w:p>
            <w:pPr>
              <w:pStyle w:val="Compact"/>
              <w:jc w:val="center"/>
            </w:pPr>
            <w:r>
              <w:t xml:space="preserve">24.556 ± 5.803</w:t>
            </w:r>
          </w:p>
        </w:tc>
        <w:tc>
          <w:tcPr/>
          <w:p>
            <w:pPr>
              <w:pStyle w:val="Compact"/>
              <w:jc w:val="center"/>
            </w:pPr>
            <w:r>
              <w:rPr>
                <w:b/>
                <w:bCs/>
              </w:rPr>
              <w:t xml:space="preserve">0.22</w:t>
            </w:r>
          </w:p>
        </w:tc>
        <w:tc>
          <w:tcPr/>
          <w:p>
            <w:pPr>
              <w:pStyle w:val="Compact"/>
              <w:jc w:val="center"/>
            </w:pPr>
            <w:r>
              <w:t xml:space="preserve">&lt; 0.001</w:t>
            </w:r>
          </w:p>
        </w:tc>
      </w:tr>
      <w:tr>
        <w:tc>
          <w:tcPr/>
          <w:p>
            <w:pPr>
              <w:pStyle w:val="Compact"/>
              <w:jc w:val="left"/>
            </w:pPr>
            <w:r>
              <w:rPr>
                <w:b/>
                <w:bCs/>
              </w:rPr>
              <w:t xml:space="preserve">Late-race deceleration (%)</w:t>
            </w:r>
          </w:p>
        </w:tc>
        <w:tc>
          <w:tcPr/>
          <w:p>
            <w:pPr>
              <w:pStyle w:val="Compact"/>
              <w:jc w:val="left"/>
            </w:pPr>
            <w:r>
              <w:t xml:space="preserve">(pace 35–40 km / pace 5–10 km − 1) × 100</w:t>
            </w:r>
          </w:p>
        </w:tc>
        <w:tc>
          <w:tcPr/>
          <w:p>
            <w:pPr>
              <w:pStyle w:val="Compact"/>
              <w:jc w:val="center"/>
            </w:pPr>
            <w:r>
              <w:t xml:space="preserve">645,699</w:t>
            </w:r>
          </w:p>
        </w:tc>
        <w:tc>
          <w:tcPr/>
          <w:p>
            <w:pPr>
              <w:pStyle w:val="Compact"/>
              <w:jc w:val="center"/>
            </w:pPr>
            <w:r>
              <w:t xml:space="preserve">211,060</w:t>
            </w:r>
          </w:p>
        </w:tc>
        <w:tc>
          <w:tcPr/>
          <w:p>
            <w:pPr>
              <w:pStyle w:val="Compact"/>
              <w:jc w:val="center"/>
            </w:pPr>
            <w:r>
              <w:t xml:space="preserve">17.759 ± 18.679</w:t>
            </w:r>
          </w:p>
        </w:tc>
        <w:tc>
          <w:tcPr/>
          <w:p>
            <w:pPr>
              <w:pStyle w:val="Compact"/>
              <w:jc w:val="center"/>
            </w:pPr>
            <w:r>
              <w:t xml:space="preserve">12.571 ± 13.996</w:t>
            </w:r>
          </w:p>
        </w:tc>
        <w:tc>
          <w:tcPr/>
          <w:p>
            <w:pPr>
              <w:pStyle w:val="Compact"/>
              <w:jc w:val="center"/>
            </w:pPr>
            <w:r>
              <w:rPr>
                <w:b/>
                <w:bCs/>
              </w:rPr>
              <w:t xml:space="preserve">0.31</w:t>
            </w:r>
          </w:p>
        </w:tc>
        <w:tc>
          <w:tcPr/>
          <w:p>
            <w:pPr>
              <w:pStyle w:val="Compact"/>
              <w:jc w:val="center"/>
            </w:pPr>
            <w:r>
              <w:t xml:space="preserve">&lt; 0.001</w:t>
            </w:r>
          </w:p>
        </w:tc>
      </w:tr>
      <w:tr>
        <w:tc>
          <w:tcPr/>
          <w:p>
            <w:pPr>
              <w:pStyle w:val="Compact"/>
              <w:jc w:val="left"/>
            </w:pPr>
            <w:r>
              <w:rPr>
                <w:b/>
                <w:bCs/>
              </w:rPr>
              <w:t xml:space="preserve">Oscillation count</w:t>
            </w:r>
          </w:p>
        </w:tc>
        <w:tc>
          <w:tcPr/>
          <w:p>
            <w:pPr>
              <w:pStyle w:val="Compact"/>
              <w:jc w:val="left"/>
            </w:pPr>
            <w:r>
              <w:t xml:space="preserve">Number of split-to-split sign changes in pace gradient (across 9 segments)</w:t>
            </w:r>
          </w:p>
        </w:tc>
        <w:tc>
          <w:tcPr/>
          <w:p>
            <w:pPr>
              <w:pStyle w:val="Compact"/>
              <w:jc w:val="center"/>
            </w:pPr>
            <w:r>
              <w:t xml:space="preserve">645,699</w:t>
            </w:r>
          </w:p>
        </w:tc>
        <w:tc>
          <w:tcPr/>
          <w:p>
            <w:pPr>
              <w:pStyle w:val="Compact"/>
              <w:jc w:val="center"/>
            </w:pPr>
            <w:r>
              <w:t xml:space="preserve">211,060</w:t>
            </w:r>
          </w:p>
        </w:tc>
        <w:tc>
          <w:tcPr/>
          <w:p>
            <w:pPr>
              <w:pStyle w:val="Compact"/>
              <w:jc w:val="center"/>
            </w:pPr>
            <w:r>
              <w:t xml:space="preserve">3.047 ± 1.447</w:t>
            </w:r>
          </w:p>
        </w:tc>
        <w:tc>
          <w:tcPr/>
          <w:p>
            <w:pPr>
              <w:pStyle w:val="Compact"/>
              <w:jc w:val="center"/>
            </w:pPr>
            <w:r>
              <w:t xml:space="preserve">3.315 ± 1.479</w:t>
            </w:r>
          </w:p>
        </w:tc>
        <w:tc>
          <w:tcPr/>
          <w:p>
            <w:pPr>
              <w:pStyle w:val="Compact"/>
              <w:jc w:val="center"/>
            </w:pPr>
            <w:r>
              <w:t xml:space="preserve">−0.18</w:t>
            </w:r>
          </w:p>
        </w:tc>
        <w:tc>
          <w:tcPr/>
          <w:p>
            <w:pPr>
              <w:pStyle w:val="Compact"/>
              <w:jc w:val="center"/>
            </w:pPr>
            <w:r>
              <w:t xml:space="preserve">&lt; 0.001</w:t>
            </w:r>
          </w:p>
        </w:tc>
      </w:tr>
      <w:tr>
        <w:tc>
          <w:tcPr/>
          <w:p>
            <w:pPr>
              <w:pStyle w:val="Compact"/>
              <w:jc w:val="left"/>
            </w:pPr>
            <w:r>
              <w:rPr>
                <w:b/>
                <w:bCs/>
              </w:rPr>
              <w:t xml:space="preserve">Km30 gradient (s/km)</w:t>
            </w:r>
          </w:p>
        </w:tc>
        <w:tc>
          <w:tcPr/>
          <w:p>
            <w:pPr>
              <w:pStyle w:val="Compact"/>
              <w:jc w:val="left"/>
            </w:pPr>
            <w:r>
              <w:t xml:space="preserve">pace 30–35 km − pace 25–30 km (positive = late-race slowing)</w:t>
            </w:r>
          </w:p>
        </w:tc>
        <w:tc>
          <w:tcPr/>
          <w:p>
            <w:pPr>
              <w:pStyle w:val="Compact"/>
              <w:jc w:val="center"/>
            </w:pPr>
            <w:r>
              <w:t xml:space="preserve">645,699</w:t>
            </w:r>
          </w:p>
        </w:tc>
        <w:tc>
          <w:tcPr/>
          <w:p>
            <w:pPr>
              <w:pStyle w:val="Compact"/>
              <w:jc w:val="center"/>
            </w:pPr>
            <w:r>
              <w:t xml:space="preserve">211,060</w:t>
            </w:r>
          </w:p>
        </w:tc>
        <w:tc>
          <w:tcPr/>
          <w:p>
            <w:pPr>
              <w:pStyle w:val="Compact"/>
              <w:jc w:val="center"/>
            </w:pPr>
            <w:r>
              <w:t xml:space="preserve">10.228 ± 30.332</w:t>
            </w:r>
          </w:p>
        </w:tc>
        <w:tc>
          <w:tcPr/>
          <w:p>
            <w:pPr>
              <w:pStyle w:val="Compact"/>
              <w:jc w:val="center"/>
            </w:pPr>
            <w:r>
              <w:t xml:space="preserve">3.800 ± 25.936</w:t>
            </w:r>
          </w:p>
        </w:tc>
        <w:tc>
          <w:tcPr/>
          <w:p>
            <w:pPr>
              <w:pStyle w:val="Compact"/>
              <w:jc w:val="center"/>
            </w:pPr>
            <w:r>
              <w:rPr>
                <w:b/>
                <w:bCs/>
              </w:rPr>
              <w:t xml:space="preserve">0.23</w:t>
            </w:r>
          </w:p>
        </w:tc>
        <w:tc>
          <w:tcPr/>
          <w:p>
            <w:pPr>
              <w:pStyle w:val="Compact"/>
              <w:jc w:val="center"/>
            </w:pPr>
            <w:r>
              <w:t xml:space="preserve">&lt; 0.001</w:t>
            </w:r>
          </w:p>
        </w:tc>
      </w:tr>
    </w:tbl>
    <w:p>
      <w:pPr>
        <w:pStyle w:val="BodyText"/>
      </w:pPr>
      <w:r>
        <w:t xml:space="preserve">Median (IQR) for inflection point: men 25.0 km (20.0–30.0), women 20.0 km (20.0–30.0); ~36% of male and ~52% of female runners did not exhibit a defined inflection under the strict criterion (pace exceeded &gt; 5% threshold AND remained above threshold for ALL subsequent segments through the finish), reflecting the proportion who maintained relatively even pacing through to the finish. All metrics differ significantly between sexes given the very large sample size; effect sizes are small to small-moderate (|</w:t>
      </w:r>
      <w:r>
        <w:rPr>
          <w:i/>
          <w:iCs/>
        </w:rPr>
        <w:t xml:space="preserve">d</w:t>
      </w:r>
      <w:r>
        <w:t xml:space="preserve">| ≤ 0.31). Late-race deceleration shows the largest sex effect, consistent with men sustaining a substantially larger pace decline in the final stages of the race. The oscillation count direction is opposite to the variability story (women slightly higher than men) and warrants further investigation; mechanistic interpretation is not advanced in the present work.</w:t>
      </w:r>
    </w:p>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cs="Times New Roman" w:eastAsia="Times New Roman" w:hAnsi="Times New Roman"/>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rPr>
      <w:rFonts w:ascii="Times New Roman" w:cs="Times New Roman" w:eastAsia="Times New Roman" w:hAnsi="Times New Roman"/>
      <w:color w:val="000000"/>
      <w:sz w:val="24"/>
    </w:rPr>
  </w:style>
  <w:style w:styleId="BodyText" w:type="paragraph">
    <w:name w:val="Body Text"/>
    <w:basedOn w:val="Normal"/>
    <w:link w:val="BodyTextChar"/>
    <w:qFormat/>
    <w:pPr>
      <w:spacing w:after="180" w:before="180"/>
    </w:pPr>
    <w:rPr>
      <w:rFonts w:ascii="Times New Roman" w:cs="Times New Roman" w:eastAsia="Times New Roman" w:hAnsi="Times New Roman"/>
      <w:sz w:val="24"/>
    </w:rPr>
  </w:style>
  <w:style w:customStyle="1" w:styleId="FirstParagraph" w:type="paragraph">
    <w:name w:val="First Paragraph"/>
    <w:basedOn w:val="BodyText"/>
    <w:next w:val="BodyText"/>
    <w:qFormat/>
    <w:rPr>
      <w:rFonts w:ascii="Times New Roman" w:cs="Times New Roman" w:eastAsia="Times New Roman" w:hAnsi="Times New Roman"/>
      <w:sz w:val="24"/>
    </w:rPr>
  </w:style>
  <w:style w:customStyle="1" w:styleId="Compact" w:type="paragraph">
    <w:name w:val="Compact"/>
    <w:basedOn w:val="BodyText"/>
    <w:qFormat/>
    <w:pPr>
      <w:spacing w:after="36" w:before="36"/>
    </w:pPr>
    <w:rPr>
      <w:rFonts w:ascii="Times New Roman" w:cs="Times New Roman" w:eastAsia="Times New Roman" w:hAnsi="Times New Roman"/>
      <w:sz w:val="24"/>
    </w:rPr>
  </w:style>
  <w:style w:styleId="Title" w:type="paragraph">
    <w:name w:val="Title"/>
    <w:basedOn w:val="Normal"/>
    <w:next w:val="BodyText"/>
    <w:link w:val="TitleChar"/>
    <w:uiPriority w:val="10"/>
    <w:qFormat/>
    <w:rsid w:val="00A10FD9"/>
    <w:pPr>
      <w:spacing w:after="80" w:line="240" w:lineRule="auto"/>
      <w:contextualSpacing/>
      <w:jc w:val="center"/>
    </w:pPr>
    <w:rPr>
      <w:rFonts w:ascii="Times New Roman" w:cs="Times New Roman" w:eastAsia="Times New Roman" w:hAnsi="Times New Roman"/>
      <w:b/>
      <w:i w:val="0"/>
      <w:sz w:val="24"/>
      <w:szCs w:val="56"/>
    </w:rPr>
  </w:style>
  <w:style w:customStyle="1" w:styleId="TitleChar" w:type="character">
    <w:name w:val="Title Char"/>
    <w:basedOn w:val="DefaultParagraphFont"/>
    <w:link w:val="Title"/>
    <w:uiPriority w:val="10"/>
    <w:rsid w:val="00A10FD9"/>
    <w:rPr>
      <w:rFonts w:ascii="Times New Roman" w:cs="Times New Roman" w:eastAsia="Times New Roman" w:hAnsi="Times New Roman"/>
      <w:b/>
      <w:i w:val="0"/>
      <w:sz w:val="24"/>
      <w:szCs w:val="56"/>
    </w:rPr>
  </w:style>
  <w:style w:styleId="Subtitle" w:type="paragraph">
    <w:name w:val="Subtitle"/>
    <w:basedOn w:val="Title"/>
    <w:next w:val="BodyText"/>
    <w:link w:val="SubtitleChar"/>
    <w:uiPriority w:val="11"/>
    <w:qFormat/>
    <w:rsid w:val="00A10FD9"/>
    <w:pPr>
      <w:numPr>
        <w:ilvl w:val="1"/>
      </w:numPr>
    </w:pPr>
    <w:rPr>
      <w:rFonts w:ascii="Times New Roman" w:cs="Times New Roman" w:eastAsia="Times New Roman" w:hAnsi="Times New Roman"/>
      <w:spacing w:val="15"/>
      <w:sz w:val="24"/>
      <w:szCs w:val="28"/>
    </w:rPr>
  </w:style>
  <w:style w:customStyle="1" w:styleId="SubtitleChar" w:type="character">
    <w:name w:val="Subtitle Char"/>
    <w:basedOn w:val="DefaultParagraphFont"/>
    <w:link w:val="Subtitle"/>
    <w:uiPriority w:val="11"/>
    <w:rsid w:val="00A10FD9"/>
    <w:rPr>
      <w:rFonts w:ascii="Times New Roman" w:cs="Times New Roman" w:eastAsia="Times New Roman" w:hAnsi="Times New Roman"/>
      <w:spacing w:val="15"/>
      <w:sz w:val="24"/>
      <w:szCs w:val="28"/>
    </w:rPr>
  </w:style>
  <w:style w:customStyle="1" w:styleId="Author" w:type="paragraph">
    <w:name w:val="Author"/>
    <w:basedOn w:val="Title"/>
    <w:next w:val="BodyText"/>
    <w:qFormat/>
    <w:pPr>
      <w:keepNext/>
      <w:keepLines/>
    </w:pPr>
    <w:rPr>
      <w:rFonts w:ascii="Times New Roman" w:cs="Times New Roman" w:eastAsia="Times New Roman" w:hAnsi="Times New Roman"/>
      <w:sz w:val="24"/>
      <w:szCs w:val="24"/>
    </w:rPr>
  </w:style>
  <w:style w:styleId="Date" w:type="paragraph">
    <w:name w:val="Date"/>
    <w:basedOn w:val="Title"/>
    <w:next w:val="BodyText"/>
    <w:qFormat/>
    <w:pPr>
      <w:keepNext/>
      <w:keepLines/>
    </w:pPr>
    <w:rPr>
      <w:rFonts w:ascii="Times New Roman" w:cs="Times New Roman" w:eastAsia="Times New Roman" w:hAnsi="Times New Roman"/>
      <w:sz w:val="24"/>
      <w:szCs w:val="24"/>
    </w:rPr>
  </w:style>
  <w:style w:customStyle="1" w:styleId="AbstractTitle" w:type="paragraph">
    <w:name w:val="Abstract Title"/>
    <w:basedOn w:val="Normal"/>
    <w:next w:val="Abstract"/>
    <w:qFormat/>
    <w:pPr>
      <w:keepNext/>
      <w:keepLines/>
      <w:spacing w:after="0" w:before="300"/>
      <w:jc w:val="center"/>
    </w:pPr>
    <w:rPr>
      <w:rFonts w:ascii="Times New Roman" w:cs="Times New Roman" w:eastAsia="Times New Roman" w:hAnsi="Times New Roman"/>
      <w:b/>
      <w:sz w:val="24"/>
      <w:szCs w:val="20"/>
    </w:rPr>
  </w:style>
  <w:style w:customStyle="1" w:styleId="Abstract" w:type="paragraph">
    <w:name w:val="Abstract"/>
    <w:basedOn w:val="Normal"/>
    <w:next w:val="BodyText"/>
    <w:qFormat/>
    <w:pPr>
      <w:keepNext/>
      <w:keepLines/>
      <w:spacing w:after="300" w:before="100"/>
    </w:pPr>
    <w:rPr>
      <w:rFonts w:ascii="Times New Roman" w:cs="Times New Roman" w:eastAsia="Times New Roman" w:hAnsi="Times New Roman"/>
      <w:sz w:val="24"/>
      <w:szCs w:val="20"/>
    </w:rPr>
  </w:style>
  <w:style w:styleId="Bibliography" w:type="paragraph">
    <w:name w:val="Bibliography"/>
    <w:basedOn w:val="Normal"/>
    <w:next w:val="Bibliography"/>
    <w:qFormat/>
    <w:pPr/>
    <w:rPr>
      <w:rFonts w:ascii="Times New Roman" w:cs="Times New Roman" w:eastAsia="Times New Roman" w:hAnsi="Times New Roman"/>
      <w:sz w:val="24"/>
    </w:rPr>
  </w:style>
  <w:style w:styleId="Heading1" w:type="paragraph">
    <w:name w:val="heading 1"/>
    <w:basedOn w:val="Normal"/>
    <w:next w:val="BodyText"/>
    <w:link w:val="Heading1Char"/>
    <w:uiPriority w:val="9"/>
    <w:qFormat/>
    <w:rsid w:val="00A10FD9"/>
    <w:pPr>
      <w:keepNext/>
      <w:keepLines/>
      <w:spacing w:after="80" w:before="360"/>
      <w:outlineLvl w:val="0"/>
    </w:pPr>
    <w:rPr>
      <w:rFonts w:ascii="Times New Roman" w:cs="Times New Roman" w:eastAsia="Times New Roman" w:hAnsi="Times New Roman"/>
      <w:b/>
      <w:i w:val="0"/>
      <w:sz w:val="24"/>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imes New Roman" w:cs="Times New Roman" w:eastAsia="Times New Roman" w:hAnsi="Times New Roman"/>
      <w:b w:val="0"/>
      <w:i/>
      <w:sz w:val="24"/>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ascii="Times New Roman" w:cs="Times New Roman" w:eastAsia="Times New Roman" w:hAnsi="Times New Roman"/>
      <w:b w:val="0"/>
      <w:i/>
      <w:sz w:val="24"/>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ascii="Times New Roman" w:cs="Times New Roman" w:eastAsia="Times New Roman" w:hAnsi="Times New Roman"/>
      <w:b w:val="0"/>
      <w:i/>
      <w:iCs/>
      <w:sz w:val="24"/>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ascii="Times New Roman" w:cs="Times New Roman" w:eastAsia="Times New Roman" w:hAnsi="Times New Roman"/>
      <w:b w:val="0"/>
      <w:i/>
      <w:sz w:val="24"/>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ascii="Times New Roman" w:cs="Times New Roman" w:eastAsia="Times New Roman" w:hAnsi="Times New Roman"/>
      <w:b w:val="0"/>
      <w:i/>
      <w:iCs/>
      <w:sz w:val="24"/>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ascii="Times New Roman" w:cs="Times New Roman" w:eastAsia="Times New Roman" w:hAnsi="Times New Roman"/>
      <w:b w:val="0"/>
      <w:i/>
      <w:sz w:val="24"/>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ascii="Times New Roman" w:cs="Times New Roman" w:eastAsia="Times New Roman" w:hAnsi="Times New Roman"/>
      <w:b w:val="0"/>
      <w:i/>
      <w:iCs/>
      <w:sz w:val="24"/>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ascii="Times New Roman" w:cs="Times New Roman" w:eastAsia="Times New Roman" w:hAnsi="Times New Roman"/>
      <w:b w:val="0"/>
      <w:i/>
      <w:sz w:val="24"/>
    </w:rPr>
  </w:style>
  <w:style w:customStyle="1" w:styleId="Heading1Char" w:type="character">
    <w:name w:val="Heading 1 Char"/>
    <w:basedOn w:val="DefaultParagraphFont"/>
    <w:link w:val="Heading1"/>
    <w:uiPriority w:val="9"/>
    <w:rsid w:val="00A10FD9"/>
    <w:rPr>
      <w:rFonts w:ascii="Times New Roman" w:cs="Times New Roman" w:eastAsia="Times New Roman" w:hAnsi="Times New Roman"/>
      <w:b/>
      <w:i w:val="0"/>
      <w:sz w:val="24"/>
      <w:szCs w:val="40"/>
    </w:rPr>
  </w:style>
  <w:style w:customStyle="1" w:styleId="Heading2Char" w:type="character">
    <w:name w:val="Heading 2 Char"/>
    <w:basedOn w:val="DefaultParagraphFont"/>
    <w:link w:val="Heading2"/>
    <w:uiPriority w:val="9"/>
    <w:semiHidden/>
    <w:rsid w:val="00A10FD9"/>
    <w:rPr>
      <w:rFonts w:ascii="Times New Roman" w:cs="Times New Roman" w:eastAsia="Times New Roman" w:hAnsi="Times New Roman"/>
      <w:b w:val="0"/>
      <w:i/>
      <w:sz w:val="24"/>
      <w:szCs w:val="32"/>
    </w:rPr>
  </w:style>
  <w:style w:customStyle="1" w:styleId="Heading3Char" w:type="character">
    <w:name w:val="Heading 3 Char"/>
    <w:basedOn w:val="DefaultParagraphFont"/>
    <w:link w:val="Heading3"/>
    <w:uiPriority w:val="9"/>
    <w:semiHidden/>
    <w:rsid w:val="00A10FD9"/>
    <w:rPr>
      <w:rFonts w:ascii="Times New Roman" w:cs="Times New Roman" w:eastAsia="Times New Roman" w:hAnsi="Times New Roman"/>
      <w:b w:val="0"/>
      <w:i/>
      <w:sz w:val="24"/>
      <w:szCs w:val="28"/>
    </w:rPr>
  </w:style>
  <w:style w:customStyle="1" w:styleId="Heading4Char" w:type="character">
    <w:name w:val="Heading 4 Char"/>
    <w:basedOn w:val="DefaultParagraphFont"/>
    <w:link w:val="Heading4"/>
    <w:uiPriority w:val="9"/>
    <w:semiHidden/>
    <w:rsid w:val="00A10FD9"/>
    <w:rPr>
      <w:rFonts w:ascii="Times New Roman" w:cs="Times New Roman" w:eastAsia="Times New Roman" w:hAnsi="Times New Roman"/>
      <w:b w:val="0"/>
      <w:i/>
      <w:iCs/>
      <w:sz w:val="24"/>
    </w:rPr>
  </w:style>
  <w:style w:customStyle="1" w:styleId="Heading5Char" w:type="character">
    <w:name w:val="Heading 5 Char"/>
    <w:basedOn w:val="DefaultParagraphFont"/>
    <w:link w:val="Heading5"/>
    <w:uiPriority w:val="9"/>
    <w:semiHidden/>
    <w:rsid w:val="00A10FD9"/>
    <w:rPr>
      <w:rFonts w:ascii="Times New Roman" w:cs="Times New Roman" w:eastAsia="Times New Roman" w:hAnsi="Times New Roman"/>
      <w:b w:val="0"/>
      <w:i/>
      <w:sz w:val="24"/>
    </w:rPr>
  </w:style>
  <w:style w:customStyle="1" w:styleId="Heading6Char" w:type="character">
    <w:name w:val="Heading 6 Char"/>
    <w:basedOn w:val="DefaultParagraphFont"/>
    <w:link w:val="Heading6"/>
    <w:uiPriority w:val="9"/>
    <w:semiHidden/>
    <w:rsid w:val="00A10FD9"/>
    <w:rPr>
      <w:rFonts w:ascii="Times New Roman" w:cs="Times New Roman" w:eastAsia="Times New Roman" w:hAnsi="Times New Roman"/>
      <w:b w:val="0"/>
      <w:i/>
      <w:iCs/>
      <w:sz w:val="24"/>
    </w:rPr>
  </w:style>
  <w:style w:customStyle="1" w:styleId="Heading7Char" w:type="character">
    <w:name w:val="Heading 7 Char"/>
    <w:basedOn w:val="DefaultParagraphFont"/>
    <w:link w:val="Heading7"/>
    <w:uiPriority w:val="9"/>
    <w:semiHidden/>
    <w:rsid w:val="00A10FD9"/>
    <w:rPr>
      <w:rFonts w:ascii="Times New Roman" w:cs="Times New Roman" w:eastAsia="Times New Roman" w:hAnsi="Times New Roman"/>
      <w:b w:val="0"/>
      <w:i/>
      <w:sz w:val="24"/>
    </w:rPr>
  </w:style>
  <w:style w:customStyle="1" w:styleId="Heading8Char" w:type="character">
    <w:name w:val="Heading 8 Char"/>
    <w:basedOn w:val="DefaultParagraphFont"/>
    <w:link w:val="Heading8"/>
    <w:uiPriority w:val="9"/>
    <w:semiHidden/>
    <w:rsid w:val="00A10FD9"/>
    <w:rPr>
      <w:rFonts w:ascii="Times New Roman" w:cs="Times New Roman" w:eastAsia="Times New Roman" w:hAnsi="Times New Roman"/>
      <w:b w:val="0"/>
      <w:i/>
      <w:iCs/>
      <w:sz w:val="24"/>
    </w:rPr>
  </w:style>
  <w:style w:customStyle="1" w:styleId="Heading9Char" w:type="character">
    <w:name w:val="Heading 9 Char"/>
    <w:basedOn w:val="DefaultParagraphFont"/>
    <w:link w:val="Heading9"/>
    <w:uiPriority w:val="9"/>
    <w:semiHidden/>
    <w:rsid w:val="00A10FD9"/>
    <w:rPr>
      <w:rFonts w:ascii="Times New Roman" w:cs="Times New Roman" w:eastAsia="Times New Roman" w:hAnsi="Times New Roman"/>
      <w:b w:val="0"/>
      <w:i/>
      <w:sz w:val="24"/>
    </w:rPr>
  </w:style>
  <w:style w:styleId="BlockText" w:type="paragraph">
    <w:name w:val="Block Text"/>
    <w:basedOn w:val="BodyText"/>
    <w:next w:val="BodyText"/>
    <w:uiPriority w:val="9"/>
    <w:unhideWhenUsed/>
    <w:qFormat/>
    <w:pPr>
      <w:spacing w:after="100" w:before="100"/>
      <w:ind w:firstLine="0" w:left="480" w:right="480"/>
    </w:pPr>
    <w:rPr>
      <w:rFonts w:ascii="Times New Roman" w:cs="Times New Roman" w:eastAsia="Times New Roman" w:hAnsi="Times New Roman"/>
      <w:sz w:val="24"/>
    </w:rPr>
  </w:style>
  <w:style w:styleId="FootnoteText" w:type="paragraph">
    <w:name w:val="Footnote Text"/>
    <w:basedOn w:val="Normal"/>
    <w:next w:val="FootnoteText"/>
    <w:uiPriority w:val="9"/>
    <w:unhideWhenUsed/>
    <w:qFormat/>
    <w:rPr>
      <w:rFonts w:ascii="Times New Roman" w:cs="Times New Roman" w:eastAsia="Times New Roman" w:hAnsi="Times New Roman"/>
      <w:sz w:val="20"/>
    </w:rPr>
  </w:style>
  <w:style w:styleId="FootnoteBlockText" w:type="paragraph">
    <w:name w:val="Footnote Block Text"/>
    <w:basedOn w:val="FootnoteText"/>
    <w:next w:val="FootnoteText"/>
    <w:uiPriority w:val="9"/>
    <w:unhideWhenUsed/>
    <w:qFormat/>
    <w:pPr>
      <w:spacing w:after="100" w:before="100"/>
      <w:ind w:firstLine="0" w:left="480" w:right="480"/>
    </w:pPr>
    <w:rPr>
      <w:rFonts w:ascii="Times New Roman" w:cs="Times New Roman" w:eastAsia="Times New Roman" w:hAnsi="Times New Roman"/>
      <w:sz w:val="20"/>
    </w:rPr>
  </w:style>
  <w:style w:default="1" w:styleId="DefaultParagraphFont" w:type="character">
    <w:name w:val="Default Paragraph Font"/>
    <w:semiHidden/>
    <w:unhideWhenUsed/>
    <w:rPr>
      <w:rFonts w:ascii="Times New Roman" w:cs="Times New Roman" w:eastAsia="Times New Roman" w:hAnsi="Times New Roman"/>
      <w:sz w:val="24"/>
    </w:rPr>
  </w:style>
  <w:style w:default="1" w:styleId="Table" w:type="table">
    <w:name w:val="Table"/>
    <w:basedOn w:val="TableNormal"/>
    <w:semiHidden/>
    <w:unhideWhenUsed/>
    <w:qFormat/>
    <w:rPr>
      <w:rFonts w:ascii="Times New Roman" w:cs="Times New Roman" w:eastAsia="Times New Roman" w:hAnsi="Times New Roman"/>
      <w:color w:val="000000"/>
      <w:sz w:val="24"/>
    </w:rPr>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rFonts w:ascii="Times New Roman" w:cs="Times New Roman" w:eastAsia="Times New Roman" w:hAnsi="Times New Roman"/>
      <w:b/>
      <w:sz w:val="24"/>
    </w:rPr>
  </w:style>
  <w:style w:customStyle="1" w:styleId="Definition" w:type="paragraph">
    <w:name w:val="Definition"/>
    <w:basedOn w:val="Normal"/>
    <w:rPr>
      <w:rFonts w:ascii="Times New Roman" w:cs="Times New Roman" w:eastAsia="Times New Roman" w:hAnsi="Times New Roman"/>
      <w:sz w:val="24"/>
    </w:rPr>
  </w:style>
  <w:style w:styleId="Caption" w:type="paragraph">
    <w:name w:val="Caption"/>
    <w:basedOn w:val="Normal"/>
    <w:link w:val="BodyTextChar"/>
    <w:pPr>
      <w:spacing w:after="120" w:before="0"/>
    </w:pPr>
    <w:rPr>
      <w:rFonts w:ascii="Times New Roman" w:cs="Times New Roman" w:eastAsia="Times New Roman" w:hAnsi="Times New Roman"/>
      <w:i/>
      <w:sz w:val="20"/>
    </w:rPr>
  </w:style>
  <w:style w:customStyle="1" w:styleId="TableCaption" w:type="paragraph">
    <w:name w:val="Table Caption"/>
    <w:basedOn w:val="Caption"/>
    <w:pPr>
      <w:keepNext/>
    </w:pPr>
    <w:rPr>
      <w:rFonts w:ascii="Times New Roman" w:cs="Times New Roman" w:eastAsia="Times New Roman" w:hAnsi="Times New Roman"/>
      <w:color w:val="000000"/>
      <w:sz w:val="24"/>
    </w:rPr>
  </w:style>
  <w:style w:customStyle="1" w:styleId="ImageCaption" w:type="paragraph">
    <w:name w:val="Image Caption"/>
    <w:basedOn w:val="Caption"/>
    <w:rPr>
      <w:rFonts w:ascii="Times New Roman" w:cs="Times New Roman" w:eastAsia="Times New Roman" w:hAnsi="Times New Roman"/>
      <w:sz w:val="20"/>
    </w:rPr>
  </w:style>
  <w:style w:customStyle="1" w:styleId="Figure" w:type="paragraph">
    <w:name w:val="Figure"/>
    <w:basedOn w:val="Normal"/>
    <w:rPr>
      <w:rFonts w:ascii="Times New Roman" w:cs="Times New Roman" w:eastAsia="Times New Roman" w:hAnsi="Times New Roman"/>
      <w:sz w:val="24"/>
    </w:rPr>
  </w:style>
  <w:style w:customStyle="1" w:styleId="CaptionedFigure" w:type="paragraph">
    <w:name w:val="Captioned Figure"/>
    <w:basedOn w:val="Figure"/>
    <w:pPr>
      <w:keepNext/>
    </w:pPr>
    <w:rPr>
      <w:rFonts w:ascii="Times New Roman" w:cs="Times New Roman" w:eastAsia="Times New Roman" w:hAnsi="Times New Roman"/>
      <w:sz w:val="20"/>
    </w:rPr>
  </w:style>
  <w:style w:customStyle="1" w:styleId="BodyTextChar" w:type="character">
    <w:name w:val="Body Text Char"/>
    <w:basedOn w:val="DefaultParagraphFont"/>
    <w:link w:val="BodyText"/>
    <w:rPr>
      <w:rFonts w:ascii="Times New Roman" w:cs="Times New Roman" w:eastAsia="Times New Roman" w:hAnsi="Times New Roman"/>
      <w:sz w:val="24"/>
    </w:rPr>
  </w:style>
  <w:style w:customStyle="1" w:styleId="VerbatimChar" w:type="character">
    <w:name w:val="Verbatim Char"/>
    <w:basedOn w:val="BodyTextChar"/>
    <w:rPr>
      <w:rFonts w:ascii="Times New Roman" w:cs="Times New Roman" w:eastAsia="Times New Roman" w:hAnsi="Times New Roman"/>
      <w:sz w:val="24"/>
    </w:rPr>
  </w:style>
  <w:style w:customStyle="1" w:styleId="SectionNumber" w:type="character">
    <w:name w:val="Section Number"/>
    <w:basedOn w:val="BodyTextChar"/>
    <w:rPr>
      <w:rFonts w:ascii="Times New Roman" w:cs="Times New Roman" w:eastAsia="Times New Roman" w:hAnsi="Times New Roman"/>
      <w:sz w:val="24"/>
    </w:rPr>
  </w:style>
  <w:style w:styleId="FootnoteReference" w:type="character">
    <w:name w:val="Footnote Reference"/>
    <w:basedOn w:val="BodyTextChar"/>
    <w:rPr>
      <w:rFonts w:ascii="Times New Roman" w:cs="Times New Roman" w:eastAsia="Times New Roman" w:hAnsi="Times New Roman"/>
      <w:sz w:val="20"/>
      <w:vertAlign w:val="superscript"/>
    </w:rPr>
  </w:style>
  <w:style w:styleId="Hyperlink" w:type="character">
    <w:name w:val="Hyperlink"/>
    <w:basedOn w:val="BodyTextChar"/>
    <w:rPr>
      <w:rFonts w:ascii="Times New Roman" w:cs="Times New Roman" w:eastAsia="Times New Roman" w:hAnsi="Times New Roman"/>
      <w:sz w:val="24"/>
    </w:rPr>
  </w:style>
  <w:style w:styleId="TOCHeading" w:type="paragraph">
    <w:name w:val="TOC Heading"/>
    <w:basedOn w:val="Heading1"/>
    <w:next w:val="BodyText"/>
    <w:uiPriority w:val="39"/>
    <w:unhideWhenUsed/>
    <w:qFormat/>
    <w:pPr>
      <w:spacing w:before="240" w:line="259" w:lineRule="auto"/>
      <w:outlineLvl w:val="9"/>
    </w:pPr>
    <w:rPr>
      <w:rFonts w:ascii="Times New Roman" w:cs="Times New Roman" w:eastAsia="Times New Roman" w:hAnsi="Times New Roman"/>
      <w:b w:val="0"/>
      <w:bCs w:val="0"/>
      <w:sz w:val="24"/>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2026-05-27T19:11:06Z</dcterms:created>
  <dcterms:modified xsi:type="dcterms:W3CDTF">2026-05-27T19:11:06Z</dcterms:modified>
</cp:coreProperties>
</file>

<file path=docProps/custom.xml><?xml version="1.0" encoding="utf-8"?>
<Properties xmlns="http://schemas.openxmlformats.org/officeDocument/2006/custom-properties" xmlns:vt="http://schemas.openxmlformats.org/officeDocument/2006/docPropsVTypes"/>
</file>