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Table S6.</w:t>
      </w:r>
      <w:r>
        <w:t xml:space="preserve"> </w:t>
      </w:r>
      <w:r>
        <w:t xml:space="preserve">Logistic model diagnostics for the multivariable model of</w:t>
      </w:r>
      <w:r>
        <w:t xml:space="preserve"> </w:t>
      </w:r>
      <w:r>
        <w:t xml:space="preserve">“hitting the wall”</w:t>
      </w:r>
      <w:r>
        <w:t xml:space="preserve"> </w:t>
      </w:r>
      <w:r>
        <w:t xml:space="preserve">(sex + age + performance category; reference categories: female, Casual). Analytical cohort: n = 855,061 (logistic-valid finishers from the 873,334 baseline; see Panel F for the exclusion cascade). All diagnostics produced by</w:t>
      </w:r>
      <w:r>
        <w:t xml:space="preserve"> </w:t>
      </w:r>
      <w:r>
        <w:rPr>
          <w:rStyle w:val="VerbatimChar"/>
        </w:rPr>
        <w:t xml:space="preserve">notebooks/r2_logistic_diagnostics.py</w:t>
      </w:r>
      <w:r>
        <w:t xml:space="preserve"> </w:t>
      </w:r>
      <w:r>
        <w:t xml:space="preserve">(see public repository); see Methods §Statistical Analysis for the rationale of each.</w:t>
      </w:r>
    </w:p>
    <w:bookmarkStart w:id="20" w:name="X96ae67a1d7a89ca0f2cd1f4c3c86f0222eda7a2"/>
    <w:p>
      <w:pPr>
        <w:pStyle w:val="Heading2"/>
      </w:pPr>
      <w:r>
        <w:t xml:space="preserve">Panel A — Variance Inflation Factors (target: &lt; 5)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Predictor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VIF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Sex (male vs female)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4.28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 (mid-point per 5-year bin)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4.51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Performance: Advanced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1.48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Performance: Competitive (&lt; 3 h)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1.16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Performance: Intermediate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1.84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Performance: Recreational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1.69</w:t>
            </w:r>
          </w:p>
        </w:tc>
      </w:tr>
    </w:tbl>
    <w:p>
      <w:pPr>
        <w:pStyle w:val="BodyText"/>
      </w:pPr>
      <w:r>
        <w:t xml:space="preserve">All VIFs are below the conventional threshold of 5, indicating that multicollinearity among the predictors is modest. Performance-category dummies show the lowest VIFs because the reference category (Casual) absorbs a substantial portion of the cohort.</w:t>
      </w:r>
    </w:p>
    <w:bookmarkEnd w:id="20"/>
    <w:bookmarkStart w:id="21" w:name="panel-b-goodness-of-fit"/>
    <w:p>
      <w:pPr>
        <w:pStyle w:val="Heading2"/>
      </w:pPr>
      <w:r>
        <w:t xml:space="preserve">Panel B — Goodness-of-fit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Model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McFadden’s R²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AIC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BIC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Log-likelihood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Main (linear age)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0.158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623,955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624,037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−311,971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Interaction (sex × age)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0.158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623,878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623,971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−311,931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</w:tr>
    </w:tbl>
    <w:p>
      <w:pPr>
        <w:pStyle w:val="BodyText"/>
      </w:pPr>
      <w:r>
        <w:t xml:space="preserve">The interaction model improves AIC by ~77 units; the magnitude of the interaction is small (per-year reduction in male disadvantage ≈ 0.7%) and the main-effect estimate is essentially unchanged.</w:t>
      </w:r>
    </w:p>
    <w:bookmarkEnd w:id="21"/>
    <w:bookmarkStart w:id="22" w:name="panel-c-calibration"/>
    <w:p>
      <w:pPr>
        <w:pStyle w:val="Heading2"/>
      </w:pPr>
      <w:r>
        <w:t xml:space="preserve">Panel C — Calibration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Value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10-fold CV calibration intercept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−0.0001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10-fold CV calibration slope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0.9999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Mean out-of-fold predicted probability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0.1562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(observed prevalence = 0.1562)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Hosmer-Lemeshow χ² (df = 8)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463.22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 &lt; 0.001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decile absolute deviation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Out-of-fold calibration is essentially exact (intercept ≈ 0, slope ≈ 1) and the mean predicted probability matches the observed event rate exactly. The Hosmer-Lemeshow chi-square is statistically significant; however, at n = 855,061 the HL test is known to detect trivial deviations from perfect fit, and the maximum decile-level deviation between predicted and observed rate is 1.7 percentage points (in the highest-risk decile), well within practical tolerance for descriptive use of the model. Decile-level detail and the calibration plot are reported in the response-letter appendix.</w:t>
      </w:r>
    </w:p>
    <w:bookmarkEnd w:id="22"/>
    <w:bookmarkStart w:id="23" w:name="X37029a27745fb2ccdb9265de3b029712ea414e4"/>
    <w:p>
      <w:pPr>
        <w:pStyle w:val="Heading2"/>
      </w:pPr>
      <w:r>
        <w:t xml:space="preserve">Panel D — Comparison of age parameterisations (likelihood-ratio test against linear age)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485"/>
        <w:gridCol w:w="1485"/>
        <w:gridCol w:w="1485"/>
        <w:gridCol w:w="1485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Comparison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LRT χ²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df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i/>
                <w:iCs/>
              </w:rPr>
              <w:t xml:space="preserve">p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ΔAIC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Quadratic age vs linear age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21.26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4.0 × 10⁻⁶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−19.3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Natural cubic spline (4 cols, knots at quantiles 10/50/90 → ages 32/42/57) vs linear age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57.02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2.6 × 10⁻¹²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−51.0</w:t>
            </w:r>
          </w:p>
        </w:tc>
      </w:tr>
    </w:tbl>
    <w:p>
      <w:pPr>
        <w:pStyle w:val="BodyText"/>
      </w:pPr>
      <w:r>
        <w:t xml:space="preserve">A non-linear age effect is statistically detectable at this sample size. The headline adjusted sex effect is, however, essentially unchanged across parameterisations: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Parameterisation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Sex (male) 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95% CI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Linear age (primary)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3.877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(3.812, 3.944)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Natural cubic spline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3.872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(3.807, 3.939)</w:t>
            </w:r>
          </w:p>
        </w:tc>
      </w:tr>
    </w:tbl>
    <w:p>
      <w:pPr>
        <w:pStyle w:val="BodyText"/>
      </w:pPr>
      <w:r>
        <w:t xml:space="preserve">The linear-age model is retained as the primary specification for transparency and ease of communication; the spline result is reported here as a sensitivity check demonstrating that the sex effect is not an artefact of the assumed age form.</w:t>
      </w:r>
    </w:p>
    <w:bookmarkEnd w:id="23"/>
    <w:bookmarkStart w:id="24" w:name="panel-e-pregibon-dbeta-influence-summary"/>
    <w:p>
      <w:pPr>
        <w:pStyle w:val="Heading2"/>
      </w:pPr>
      <w:r>
        <w:t xml:space="preserve">Panel E — Pregibon dbeta (influence summary)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Statistic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 total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855,061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dbeta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2.0 × 10⁻³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99th-percentile dbeta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8.8 × 10⁻⁵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99.9th-percentile dbeta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2.1 × 10⁻⁴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Observations with dbeta &gt;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No individual observation exerts undue influence on the estimated coefficients; the largest dbeta is three orders of magnitude below the conventional threshold of 1, consistent with the expectation that influence is small by construction at this sample size.</w:t>
      </w:r>
    </w:p>
    <w:bookmarkEnd w:id="24"/>
    <w:bookmarkStart w:id="25" w:name="panel-f-missing-data-exclusion-cascade"/>
    <w:p>
      <w:pPr>
        <w:pStyle w:val="Heading2"/>
      </w:pPr>
      <w:r>
        <w:t xml:space="preserve">Panel F — Missing-data exclusion cascade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62"/>
        <w:gridCol w:w="2262"/>
        <w:gridCol w:w="1697"/>
        <w:gridCol w:w="1697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 remaining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Excluded at this step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Raw archive (1999–2025)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Raw extraction from BMW Berlin Marathon archive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880,779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Physiological + cutoff filter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1:59:00 ≤ net finish ≤ 6:15:00; valid net finish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873,334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7,445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Pacing-valid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half-marathon and finish time present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872,670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Logistic-valid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Mappable to performance category AND age group present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855,061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17,609</w:t>
            </w:r>
          </w:p>
        </w:tc>
      </w:tr>
    </w:tbl>
    <w:p>
      <w:pPr>
        <w:pStyle w:val="BodyText"/>
      </w:pPr>
      <w:r>
        <w:t xml:space="preserve">The 17,609 records excluded between the pacing-valid and logistic-valid cohorts reflect runners whose finish time fell within physiological bounds but whose recorded age-group label was either missing or fell outside the standard 5-year bins between 20 and 80. These exclusions are not differential by sex.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cs="Times New Roman" w:eastAsia="Times New Roman" w:hAnsi="Times New Roman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  <w:rPr>
      <w:rFonts w:ascii="Times New Roman" w:cs="Times New Roman" w:eastAsia="Times New Roman" w:hAnsi="Times New Roman"/>
      <w:sz w:val="24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cs="Times New Roman" w:eastAsia="Times New Roman" w:hAnsi="Times New Roman"/>
      <w:sz w:val="24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cs="Times New Roman" w:eastAsia="Times New Roman" w:hAnsi="Times New Roman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Times New Roman" w:cs="Times New Roman" w:eastAsia="Times New Roman" w:hAnsi="Times New Roman"/>
      <w:b/>
      <w:i w:val="0"/>
      <w:sz w:val="24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Times New Roman" w:cs="Times New Roman" w:eastAsia="Times New Roman" w:hAnsi="Times New Roman"/>
      <w:b/>
      <w:i w:val="0"/>
      <w:sz w:val="24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ascii="Times New Roman" w:cs="Times New Roman" w:eastAsia="Times New Roman" w:hAnsi="Times New Roman"/>
      <w:spacing w:val="15"/>
      <w:sz w:val="24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ascii="Times New Roman" w:cs="Times New Roman" w:eastAsia="Times New Roman" w:hAnsi="Times New Roman"/>
      <w:spacing w:val="15"/>
      <w:sz w:val="24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rFonts w:ascii="Times New Roman" w:cs="Times New Roman" w:eastAsia="Times New Roman" w:hAnsi="Times New Roman"/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rFonts w:ascii="Times New Roman" w:cs="Times New Roman" w:eastAsia="Times New Roman" w:hAnsi="Times New Roman"/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rFonts w:ascii="Times New Roman" w:cs="Times New Roman" w:eastAsia="Times New Roman" w:hAnsi="Times New Roman"/>
      <w:b/>
      <w:sz w:val="24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cs="Times New Roman" w:eastAsia="Times New Roman" w:hAnsi="Times New Roman"/>
      <w:sz w:val="24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cs="Times New Roman" w:eastAsia="Times New Roman" w:hAnsi="Times New Roman"/>
      <w:sz w:val="24"/>
    </w:rPr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Times New Roman" w:cs="Times New Roman" w:eastAsia="Times New Roman" w:hAnsi="Times New Roman"/>
      <w:b/>
      <w:i w:val="0"/>
      <w:sz w:val="2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Times New Roman" w:cs="Times New Roman" w:eastAsia="Times New Roman" w:hAnsi="Times New Roman"/>
      <w:b w:val="0"/>
      <w:i/>
      <w:sz w:val="24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ascii="Times New Roman" w:cs="Times New Roman" w:eastAsia="Times New Roman" w:hAnsi="Times New Roman"/>
      <w:b w:val="0"/>
      <w:i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ascii="Times New Roman" w:cs="Times New Roman" w:eastAsia="Times New Roman" w:hAnsi="Times New Roman"/>
      <w:b w:val="0"/>
      <w:i/>
      <w:iCs/>
      <w:sz w:val="24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ascii="Times New Roman" w:cs="Times New Roman" w:eastAsia="Times New Roman" w:hAnsi="Times New Roman"/>
      <w:b w:val="0"/>
      <w:i/>
      <w:sz w:val="24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ascii="Times New Roman" w:cs="Times New Roman" w:eastAsia="Times New Roman" w:hAnsi="Times New Roman"/>
      <w:b w:val="0"/>
      <w:i/>
      <w:iCs/>
      <w:sz w:val="24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ascii="Times New Roman" w:cs="Times New Roman" w:eastAsia="Times New Roman" w:hAnsi="Times New Roman"/>
      <w:b w:val="0"/>
      <w:i/>
      <w:sz w:val="24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ascii="Times New Roman" w:cs="Times New Roman" w:eastAsia="Times New Roman" w:hAnsi="Times New Roman"/>
      <w:b w:val="0"/>
      <w:i/>
      <w:iCs/>
      <w:sz w:val="24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ascii="Times New Roman" w:cs="Times New Roman" w:eastAsia="Times New Roman" w:hAnsi="Times New Roman"/>
      <w:b w:val="0"/>
      <w:i/>
      <w:sz w:val="24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Times New Roman" w:cs="Times New Roman" w:eastAsia="Times New Roman" w:hAnsi="Times New Roman"/>
      <w:b/>
      <w:i w:val="0"/>
      <w:sz w:val="24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Times New Roman" w:cs="Times New Roman" w:eastAsia="Times New Roman" w:hAnsi="Times New Roman"/>
      <w:b w:val="0"/>
      <w:i/>
      <w:sz w:val="24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ascii="Times New Roman" w:cs="Times New Roman" w:eastAsia="Times New Roman" w:hAnsi="Times New Roman"/>
      <w:b w:val="0"/>
      <w:i/>
      <w:sz w:val="24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ascii="Times New Roman" w:cs="Times New Roman" w:eastAsia="Times New Roman" w:hAnsi="Times New Roman"/>
      <w:b w:val="0"/>
      <w:i/>
      <w:iCs/>
      <w:sz w:val="24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ascii="Times New Roman" w:cs="Times New Roman" w:eastAsia="Times New Roman" w:hAnsi="Times New Roman"/>
      <w:b w:val="0"/>
      <w:i/>
      <w:sz w:val="24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ascii="Times New Roman" w:cs="Times New Roman" w:eastAsia="Times New Roman" w:hAnsi="Times New Roman"/>
      <w:b w:val="0"/>
      <w:i/>
      <w:iCs/>
      <w:sz w:val="24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ascii="Times New Roman" w:cs="Times New Roman" w:eastAsia="Times New Roman" w:hAnsi="Times New Roman"/>
      <w:b w:val="0"/>
      <w:i/>
      <w:sz w:val="24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ascii="Times New Roman" w:cs="Times New Roman" w:eastAsia="Times New Roman" w:hAnsi="Times New Roman"/>
      <w:b w:val="0"/>
      <w:i/>
      <w:iCs/>
      <w:sz w:val="24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ascii="Times New Roman" w:cs="Times New Roman" w:eastAsia="Times New Roman" w:hAnsi="Times New Roman"/>
      <w:b w:val="0"/>
      <w:i/>
      <w:sz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sz w:val="24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cs="Times New Roman" w:eastAsia="Times New Roman" w:hAnsi="Times New Roman"/>
      <w:sz w:val="20"/>
    </w:rPr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sz w:val="20"/>
    </w:rPr>
  </w:style>
  <w:style w:default="1" w:styleId="DefaultParagraphFont" w:type="character">
    <w:name w:val="Default Paragraph Font"/>
    <w:semiHidden/>
    <w:unhideWhenUsed/>
    <w:rPr>
      <w:rFonts w:ascii="Times New Roman" w:cs="Times New Roman" w:eastAsia="Times New Roman" w:hAnsi="Times New Roman"/>
      <w:sz w:val="24"/>
    </w:rPr>
  </w:style>
  <w:style w:default="1" w:styleId="Table" w:type="table">
    <w:name w:val="Table"/>
    <w:basedOn w:val="TableNormal"/>
    <w:semiHidden/>
    <w:unhideWhenUsed/>
    <w:qFormat/>
    <w:rPr>
      <w:rFonts w:ascii="Times New Roman" w:cs="Times New Roman" w:eastAsia="Times New Roman" w:hAnsi="Times New Roman"/>
      <w:color w:val="000000"/>
      <w:sz w:val="24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cs="Times New Roman" w:eastAsia="Times New Roman" w:hAnsi="Times New Roman"/>
      <w:b/>
      <w:sz w:val="24"/>
    </w:rPr>
  </w:style>
  <w:style w:customStyle="1" w:styleId="Definition" w:type="paragraph">
    <w:name w:val="Definition"/>
    <w:basedOn w:val="Normal"/>
    <w:rPr>
      <w:rFonts w:ascii="Times New Roman" w:cs="Times New Roman" w:eastAsia="Times New Roman" w:hAnsi="Times New Roman"/>
      <w:sz w:val="24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cs="Times New Roman" w:eastAsia="Times New Roman" w:hAnsi="Times New Roman"/>
      <w:i/>
      <w:sz w:val="20"/>
    </w:rPr>
  </w:style>
  <w:style w:customStyle="1" w:styleId="TableCaption" w:type="paragraph">
    <w:name w:val="Table Caption"/>
    <w:basedOn w:val="Caption"/>
    <w:pPr>
      <w:keepNext/>
    </w:pPr>
    <w:rPr>
      <w:rFonts w:ascii="Times New Roman" w:cs="Times New Roman" w:eastAsia="Times New Roman" w:hAnsi="Times New Roman"/>
      <w:color w:val="000000"/>
      <w:sz w:val="24"/>
    </w:rPr>
  </w:style>
  <w:style w:customStyle="1" w:styleId="ImageCaption" w:type="paragraph">
    <w:name w:val="Image Caption"/>
    <w:basedOn w:val="Caption"/>
    <w:rPr>
      <w:rFonts w:ascii="Times New Roman" w:cs="Times New Roman" w:eastAsia="Times New Roman" w:hAnsi="Times New Roman"/>
      <w:sz w:val="20"/>
    </w:rPr>
  </w:style>
  <w:style w:customStyle="1" w:styleId="Figure" w:type="paragraph">
    <w:name w:val="Figure"/>
    <w:basedOn w:val="Normal"/>
    <w:rPr>
      <w:rFonts w:ascii="Times New Roman" w:cs="Times New Roman" w:eastAsia="Times New Roman" w:hAnsi="Times New Roman"/>
      <w:sz w:val="24"/>
    </w:rPr>
  </w:style>
  <w:style w:customStyle="1" w:styleId="CaptionedFigure" w:type="paragraph">
    <w:name w:val="Captioned Figure"/>
    <w:basedOn w:val="Figure"/>
    <w:pPr>
      <w:keepNext/>
    </w:pPr>
    <w:rPr>
      <w:rFonts w:ascii="Times New Roman" w:cs="Times New Roman" w:eastAsia="Times New Roman" w:hAnsi="Times New Roman"/>
      <w:sz w:val="20"/>
    </w:rPr>
  </w:style>
  <w:style w:customStyle="1" w:styleId="BodyTextChar" w:type="character">
    <w:name w:val="Body Text Char"/>
    <w:basedOn w:val="DefaultParagraphFont"/>
    <w:link w:val="BodyText"/>
    <w:rPr>
      <w:rFonts w:ascii="Times New Roman" w:cs="Times New Roman" w:eastAsia="Times New Roman" w:hAnsi="Times New Roman"/>
      <w:sz w:val="24"/>
    </w:rPr>
  </w:style>
  <w:style w:customStyle="1" w:styleId="VerbatimChar" w:type="character">
    <w:name w:val="Verbatim Char"/>
    <w:basedOn w:val="BodyTextChar"/>
    <w:rPr>
      <w:rFonts w:ascii="Times New Roman" w:cs="Times New Roman" w:eastAsia="Times New Roman" w:hAnsi="Times New Roman"/>
      <w:sz w:val="24"/>
    </w:rPr>
  </w:style>
  <w:style w:customStyle="1" w:styleId="SectionNumber" w:type="character">
    <w:name w:val="Section Number"/>
    <w:basedOn w:val="BodyTextChar"/>
    <w:rPr>
      <w:rFonts w:ascii="Times New Roman" w:cs="Times New Roman" w:eastAsia="Times New Roman" w:hAnsi="Times New Roman"/>
      <w:sz w:val="24"/>
    </w:rPr>
  </w:style>
  <w:style w:styleId="FootnoteReference" w:type="character">
    <w:name w:val="Footnote Reference"/>
    <w:basedOn w:val="BodyTextChar"/>
    <w:rPr>
      <w:rFonts w:ascii="Times New Roman" w:cs="Times New Roman" w:eastAsia="Times New Roman" w:hAnsi="Times New Roman"/>
      <w:sz w:val="20"/>
      <w:vertAlign w:val="superscript"/>
    </w:rPr>
  </w:style>
  <w:style w:styleId="Hyperlink" w:type="character">
    <w:name w:val="Hyperlink"/>
    <w:basedOn w:val="BodyTextChar"/>
    <w:rPr>
      <w:rFonts w:ascii="Times New Roman" w:cs="Times New Roman" w:eastAsia="Times New Roman" w:hAnsi="Times New Roman"/>
      <w:sz w:val="24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cs="Times New Roman" w:eastAsia="Times New Roman" w:hAnsi="Times New Roman"/>
      <w:b w:val="0"/>
      <w:bCs w:val="0"/>
      <w:sz w:val="24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2026-05-27T18:31:31Z</dcterms:created>
  <dcterms:modified xsi:type="dcterms:W3CDTF">2026-05-27T18:31:31Z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