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646" w:rsidRDefault="00296646" w:rsidP="00296646">
      <w:pPr>
        <w:suppressLineNumbers/>
        <w:tabs>
          <w:tab w:val="left" w:pos="2977"/>
        </w:tabs>
        <w:spacing w:before="100" w:beforeAutospacing="1" w:after="100" w:afterAutospacing="1" w:line="360" w:lineRule="auto"/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Supplementary material</w:t>
      </w:r>
    </w:p>
    <w:p w:rsidR="00296646" w:rsidRPr="009D6DE3" w:rsidRDefault="00296646" w:rsidP="00296646">
      <w:pPr>
        <w:suppressLineNumbers/>
        <w:tabs>
          <w:tab w:val="left" w:pos="2977"/>
        </w:tabs>
        <w:spacing w:before="100" w:beforeAutospacing="1" w:after="100" w:afterAutospacing="1" w:line="360" w:lineRule="auto"/>
        <w:jc w:val="center"/>
        <w:rPr>
          <w:rFonts w:ascii="Arial" w:hAnsi="Arial" w:cs="Arial"/>
          <w:b/>
          <w:lang w:val="en-US"/>
        </w:rPr>
      </w:pPr>
      <w:r w:rsidRPr="009D6DE3">
        <w:rPr>
          <w:rFonts w:ascii="Arial" w:hAnsi="Arial" w:cs="Arial"/>
          <w:b/>
          <w:lang w:val="en-US"/>
        </w:rPr>
        <w:t xml:space="preserve">Safety, tolerability and pharmacokinetic properties of intranasal artesunate in a first in human phase </w:t>
      </w:r>
      <w:proofErr w:type="gramStart"/>
      <w:r w:rsidRPr="009D6DE3">
        <w:rPr>
          <w:rFonts w:ascii="Arial" w:hAnsi="Arial" w:cs="Arial"/>
          <w:b/>
          <w:lang w:val="en-US"/>
        </w:rPr>
        <w:t>1</w:t>
      </w:r>
      <w:proofErr w:type="gramEnd"/>
      <w:r w:rsidRPr="009D6DE3">
        <w:rPr>
          <w:rFonts w:ascii="Arial" w:hAnsi="Arial" w:cs="Arial"/>
          <w:b/>
          <w:lang w:val="en-US"/>
        </w:rPr>
        <w:t xml:space="preserve"> trial.</w:t>
      </w:r>
    </w:p>
    <w:p w:rsidR="00296646" w:rsidRPr="009D6DE3" w:rsidRDefault="00296646" w:rsidP="00296646">
      <w:pPr>
        <w:suppressLineNumbers/>
        <w:tabs>
          <w:tab w:val="left" w:pos="2977"/>
        </w:tabs>
        <w:spacing w:before="100" w:beforeAutospacing="1" w:after="100" w:afterAutospacing="1" w:line="360" w:lineRule="auto"/>
        <w:rPr>
          <w:rFonts w:ascii="Arial" w:hAnsi="Arial" w:cs="Arial"/>
          <w:vertAlign w:val="superscript"/>
          <w:lang w:val="en-US"/>
        </w:rPr>
      </w:pPr>
      <w:r w:rsidRPr="009D6DE3">
        <w:rPr>
          <w:rFonts w:ascii="Arial" w:hAnsi="Arial" w:cs="Arial"/>
          <w:lang w:val="en-US"/>
        </w:rPr>
        <w:t>Karim Traore</w:t>
      </w:r>
      <w:r w:rsidRPr="009D6DE3">
        <w:rPr>
          <w:rFonts w:ascii="Arial" w:hAnsi="Arial" w:cs="Arial"/>
          <w:vertAlign w:val="superscript"/>
          <w:lang w:val="en-US"/>
        </w:rPr>
        <w:t>1,</w:t>
      </w:r>
      <w:r w:rsidRPr="009D6DE3">
        <w:rPr>
          <w:rFonts w:ascii="Arial" w:hAnsi="Arial" w:cs="Arial"/>
          <w:lang w:val="en-US"/>
        </w:rPr>
        <w:t>*†, Anne-Lise Bienvenu</w:t>
      </w:r>
      <w:r w:rsidRPr="009D6DE3">
        <w:rPr>
          <w:rFonts w:ascii="Arial" w:hAnsi="Arial" w:cs="Arial"/>
          <w:vertAlign w:val="superscript"/>
          <w:lang w:val="en-US"/>
        </w:rPr>
        <w:t>2</w:t>
      </w:r>
      <w:proofErr w:type="gramStart"/>
      <w:r w:rsidRPr="009D6DE3">
        <w:rPr>
          <w:rFonts w:ascii="Arial" w:hAnsi="Arial" w:cs="Arial"/>
          <w:vertAlign w:val="superscript"/>
          <w:lang w:val="en-US"/>
        </w:rPr>
        <w:t>,3</w:t>
      </w:r>
      <w:proofErr w:type="gramEnd"/>
      <w:r w:rsidRPr="009D6DE3">
        <w:rPr>
          <w:rFonts w:ascii="Arial" w:hAnsi="Arial" w:cs="Arial"/>
          <w:vertAlign w:val="superscript"/>
          <w:lang w:val="en-US"/>
        </w:rPr>
        <w:t>,</w:t>
      </w:r>
      <w:r w:rsidRPr="009D6DE3">
        <w:rPr>
          <w:rFonts w:ascii="Arial" w:hAnsi="Arial" w:cs="Arial"/>
          <w:lang w:val="en-US"/>
        </w:rPr>
        <w:t>*, Drissa Coulibaly</w:t>
      </w:r>
      <w:r w:rsidRPr="009D6DE3">
        <w:rPr>
          <w:rFonts w:ascii="Arial" w:hAnsi="Arial" w:cs="Arial"/>
          <w:vertAlign w:val="superscript"/>
          <w:lang w:val="en-US"/>
        </w:rPr>
        <w:t>1</w:t>
      </w:r>
      <w:r w:rsidRPr="009D6DE3">
        <w:rPr>
          <w:rFonts w:ascii="Arial" w:hAnsi="Arial" w:cs="Arial"/>
          <w:lang w:val="en-US"/>
        </w:rPr>
        <w:t>, Abdoulaye Kassoum Kone</w:t>
      </w:r>
      <w:r w:rsidRPr="009D6DE3">
        <w:rPr>
          <w:rFonts w:ascii="Arial" w:hAnsi="Arial" w:cs="Arial"/>
          <w:vertAlign w:val="superscript"/>
          <w:lang w:val="en-US"/>
        </w:rPr>
        <w:t>1</w:t>
      </w:r>
      <w:r w:rsidRPr="009D6DE3">
        <w:rPr>
          <w:rFonts w:ascii="Arial" w:hAnsi="Arial" w:cs="Arial"/>
          <w:lang w:val="en-US"/>
        </w:rPr>
        <w:t xml:space="preserve">, </w:t>
      </w:r>
      <w:proofErr w:type="spellStart"/>
      <w:r w:rsidRPr="009D6DE3">
        <w:rPr>
          <w:rFonts w:ascii="Arial" w:hAnsi="Arial" w:cs="Arial"/>
          <w:lang w:val="en-US"/>
        </w:rPr>
        <w:t>Amatigue</w:t>
      </w:r>
      <w:proofErr w:type="spellEnd"/>
      <w:r w:rsidRPr="009D6DE3">
        <w:rPr>
          <w:rFonts w:ascii="Arial" w:hAnsi="Arial" w:cs="Arial"/>
          <w:lang w:val="en-US"/>
        </w:rPr>
        <w:t xml:space="preserve"> Zeguime</w:t>
      </w:r>
      <w:r w:rsidRPr="009D6DE3">
        <w:rPr>
          <w:rFonts w:ascii="Arial" w:hAnsi="Arial" w:cs="Arial"/>
          <w:vertAlign w:val="superscript"/>
          <w:lang w:val="en-US"/>
        </w:rPr>
        <w:t>1</w:t>
      </w:r>
      <w:r w:rsidRPr="009D6DE3">
        <w:rPr>
          <w:rFonts w:ascii="Arial" w:hAnsi="Arial" w:cs="Arial"/>
          <w:lang w:val="en-US"/>
        </w:rPr>
        <w:t>, Karim Bengaly</w:t>
      </w:r>
      <w:r w:rsidRPr="009D6DE3">
        <w:rPr>
          <w:rFonts w:ascii="Arial" w:hAnsi="Arial" w:cs="Arial"/>
          <w:vertAlign w:val="superscript"/>
          <w:lang w:val="en-US"/>
        </w:rPr>
        <w:t>1</w:t>
      </w:r>
      <w:r w:rsidRPr="009D6DE3">
        <w:rPr>
          <w:rFonts w:ascii="Arial" w:hAnsi="Arial" w:cs="Arial"/>
          <w:lang w:val="en-US"/>
        </w:rPr>
        <w:t>, Mohamed Cisse</w:t>
      </w:r>
      <w:r w:rsidRPr="009D6DE3">
        <w:rPr>
          <w:rFonts w:ascii="Arial" w:hAnsi="Arial" w:cs="Arial"/>
          <w:vertAlign w:val="superscript"/>
          <w:lang w:val="en-US"/>
        </w:rPr>
        <w:t>1</w:t>
      </w:r>
      <w:r w:rsidRPr="009D6DE3">
        <w:rPr>
          <w:rFonts w:ascii="Arial" w:hAnsi="Arial" w:cs="Arial"/>
          <w:lang w:val="en-US"/>
        </w:rPr>
        <w:t>, Joel Tarning</w:t>
      </w:r>
      <w:r w:rsidRPr="009D6DE3">
        <w:rPr>
          <w:rFonts w:ascii="Arial" w:hAnsi="Arial" w:cs="Arial"/>
          <w:vertAlign w:val="superscript"/>
          <w:lang w:val="en-US"/>
        </w:rPr>
        <w:t>4,5,</w:t>
      </w:r>
      <w:r w:rsidRPr="009D6DE3">
        <w:rPr>
          <w:rFonts w:ascii="Arial" w:hAnsi="Arial" w:cs="Arial"/>
          <w:lang w:val="en-US"/>
        </w:rPr>
        <w:t>**, Mahamadou Ali Thera</w:t>
      </w:r>
      <w:r w:rsidRPr="009D6DE3">
        <w:rPr>
          <w:rFonts w:ascii="Arial" w:hAnsi="Arial" w:cs="Arial"/>
          <w:vertAlign w:val="superscript"/>
          <w:lang w:val="en-US"/>
        </w:rPr>
        <w:t>1,</w:t>
      </w:r>
      <w:r w:rsidRPr="009D6DE3">
        <w:rPr>
          <w:rFonts w:ascii="Arial" w:hAnsi="Arial" w:cs="Arial"/>
          <w:lang w:val="en-US"/>
        </w:rPr>
        <w:t>**, Stephane Picot</w:t>
      </w:r>
      <w:r w:rsidRPr="009D6DE3">
        <w:rPr>
          <w:rFonts w:ascii="Arial" w:hAnsi="Arial" w:cs="Arial"/>
          <w:vertAlign w:val="superscript"/>
          <w:lang w:val="en-US"/>
        </w:rPr>
        <w:t>2,6,7,</w:t>
      </w:r>
      <w:r w:rsidRPr="009D6DE3">
        <w:rPr>
          <w:rFonts w:ascii="Arial" w:hAnsi="Arial" w:cs="Arial"/>
          <w:lang w:val="en-US"/>
        </w:rPr>
        <w:t>**</w:t>
      </w:r>
      <w:r w:rsidRPr="009D6DE3">
        <w:rPr>
          <w:rFonts w:ascii="Arial" w:hAnsi="Arial" w:cs="Arial"/>
          <w:vertAlign w:val="superscript"/>
          <w:lang w:val="en-US"/>
        </w:rPr>
        <w:t xml:space="preserve">, </w:t>
      </w:r>
      <w:r w:rsidRPr="009D6DE3">
        <w:rPr>
          <w:rFonts w:ascii="Arial" w:hAnsi="Arial" w:cs="Arial"/>
          <w:lang w:val="en-US"/>
        </w:rPr>
        <w:t>ª</w:t>
      </w:r>
    </w:p>
    <w:p w:rsidR="00296646" w:rsidRPr="00296646" w:rsidRDefault="00296646" w:rsidP="00296646">
      <w:pPr>
        <w:pStyle w:val="Sansinterligne"/>
        <w:spacing w:line="360" w:lineRule="auto"/>
        <w:jc w:val="both"/>
        <w:rPr>
          <w:rFonts w:ascii="Arial" w:hAnsi="Arial" w:cs="Arial"/>
          <w:lang w:val="en-US"/>
        </w:rPr>
      </w:pPr>
    </w:p>
    <w:p w:rsidR="00296646" w:rsidRPr="005B000E" w:rsidRDefault="00296646" w:rsidP="00766A43">
      <w:pPr>
        <w:pStyle w:val="Sansinterligne"/>
        <w:spacing w:line="360" w:lineRule="auto"/>
        <w:ind w:left="792"/>
        <w:jc w:val="both"/>
        <w:outlineLvl w:val="1"/>
        <w:rPr>
          <w:rFonts w:ascii="Arial" w:hAnsi="Arial" w:cs="Arial"/>
          <w:b/>
          <w:lang w:val="en-US"/>
        </w:rPr>
      </w:pPr>
      <w:bookmarkStart w:id="0" w:name="_Toc125102089"/>
      <w:r w:rsidRPr="005B000E">
        <w:rPr>
          <w:rFonts w:ascii="Arial" w:hAnsi="Arial" w:cs="Arial"/>
          <w:b/>
          <w:lang w:val="en-US"/>
        </w:rPr>
        <w:t>Inclusion Criteria</w:t>
      </w:r>
      <w:bookmarkEnd w:id="0"/>
    </w:p>
    <w:p w:rsidR="00296646" w:rsidRPr="00F27421" w:rsidRDefault="00296646" w:rsidP="00296646">
      <w:pPr>
        <w:pStyle w:val="Sansinterligne"/>
        <w:spacing w:line="360" w:lineRule="auto"/>
        <w:jc w:val="both"/>
        <w:rPr>
          <w:rFonts w:ascii="Arial" w:hAnsi="Arial" w:cs="Arial"/>
          <w:lang w:val="en-US"/>
        </w:rPr>
      </w:pPr>
      <w:r w:rsidRPr="00F27421">
        <w:rPr>
          <w:rFonts w:ascii="Arial" w:hAnsi="Arial" w:cs="Arial"/>
          <w:lang w:val="en-US"/>
        </w:rPr>
        <w:t>Potential subjects are required to meet all of the following criteria for enrollment into the study:</w:t>
      </w:r>
    </w:p>
    <w:p w:rsidR="00296646" w:rsidRPr="0097579B" w:rsidRDefault="00296646" w:rsidP="00296646">
      <w:pPr>
        <w:pStyle w:val="Sansinterligne"/>
        <w:spacing w:line="360" w:lineRule="auto"/>
        <w:jc w:val="both"/>
        <w:rPr>
          <w:rFonts w:ascii="Arial" w:hAnsi="Arial" w:cs="Arial"/>
          <w:lang w:val="en-US"/>
        </w:rPr>
      </w:pPr>
      <w:r w:rsidRPr="0097579B">
        <w:rPr>
          <w:rFonts w:ascii="Arial" w:hAnsi="Arial" w:cs="Arial"/>
          <w:lang w:val="en-US"/>
        </w:rPr>
        <w:t>1.</w:t>
      </w:r>
      <w:r w:rsidRPr="0097579B">
        <w:rPr>
          <w:rFonts w:ascii="Arial" w:hAnsi="Arial" w:cs="Arial"/>
          <w:lang w:val="en-US"/>
        </w:rPr>
        <w:tab/>
        <w:t>Healthy adults between the ages 18-25 (inclusive);</w:t>
      </w:r>
    </w:p>
    <w:p w:rsidR="00296646" w:rsidRPr="0097579B" w:rsidRDefault="00296646" w:rsidP="00296646">
      <w:pPr>
        <w:pStyle w:val="Sansinterligne"/>
        <w:spacing w:line="360" w:lineRule="auto"/>
        <w:jc w:val="both"/>
        <w:rPr>
          <w:rFonts w:ascii="Arial" w:hAnsi="Arial" w:cs="Arial"/>
          <w:lang w:val="en-US"/>
        </w:rPr>
      </w:pPr>
      <w:r w:rsidRPr="0097579B">
        <w:rPr>
          <w:rFonts w:ascii="Arial" w:hAnsi="Arial" w:cs="Arial"/>
          <w:lang w:val="en-US"/>
        </w:rPr>
        <w:t>2.</w:t>
      </w:r>
      <w:r w:rsidRPr="0097579B">
        <w:rPr>
          <w:rFonts w:ascii="Arial" w:hAnsi="Arial" w:cs="Arial"/>
          <w:lang w:val="en-US"/>
        </w:rPr>
        <w:tab/>
        <w:t>Able and willing to provide written, informed consent;</w:t>
      </w:r>
    </w:p>
    <w:p w:rsidR="00296646" w:rsidRPr="0097579B" w:rsidRDefault="00296646" w:rsidP="00296646">
      <w:pPr>
        <w:pStyle w:val="Sansinterligne"/>
        <w:spacing w:line="360" w:lineRule="auto"/>
        <w:jc w:val="both"/>
        <w:rPr>
          <w:rFonts w:ascii="Arial" w:hAnsi="Arial" w:cs="Arial"/>
          <w:lang w:val="en-US"/>
        </w:rPr>
      </w:pPr>
      <w:r w:rsidRPr="0097579B">
        <w:rPr>
          <w:rFonts w:ascii="Arial" w:hAnsi="Arial" w:cs="Arial"/>
          <w:lang w:val="en-US"/>
        </w:rPr>
        <w:t>3.</w:t>
      </w:r>
      <w:r w:rsidRPr="0097579B">
        <w:rPr>
          <w:rFonts w:ascii="Arial" w:hAnsi="Arial" w:cs="Arial"/>
          <w:lang w:val="en-US"/>
        </w:rPr>
        <w:tab/>
        <w:t>Able and willing to comply with all research requirements, in the opinion of the Investigator</w:t>
      </w:r>
      <w:proofErr w:type="gramStart"/>
      <w:r w:rsidRPr="0097579B">
        <w:rPr>
          <w:rFonts w:ascii="Arial" w:hAnsi="Arial" w:cs="Arial"/>
          <w:lang w:val="en-US"/>
        </w:rPr>
        <w:t>;</w:t>
      </w:r>
      <w:proofErr w:type="gramEnd"/>
    </w:p>
    <w:p w:rsidR="00296646" w:rsidRPr="0097579B" w:rsidRDefault="00296646" w:rsidP="00296646">
      <w:pPr>
        <w:pStyle w:val="Sansinterligne"/>
        <w:spacing w:line="360" w:lineRule="auto"/>
        <w:jc w:val="both"/>
        <w:rPr>
          <w:rFonts w:ascii="Arial" w:hAnsi="Arial" w:cs="Arial"/>
          <w:lang w:val="en-US"/>
        </w:rPr>
      </w:pPr>
      <w:r w:rsidRPr="0097579B">
        <w:rPr>
          <w:rFonts w:ascii="Arial" w:hAnsi="Arial" w:cs="Arial"/>
          <w:lang w:val="en-US"/>
        </w:rPr>
        <w:t>4.</w:t>
      </w:r>
      <w:r w:rsidRPr="0097579B">
        <w:rPr>
          <w:rFonts w:ascii="Arial" w:hAnsi="Arial" w:cs="Arial"/>
          <w:lang w:val="en-US"/>
        </w:rPr>
        <w:tab/>
        <w:t>Axillary temperature &lt; 37.5°C</w:t>
      </w:r>
    </w:p>
    <w:p w:rsidR="00296646" w:rsidRPr="0097579B" w:rsidRDefault="00296646" w:rsidP="00296646">
      <w:pPr>
        <w:pStyle w:val="Sansinterligne"/>
        <w:spacing w:line="360" w:lineRule="auto"/>
        <w:jc w:val="both"/>
        <w:rPr>
          <w:rFonts w:ascii="Arial" w:hAnsi="Arial" w:cs="Arial"/>
          <w:lang w:val="en-US"/>
        </w:rPr>
      </w:pPr>
      <w:r w:rsidRPr="0097579B">
        <w:rPr>
          <w:rFonts w:ascii="Arial" w:hAnsi="Arial" w:cs="Arial"/>
          <w:lang w:val="en-US"/>
        </w:rPr>
        <w:t>5.</w:t>
      </w:r>
      <w:r w:rsidRPr="0097579B">
        <w:rPr>
          <w:rFonts w:ascii="Arial" w:hAnsi="Arial" w:cs="Arial"/>
          <w:lang w:val="en-US"/>
        </w:rPr>
        <w:tab/>
        <w:t>Laboratory Criteria within 10 days before enrollment:</w:t>
      </w:r>
    </w:p>
    <w:p w:rsidR="00296646" w:rsidRPr="0097579B" w:rsidRDefault="00296646" w:rsidP="00296646">
      <w:pPr>
        <w:pStyle w:val="Sansinterligne"/>
        <w:spacing w:line="360" w:lineRule="auto"/>
        <w:ind w:left="708"/>
        <w:jc w:val="both"/>
        <w:rPr>
          <w:rFonts w:ascii="Arial" w:hAnsi="Arial" w:cs="Arial"/>
          <w:lang w:val="en-US"/>
        </w:rPr>
      </w:pPr>
      <w:r w:rsidRPr="0097579B">
        <w:rPr>
          <w:rFonts w:ascii="Arial" w:hAnsi="Arial" w:cs="Arial"/>
          <w:lang w:val="en-US"/>
        </w:rPr>
        <w:t>•</w:t>
      </w:r>
      <w:r w:rsidRPr="0097579B">
        <w:rPr>
          <w:rFonts w:ascii="Arial" w:hAnsi="Arial" w:cs="Arial"/>
          <w:lang w:val="en-US"/>
        </w:rPr>
        <w:tab/>
        <w:t>Hemoglobin ≥ 11.7 g/</w:t>
      </w:r>
      <w:proofErr w:type="spellStart"/>
      <w:r w:rsidRPr="0097579B">
        <w:rPr>
          <w:rFonts w:ascii="Arial" w:hAnsi="Arial" w:cs="Arial"/>
          <w:lang w:val="en-US"/>
        </w:rPr>
        <w:t>dL</w:t>
      </w:r>
      <w:proofErr w:type="spellEnd"/>
      <w:r w:rsidRPr="0097579B">
        <w:rPr>
          <w:rFonts w:ascii="Arial" w:hAnsi="Arial" w:cs="Arial"/>
          <w:lang w:val="en-US"/>
        </w:rPr>
        <w:t xml:space="preserve"> for women; ≥ 12.0 g/</w:t>
      </w:r>
      <w:proofErr w:type="spellStart"/>
      <w:r w:rsidRPr="0097579B">
        <w:rPr>
          <w:rFonts w:ascii="Arial" w:hAnsi="Arial" w:cs="Arial"/>
          <w:lang w:val="en-US"/>
        </w:rPr>
        <w:t>dL</w:t>
      </w:r>
      <w:proofErr w:type="spellEnd"/>
      <w:r w:rsidRPr="0097579B">
        <w:rPr>
          <w:rFonts w:ascii="Arial" w:hAnsi="Arial" w:cs="Arial"/>
          <w:lang w:val="en-US"/>
        </w:rPr>
        <w:t xml:space="preserve"> for men;</w:t>
      </w:r>
    </w:p>
    <w:p w:rsidR="00296646" w:rsidRPr="0097579B" w:rsidRDefault="00296646" w:rsidP="00296646">
      <w:pPr>
        <w:pStyle w:val="Sansinterligne"/>
        <w:spacing w:line="360" w:lineRule="auto"/>
        <w:ind w:left="708"/>
        <w:jc w:val="both"/>
        <w:rPr>
          <w:rFonts w:ascii="Arial" w:hAnsi="Arial" w:cs="Arial"/>
          <w:lang w:val="en-US"/>
        </w:rPr>
      </w:pPr>
      <w:r w:rsidRPr="0097579B">
        <w:rPr>
          <w:rFonts w:ascii="Arial" w:hAnsi="Arial" w:cs="Arial"/>
          <w:lang w:val="en-US"/>
        </w:rPr>
        <w:t>•</w:t>
      </w:r>
      <w:r w:rsidRPr="0097579B">
        <w:rPr>
          <w:rFonts w:ascii="Arial" w:hAnsi="Arial" w:cs="Arial"/>
          <w:lang w:val="en-US"/>
        </w:rPr>
        <w:tab/>
        <w:t>White Blood Cell count = 3,800-10,800 cells/mm3;</w:t>
      </w:r>
    </w:p>
    <w:p w:rsidR="00296646" w:rsidRPr="0097579B" w:rsidRDefault="00296646" w:rsidP="00296646">
      <w:pPr>
        <w:pStyle w:val="Sansinterligne"/>
        <w:spacing w:line="360" w:lineRule="auto"/>
        <w:ind w:left="708"/>
        <w:jc w:val="both"/>
        <w:rPr>
          <w:rFonts w:ascii="Arial" w:hAnsi="Arial" w:cs="Arial"/>
          <w:lang w:val="en-US"/>
        </w:rPr>
      </w:pPr>
      <w:r w:rsidRPr="0097579B">
        <w:rPr>
          <w:rFonts w:ascii="Arial" w:hAnsi="Arial" w:cs="Arial"/>
          <w:lang w:val="en-US"/>
        </w:rPr>
        <w:t>•</w:t>
      </w:r>
      <w:r w:rsidRPr="0097579B">
        <w:rPr>
          <w:rFonts w:ascii="Arial" w:hAnsi="Arial" w:cs="Arial"/>
          <w:lang w:val="en-US"/>
        </w:rPr>
        <w:tab/>
        <w:t>Platelets = &gt;140,000/mm3;</w:t>
      </w:r>
    </w:p>
    <w:p w:rsidR="00296646" w:rsidRPr="0097579B" w:rsidRDefault="00296646" w:rsidP="00296646">
      <w:pPr>
        <w:pStyle w:val="Sansinterligne"/>
        <w:spacing w:line="360" w:lineRule="auto"/>
        <w:jc w:val="both"/>
        <w:rPr>
          <w:rFonts w:ascii="Arial" w:hAnsi="Arial" w:cs="Arial"/>
          <w:lang w:val="en-US"/>
        </w:rPr>
      </w:pPr>
      <w:r w:rsidRPr="0097579B">
        <w:rPr>
          <w:rFonts w:ascii="Arial" w:hAnsi="Arial" w:cs="Arial"/>
          <w:lang w:val="en-US"/>
        </w:rPr>
        <w:t xml:space="preserve"> </w:t>
      </w:r>
    </w:p>
    <w:p w:rsidR="00296646" w:rsidRPr="0097579B" w:rsidRDefault="00296646" w:rsidP="00766A43">
      <w:pPr>
        <w:pStyle w:val="Sansinterligne"/>
        <w:spacing w:line="360" w:lineRule="auto"/>
        <w:ind w:left="792"/>
        <w:jc w:val="both"/>
        <w:outlineLvl w:val="1"/>
        <w:rPr>
          <w:rFonts w:ascii="Arial" w:hAnsi="Arial" w:cs="Arial"/>
          <w:b/>
          <w:lang w:val="en-US"/>
        </w:rPr>
      </w:pPr>
      <w:bookmarkStart w:id="1" w:name="section_5_2"/>
      <w:bookmarkStart w:id="2" w:name="_Toc8380292"/>
      <w:bookmarkStart w:id="3" w:name="_Toc125102090"/>
      <w:bookmarkStart w:id="4" w:name="_GoBack"/>
      <w:bookmarkEnd w:id="4"/>
      <w:r w:rsidRPr="0097579B">
        <w:rPr>
          <w:rFonts w:ascii="Arial" w:hAnsi="Arial" w:cs="Arial"/>
          <w:b/>
          <w:lang w:val="en-US"/>
        </w:rPr>
        <w:t>Exclusion criteria</w:t>
      </w:r>
      <w:bookmarkEnd w:id="1"/>
      <w:bookmarkEnd w:id="2"/>
      <w:bookmarkEnd w:id="3"/>
    </w:p>
    <w:p w:rsidR="00296646" w:rsidRDefault="00296646" w:rsidP="00296646">
      <w:pPr>
        <w:pStyle w:val="Sansinterligne"/>
        <w:spacing w:line="360" w:lineRule="auto"/>
        <w:rPr>
          <w:rFonts w:ascii="Arial" w:hAnsi="Arial" w:cs="Arial"/>
          <w:lang w:val="en-US"/>
        </w:rPr>
      </w:pPr>
      <w:r w:rsidRPr="0097579B">
        <w:rPr>
          <w:rFonts w:ascii="Arial" w:hAnsi="Arial" w:cs="Arial"/>
          <w:lang w:val="en-US"/>
        </w:rPr>
        <w:t>Subjects meeting any of the following criteria are not eligible for inclusion in this study. </w:t>
      </w:r>
    </w:p>
    <w:p w:rsidR="00296646" w:rsidRDefault="00296646" w:rsidP="00296646">
      <w:pPr>
        <w:pStyle w:val="Sansinterligne"/>
        <w:numPr>
          <w:ilvl w:val="0"/>
          <w:numId w:val="3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</w:t>
      </w:r>
      <w:r w:rsidRPr="0097579B">
        <w:rPr>
          <w:rFonts w:ascii="Arial" w:hAnsi="Arial" w:cs="Arial"/>
          <w:lang w:val="en-US"/>
        </w:rPr>
        <w:t>ges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sz w:val="18"/>
          <w:lang w:val="en-US"/>
        </w:rPr>
        <w:t>&lt;</w:t>
      </w:r>
      <w:r>
        <w:rPr>
          <w:rFonts w:ascii="Arial" w:hAnsi="Arial" w:cs="Arial"/>
          <w:lang w:val="en-US"/>
        </w:rPr>
        <w:t xml:space="preserve"> 18 or &gt; </w:t>
      </w:r>
      <w:r w:rsidRPr="0097579B">
        <w:rPr>
          <w:rFonts w:ascii="Arial" w:hAnsi="Arial" w:cs="Arial"/>
          <w:lang w:val="en-US"/>
        </w:rPr>
        <w:t>25;</w:t>
      </w:r>
    </w:p>
    <w:p w:rsidR="00296646" w:rsidRPr="0097579B" w:rsidRDefault="00296646" w:rsidP="00296646">
      <w:pPr>
        <w:pStyle w:val="Sansinterligne"/>
        <w:numPr>
          <w:ilvl w:val="0"/>
          <w:numId w:val="3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Pregnant or lactating female</w:t>
      </w:r>
    </w:p>
    <w:p w:rsidR="00296646" w:rsidRDefault="00296646" w:rsidP="00296646">
      <w:pPr>
        <w:pStyle w:val="Sansinterligne"/>
        <w:numPr>
          <w:ilvl w:val="0"/>
          <w:numId w:val="3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Not able or not</w:t>
      </w:r>
      <w:r w:rsidRPr="0097579B">
        <w:rPr>
          <w:rFonts w:ascii="Arial" w:hAnsi="Arial" w:cs="Arial"/>
          <w:lang w:val="en-US"/>
        </w:rPr>
        <w:t xml:space="preserve"> willing to provide written, informed consent;</w:t>
      </w:r>
    </w:p>
    <w:p w:rsidR="00296646" w:rsidRPr="0097579B" w:rsidRDefault="00296646" w:rsidP="00296646">
      <w:pPr>
        <w:pStyle w:val="Sansinterligne"/>
        <w:numPr>
          <w:ilvl w:val="0"/>
          <w:numId w:val="3"/>
        </w:numPr>
        <w:spacing w:line="360" w:lineRule="auto"/>
        <w:jc w:val="both"/>
        <w:rPr>
          <w:rFonts w:ascii="Arial" w:hAnsi="Arial" w:cs="Arial"/>
          <w:lang w:val="en-US"/>
        </w:rPr>
      </w:pPr>
      <w:r w:rsidRPr="0097579B">
        <w:rPr>
          <w:rFonts w:ascii="Arial" w:hAnsi="Arial" w:cs="Arial"/>
          <w:lang w:val="en-US"/>
        </w:rPr>
        <w:t xml:space="preserve">Signs and symptoms of severe or non-severe malaria according to WHO 2015 criteria </w:t>
      </w:r>
    </w:p>
    <w:p w:rsidR="00296646" w:rsidRPr="0097579B" w:rsidRDefault="00296646" w:rsidP="00296646">
      <w:pPr>
        <w:pStyle w:val="Sansinterligne"/>
        <w:numPr>
          <w:ilvl w:val="0"/>
          <w:numId w:val="3"/>
        </w:numPr>
        <w:spacing w:line="360" w:lineRule="auto"/>
        <w:jc w:val="both"/>
        <w:rPr>
          <w:rFonts w:ascii="Arial" w:hAnsi="Arial" w:cs="Arial"/>
          <w:lang w:val="en-US"/>
        </w:rPr>
      </w:pPr>
      <w:r w:rsidRPr="0097579B">
        <w:rPr>
          <w:rFonts w:ascii="Arial" w:hAnsi="Arial" w:cs="Arial"/>
          <w:lang w:val="en-US"/>
        </w:rPr>
        <w:t>Active infections including tuberculosis</w:t>
      </w:r>
    </w:p>
    <w:p w:rsidR="00296646" w:rsidRPr="0097579B" w:rsidRDefault="00296646" w:rsidP="00296646">
      <w:pPr>
        <w:pStyle w:val="Sansinterligne"/>
        <w:numPr>
          <w:ilvl w:val="0"/>
          <w:numId w:val="3"/>
        </w:numPr>
        <w:spacing w:line="360" w:lineRule="auto"/>
        <w:jc w:val="both"/>
        <w:rPr>
          <w:rFonts w:ascii="Arial" w:hAnsi="Arial" w:cs="Arial"/>
          <w:lang w:val="en-US"/>
        </w:rPr>
      </w:pPr>
      <w:r w:rsidRPr="0097579B">
        <w:rPr>
          <w:rFonts w:ascii="Arial" w:hAnsi="Arial" w:cs="Arial"/>
          <w:lang w:val="en-US"/>
        </w:rPr>
        <w:t>Axillary temperature ≥ 37.5°C</w:t>
      </w:r>
    </w:p>
    <w:p w:rsidR="00296646" w:rsidRPr="0097579B" w:rsidRDefault="00296646" w:rsidP="00296646">
      <w:pPr>
        <w:pStyle w:val="Sansinterligne"/>
        <w:numPr>
          <w:ilvl w:val="0"/>
          <w:numId w:val="3"/>
        </w:numPr>
        <w:spacing w:line="360" w:lineRule="auto"/>
        <w:jc w:val="both"/>
        <w:rPr>
          <w:rFonts w:ascii="Arial" w:hAnsi="Arial" w:cs="Arial"/>
          <w:lang w:val="en-US"/>
        </w:rPr>
      </w:pPr>
      <w:r w:rsidRPr="0097579B">
        <w:rPr>
          <w:rFonts w:ascii="Arial" w:hAnsi="Arial" w:cs="Arial"/>
          <w:lang w:val="en-US"/>
        </w:rPr>
        <w:t xml:space="preserve">Any confirmed or suspected immunosuppressive or </w:t>
      </w:r>
      <w:proofErr w:type="spellStart"/>
      <w:r w:rsidRPr="0097579B">
        <w:rPr>
          <w:rFonts w:ascii="Arial" w:hAnsi="Arial" w:cs="Arial"/>
          <w:lang w:val="en-US"/>
        </w:rPr>
        <w:t>immunodeficient</w:t>
      </w:r>
      <w:proofErr w:type="spellEnd"/>
      <w:r w:rsidRPr="0097579B">
        <w:rPr>
          <w:rFonts w:ascii="Arial" w:hAnsi="Arial" w:cs="Arial"/>
          <w:lang w:val="en-US"/>
        </w:rPr>
        <w:t xml:space="preserve"> condition, including human immunodeficiency virus (HIV) infection</w:t>
      </w:r>
    </w:p>
    <w:p w:rsidR="00296646" w:rsidRPr="0097579B" w:rsidRDefault="00296646" w:rsidP="00296646">
      <w:pPr>
        <w:pStyle w:val="Sansinterligne"/>
        <w:numPr>
          <w:ilvl w:val="0"/>
          <w:numId w:val="3"/>
        </w:numPr>
        <w:spacing w:line="360" w:lineRule="auto"/>
        <w:jc w:val="both"/>
        <w:rPr>
          <w:rFonts w:ascii="Arial" w:hAnsi="Arial" w:cs="Arial"/>
          <w:lang w:val="en-US"/>
        </w:rPr>
      </w:pPr>
      <w:r w:rsidRPr="0097579B">
        <w:rPr>
          <w:rFonts w:ascii="Arial" w:hAnsi="Arial" w:cs="Arial"/>
          <w:lang w:val="en-US"/>
        </w:rPr>
        <w:t>Severe malnutrition (body mass index (BMI) less than 70% of median normalized WHO reference weight)</w:t>
      </w:r>
    </w:p>
    <w:p w:rsidR="00296646" w:rsidRPr="0097579B" w:rsidRDefault="00296646" w:rsidP="00296646">
      <w:pPr>
        <w:pStyle w:val="Sansinterligne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en-US"/>
        </w:rPr>
      </w:pPr>
      <w:r w:rsidRPr="0097579B">
        <w:rPr>
          <w:rFonts w:ascii="Arial" w:hAnsi="Arial" w:cs="Arial"/>
          <w:lang w:val="en-US"/>
        </w:rPr>
        <w:t>Severe vomiting (defined as more than 3 times in the 24 hours prior to inclusion in the study) or severe diarrhea (defined as more than 3 watery stools in the 24 hours prior to inclusion in the study)</w:t>
      </w:r>
    </w:p>
    <w:p w:rsidR="00296646" w:rsidRPr="0097579B" w:rsidRDefault="00296646" w:rsidP="00296646">
      <w:pPr>
        <w:pStyle w:val="Sansinterligne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en-US"/>
        </w:rPr>
      </w:pPr>
      <w:r w:rsidRPr="0097579B">
        <w:rPr>
          <w:rFonts w:ascii="Arial" w:hAnsi="Arial" w:cs="Arial"/>
          <w:lang w:val="en-US"/>
        </w:rPr>
        <w:t>Anemia (Hemoglobin level &lt; 11</w:t>
      </w:r>
      <w:r>
        <w:rPr>
          <w:rFonts w:ascii="Arial" w:hAnsi="Arial" w:cs="Arial"/>
          <w:lang w:val="en-US"/>
        </w:rPr>
        <w:t>.7</w:t>
      </w:r>
      <w:r w:rsidRPr="0097579B">
        <w:rPr>
          <w:rFonts w:ascii="Arial" w:hAnsi="Arial" w:cs="Arial"/>
          <w:lang w:val="en-US"/>
        </w:rPr>
        <w:t xml:space="preserve"> g/</w:t>
      </w:r>
      <w:proofErr w:type="spellStart"/>
      <w:r w:rsidRPr="0097579B">
        <w:rPr>
          <w:rFonts w:ascii="Arial" w:hAnsi="Arial" w:cs="Arial"/>
          <w:lang w:val="en-US"/>
        </w:rPr>
        <w:t>dL</w:t>
      </w:r>
      <w:proofErr w:type="spellEnd"/>
      <w:r w:rsidRPr="0097579B">
        <w:rPr>
          <w:rFonts w:ascii="Arial" w:hAnsi="Arial" w:cs="Arial"/>
          <w:lang w:val="en-US"/>
        </w:rPr>
        <w:t>)</w:t>
      </w:r>
    </w:p>
    <w:p w:rsidR="00296646" w:rsidRPr="0097579B" w:rsidRDefault="00296646" w:rsidP="00296646">
      <w:pPr>
        <w:pStyle w:val="Sansinterligne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en-US"/>
        </w:rPr>
      </w:pPr>
      <w:r w:rsidRPr="0097579B">
        <w:rPr>
          <w:rFonts w:ascii="Arial" w:hAnsi="Arial" w:cs="Arial"/>
          <w:lang w:val="en-US"/>
        </w:rPr>
        <w:lastRenderedPageBreak/>
        <w:t xml:space="preserve">History of malignancy of any organ system (other than localized basal cell carcinoma of the skin or </w:t>
      </w:r>
      <w:r w:rsidRPr="0097579B">
        <w:rPr>
          <w:rFonts w:ascii="Arial" w:hAnsi="Arial" w:cs="Arial"/>
          <w:i/>
          <w:lang w:val="en-US"/>
        </w:rPr>
        <w:t>in situ</w:t>
      </w:r>
      <w:r w:rsidRPr="0097579B">
        <w:rPr>
          <w:rFonts w:ascii="Arial" w:hAnsi="Arial" w:cs="Arial"/>
          <w:lang w:val="en-US"/>
        </w:rPr>
        <w:t xml:space="preserve"> cervical cancer), treated or untreated, within the past 5 years, regardless of whether there is evidence of local recurrence or metastases</w:t>
      </w:r>
    </w:p>
    <w:p w:rsidR="00296646" w:rsidRPr="0097579B" w:rsidRDefault="00296646" w:rsidP="00296646">
      <w:pPr>
        <w:pStyle w:val="Sansinterligne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en-US"/>
        </w:rPr>
      </w:pPr>
      <w:r w:rsidRPr="0097579B">
        <w:rPr>
          <w:rFonts w:ascii="Arial" w:hAnsi="Arial" w:cs="Arial"/>
          <w:lang w:val="en-US"/>
        </w:rPr>
        <w:t>Known chronic underlying disease such as sickle cell disease, and severe cardiac, renal, or hepatic impairment</w:t>
      </w:r>
    </w:p>
    <w:p w:rsidR="00296646" w:rsidRPr="0097579B" w:rsidRDefault="00296646" w:rsidP="00296646">
      <w:pPr>
        <w:pStyle w:val="Sansinterligne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en-US"/>
        </w:rPr>
      </w:pPr>
      <w:r w:rsidRPr="0097579B">
        <w:rPr>
          <w:rFonts w:ascii="Arial" w:hAnsi="Arial" w:cs="Arial"/>
          <w:lang w:val="en-US"/>
        </w:rPr>
        <w:t>Known active or uncontrolled ear, nose and throat (ENT) disease</w:t>
      </w:r>
    </w:p>
    <w:p w:rsidR="00296646" w:rsidRPr="0097579B" w:rsidRDefault="00296646" w:rsidP="00296646">
      <w:pPr>
        <w:pStyle w:val="Sansinterligne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en-US"/>
        </w:rPr>
      </w:pPr>
      <w:r w:rsidRPr="0097579B">
        <w:rPr>
          <w:rFonts w:ascii="Arial" w:hAnsi="Arial" w:cs="Arial"/>
          <w:lang w:val="en-US"/>
        </w:rPr>
        <w:t>Inability to tolerate oral medication (in tablet and/or liquid form)</w:t>
      </w:r>
    </w:p>
    <w:p w:rsidR="00296646" w:rsidRPr="0097579B" w:rsidRDefault="00296646" w:rsidP="00296646">
      <w:pPr>
        <w:pStyle w:val="Sansinterligne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en-US"/>
        </w:rPr>
      </w:pPr>
      <w:r w:rsidRPr="0097579B">
        <w:rPr>
          <w:rFonts w:ascii="Arial" w:hAnsi="Arial" w:cs="Arial"/>
          <w:lang w:val="en-US"/>
        </w:rPr>
        <w:t xml:space="preserve">Patients with prior antimalarial therapy within minimum of 4 weeks </w:t>
      </w:r>
    </w:p>
    <w:p w:rsidR="00296646" w:rsidRPr="0097579B" w:rsidRDefault="00296646" w:rsidP="00296646">
      <w:pPr>
        <w:pStyle w:val="Sansinterligne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en-US"/>
        </w:rPr>
      </w:pPr>
      <w:r w:rsidRPr="0097579B">
        <w:rPr>
          <w:rFonts w:ascii="Arial" w:hAnsi="Arial" w:cs="Arial"/>
          <w:lang w:val="en-US"/>
        </w:rPr>
        <w:t xml:space="preserve">Use of other investigational drugs within 5 half-lives of enrollment, or within 30 days or until the expected </w:t>
      </w:r>
      <w:proofErr w:type="spellStart"/>
      <w:r w:rsidRPr="0097579B">
        <w:rPr>
          <w:rFonts w:ascii="Arial" w:hAnsi="Arial" w:cs="Arial"/>
          <w:lang w:val="en-US"/>
        </w:rPr>
        <w:t>pharmacodynamic</w:t>
      </w:r>
      <w:proofErr w:type="spellEnd"/>
      <w:r w:rsidRPr="0097579B">
        <w:rPr>
          <w:rFonts w:ascii="Arial" w:hAnsi="Arial" w:cs="Arial"/>
          <w:lang w:val="en-US"/>
        </w:rPr>
        <w:t xml:space="preserve"> effect has returned to baseline, whichever is longer</w:t>
      </w:r>
    </w:p>
    <w:p w:rsidR="00296646" w:rsidRPr="0097579B" w:rsidRDefault="00296646" w:rsidP="00296646">
      <w:pPr>
        <w:pStyle w:val="Sansinterligne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en-US"/>
        </w:rPr>
      </w:pPr>
      <w:r w:rsidRPr="0097579B">
        <w:rPr>
          <w:rFonts w:ascii="Arial" w:hAnsi="Arial" w:cs="Arial"/>
          <w:lang w:val="en-US"/>
        </w:rPr>
        <w:t xml:space="preserve">History or family history of long QT syndrome or sudden cardiac death, or any other clinical condition known to prolong the </w:t>
      </w:r>
      <w:proofErr w:type="spellStart"/>
      <w:r w:rsidRPr="0097579B">
        <w:rPr>
          <w:rFonts w:ascii="Arial" w:hAnsi="Arial" w:cs="Arial"/>
          <w:lang w:val="en-US"/>
        </w:rPr>
        <w:t>QTc</w:t>
      </w:r>
      <w:proofErr w:type="spellEnd"/>
      <w:r w:rsidRPr="0097579B">
        <w:rPr>
          <w:rFonts w:ascii="Arial" w:hAnsi="Arial" w:cs="Arial"/>
          <w:lang w:val="en-US"/>
        </w:rPr>
        <w:t xml:space="preserve"> interval, such as history of symptomatic cardiac arrhythmias, clinically relevant bradycardia or severe heart disease</w:t>
      </w:r>
    </w:p>
    <w:p w:rsidR="00296646" w:rsidRDefault="00296646" w:rsidP="00296646">
      <w:pPr>
        <w:pStyle w:val="Sansinterligne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en-US"/>
        </w:rPr>
      </w:pPr>
      <w:r w:rsidRPr="0097579B">
        <w:rPr>
          <w:rFonts w:ascii="Arial" w:hAnsi="Arial" w:cs="Arial"/>
          <w:lang w:val="en-US"/>
        </w:rPr>
        <w:t xml:space="preserve">History of hypersensitivity to </w:t>
      </w:r>
      <w:r>
        <w:rPr>
          <w:rFonts w:ascii="Arial" w:hAnsi="Arial" w:cs="Arial"/>
          <w:lang w:val="en-US"/>
        </w:rPr>
        <w:t xml:space="preserve">artesunate and </w:t>
      </w:r>
      <w:proofErr w:type="spellStart"/>
      <w:r>
        <w:rPr>
          <w:rFonts w:ascii="Arial" w:hAnsi="Arial" w:cs="Arial"/>
          <w:lang w:val="en-US"/>
        </w:rPr>
        <w:t>dihydroartemisinin</w:t>
      </w:r>
      <w:proofErr w:type="spellEnd"/>
      <w:r>
        <w:rPr>
          <w:rFonts w:ascii="Arial" w:hAnsi="Arial" w:cs="Arial"/>
          <w:lang w:val="en-US"/>
        </w:rPr>
        <w:t>,</w:t>
      </w:r>
      <w:r w:rsidRPr="0097579B">
        <w:rPr>
          <w:rFonts w:ascii="Arial" w:hAnsi="Arial" w:cs="Arial"/>
          <w:lang w:val="en-US"/>
        </w:rPr>
        <w:t xml:space="preserve"> or its excipients or to drugs of similar chemical classes</w:t>
      </w:r>
    </w:p>
    <w:p w:rsidR="00296646" w:rsidRDefault="00296646" w:rsidP="00296646">
      <w:pPr>
        <w:pStyle w:val="Sansinterligne"/>
        <w:spacing w:line="360" w:lineRule="auto"/>
        <w:ind w:left="357"/>
        <w:jc w:val="both"/>
        <w:rPr>
          <w:rFonts w:ascii="Arial" w:hAnsi="Arial" w:cs="Arial"/>
          <w:lang w:val="en-US"/>
        </w:rPr>
      </w:pPr>
    </w:p>
    <w:p w:rsidR="00296646" w:rsidRPr="00296646" w:rsidRDefault="00296646">
      <w:pPr>
        <w:rPr>
          <w:lang w:val="en-US"/>
        </w:rPr>
      </w:pPr>
    </w:p>
    <w:sectPr w:rsidR="00296646" w:rsidRPr="002966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437343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B861F82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E9F79D6"/>
    <w:multiLevelType w:val="multilevel"/>
    <w:tmpl w:val="7E9F79D6"/>
    <w:lvl w:ilvl="0">
      <w:start w:val="7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646"/>
    <w:rsid w:val="00296646"/>
    <w:rsid w:val="003648FD"/>
    <w:rsid w:val="00766A43"/>
    <w:rsid w:val="00DE2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38454"/>
  <w15:chartTrackingRefBased/>
  <w15:docId w15:val="{7AF80849-B0DD-436E-A7C4-A34AF976F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64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296646"/>
    <w:pPr>
      <w:spacing w:after="0" w:line="240" w:lineRule="auto"/>
    </w:pPr>
    <w:rPr>
      <w:lang w:val="en-GB"/>
    </w:rPr>
  </w:style>
  <w:style w:type="character" w:customStyle="1" w:styleId="SansinterligneCar">
    <w:name w:val="Sans interligne Car"/>
    <w:basedOn w:val="Policepardfaut"/>
    <w:link w:val="Sansinterligne"/>
    <w:uiPriority w:val="1"/>
    <w:rsid w:val="00296646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439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Hospices Civils de Lyon</Company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PICOT, Stephane</dc:creator>
  <cp:keywords/>
  <dc:description/>
  <cp:lastModifiedBy>PICOT, Stephane</cp:lastModifiedBy>
  <cp:revision>2</cp:revision>
  <dcterms:created xsi:type="dcterms:W3CDTF">2026-03-30T11:53:00Z</dcterms:created>
  <dcterms:modified xsi:type="dcterms:W3CDTF">2026-03-30T11:59:00Z</dcterms:modified>
</cp:coreProperties>
</file>