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2DC74" w14:textId="25F46855" w:rsidR="00E91CF9" w:rsidRDefault="0010525A" w:rsidP="00E91CF9">
      <w:pPr>
        <w:keepNext/>
        <w:spacing w:before="240" w:after="120"/>
        <w:ind w:firstLine="0"/>
        <w:outlineLvl w:val="0"/>
        <w:rPr>
          <w:rFonts w:ascii="Arial" w:eastAsia="Times New Roman" w:hAnsi="Arial" w:cs="Times New Roman"/>
          <w:sz w:val="28"/>
          <w:szCs w:val="28"/>
        </w:rPr>
      </w:pPr>
      <w:bookmarkStart w:id="0" w:name="_GoBack"/>
      <w:r>
        <w:rPr>
          <w:rFonts w:ascii="Arial" w:eastAsia="Times New Roman" w:hAnsi="Arial" w:cs="Times New Roman"/>
          <w:sz w:val="28"/>
          <w:szCs w:val="28"/>
        </w:rPr>
        <w:t>Exploratory crossover field study indicates f</w:t>
      </w:r>
      <w:r w:rsidR="00E91CF9" w:rsidRPr="00E91CF9">
        <w:rPr>
          <w:rFonts w:ascii="Arial" w:eastAsia="Times New Roman" w:hAnsi="Arial" w:cs="Times New Roman"/>
          <w:sz w:val="28"/>
          <w:szCs w:val="28"/>
        </w:rPr>
        <w:t>easibility and efficacy of light therapy glasses to counteract fatigue in multiple sclerosis</w:t>
      </w:r>
    </w:p>
    <w:p w14:paraId="608E7F7C" w14:textId="308975FD" w:rsidR="00E91CF9" w:rsidRPr="00E91CF9" w:rsidRDefault="00E91CF9" w:rsidP="00E91CF9">
      <w:pPr>
        <w:spacing w:after="360" w:line="240" w:lineRule="auto"/>
        <w:ind w:firstLine="0"/>
        <w:jc w:val="left"/>
        <w:rPr>
          <w:rFonts w:ascii="Arial" w:eastAsia="Calibri" w:hAnsi="Arial" w:cs="Arial"/>
        </w:rPr>
      </w:pPr>
      <w:r w:rsidRPr="00E91CF9">
        <w:rPr>
          <w:rFonts w:ascii="Arial" w:eastAsia="Calibri" w:hAnsi="Arial" w:cs="Arial"/>
        </w:rPr>
        <w:t xml:space="preserve">Supplementary Materials </w:t>
      </w:r>
    </w:p>
    <w:p w14:paraId="1200140D" w14:textId="6F6024E2" w:rsidR="00E91CF9" w:rsidRPr="00A84D6B" w:rsidRDefault="00E91CF9" w:rsidP="00E91CF9">
      <w:pPr>
        <w:spacing w:after="240"/>
        <w:ind w:firstLine="0"/>
        <w:rPr>
          <w:rFonts w:eastAsia="Calibri" w:cs="Times New Roman"/>
        </w:rPr>
      </w:pPr>
      <w:r w:rsidRPr="00A84D6B">
        <w:rPr>
          <w:rFonts w:eastAsia="Calibri" w:cs="Times New Roman"/>
        </w:rPr>
        <w:t>Julia Ottersbach</w:t>
      </w:r>
      <w:r w:rsidRPr="00A84D6B">
        <w:rPr>
          <w:rFonts w:eastAsia="Calibri" w:cs="Times New Roman"/>
          <w:vertAlign w:val="superscript"/>
        </w:rPr>
        <w:t>1,2</w:t>
      </w:r>
      <w:r w:rsidRPr="00A84D6B">
        <w:rPr>
          <w:rFonts w:eastAsia="Calibri" w:cs="Times New Roman"/>
        </w:rPr>
        <w:t xml:space="preserve">, </w:t>
      </w:r>
      <w:r w:rsidR="001922D6" w:rsidRPr="00A84D6B">
        <w:rPr>
          <w:rFonts w:eastAsia="Calibri" w:cs="Times New Roman"/>
        </w:rPr>
        <w:t>Markus Canazei</w:t>
      </w:r>
      <w:r w:rsidR="001922D6" w:rsidRPr="00A84D6B">
        <w:rPr>
          <w:rFonts w:eastAsia="Calibri" w:cs="Times New Roman"/>
          <w:vertAlign w:val="superscript"/>
        </w:rPr>
        <w:t>3</w:t>
      </w:r>
      <w:r w:rsidR="001922D6" w:rsidRPr="00A84D6B">
        <w:rPr>
          <w:rFonts w:eastAsia="Calibri" w:cs="Times New Roman"/>
        </w:rPr>
        <w:t>,</w:t>
      </w:r>
      <w:r w:rsidR="001922D6" w:rsidRPr="00A84D6B">
        <w:rPr>
          <w:rFonts w:eastAsia="Calibri" w:cs="Times New Roman"/>
          <w:vertAlign w:val="superscript"/>
        </w:rPr>
        <w:t xml:space="preserve"> </w:t>
      </w:r>
      <w:r w:rsidRPr="00A84D6B">
        <w:rPr>
          <w:rFonts w:eastAsia="Calibri" w:cs="Times New Roman"/>
        </w:rPr>
        <w:t>Sophie K</w:t>
      </w:r>
      <w:r w:rsidR="00984461">
        <w:rPr>
          <w:rFonts w:eastAsia="Calibri" w:cs="Times New Roman"/>
        </w:rPr>
        <w:t>.</w:t>
      </w:r>
      <w:r w:rsidRPr="00A84D6B">
        <w:rPr>
          <w:rFonts w:eastAsia="Calibri" w:cs="Times New Roman"/>
        </w:rPr>
        <w:t xml:space="preserve"> Bauer</w:t>
      </w:r>
      <w:r w:rsidRPr="00A84D6B">
        <w:rPr>
          <w:rFonts w:eastAsia="Calibri" w:cs="Times New Roman"/>
          <w:vertAlign w:val="superscript"/>
        </w:rPr>
        <w:t>1,2</w:t>
      </w:r>
      <w:r w:rsidRPr="00A84D6B">
        <w:rPr>
          <w:rFonts w:eastAsia="Calibri" w:cs="Times New Roman"/>
        </w:rPr>
        <w:t>, Celine Hfalek</w:t>
      </w:r>
      <w:r w:rsidRPr="00A84D6B">
        <w:rPr>
          <w:rFonts w:eastAsia="Calibri" w:cs="Times New Roman"/>
          <w:vertAlign w:val="superscript"/>
        </w:rPr>
        <w:t>1,2</w:t>
      </w:r>
      <w:r w:rsidRPr="00A84D6B">
        <w:rPr>
          <w:rFonts w:eastAsia="Calibri" w:cs="Times New Roman"/>
        </w:rPr>
        <w:t>, Caren Berggold</w:t>
      </w:r>
      <w:r w:rsidRPr="00A84D6B">
        <w:rPr>
          <w:rFonts w:eastAsia="Calibri" w:cs="Times New Roman"/>
          <w:vertAlign w:val="superscript"/>
        </w:rPr>
        <w:t>1,2</w:t>
      </w:r>
      <w:r w:rsidRPr="00A84D6B">
        <w:rPr>
          <w:rFonts w:eastAsia="Calibri" w:cs="Times New Roman"/>
        </w:rPr>
        <w:t>, Thomas C. Wetter</w:t>
      </w:r>
      <w:r w:rsidRPr="00A84D6B">
        <w:rPr>
          <w:rFonts w:eastAsia="Calibri" w:cs="Times New Roman"/>
          <w:vertAlign w:val="superscript"/>
        </w:rPr>
        <w:t>1</w:t>
      </w:r>
      <w:r w:rsidRPr="00A84D6B">
        <w:rPr>
          <w:rFonts w:eastAsia="Calibri" w:cs="Times New Roman"/>
        </w:rPr>
        <w:t xml:space="preserve">, </w:t>
      </w:r>
      <w:r w:rsidR="001922D6" w:rsidRPr="00A84D6B">
        <w:rPr>
          <w:rFonts w:eastAsia="Calibri" w:cs="Times New Roman"/>
        </w:rPr>
        <w:t>De-Hyung Lee</w:t>
      </w:r>
      <w:r w:rsidR="001922D6" w:rsidRPr="00A84D6B">
        <w:rPr>
          <w:rFonts w:eastAsia="Calibri" w:cs="Times New Roman"/>
          <w:vertAlign w:val="superscript"/>
        </w:rPr>
        <w:t>4</w:t>
      </w:r>
      <w:r w:rsidR="001922D6" w:rsidRPr="00A84D6B">
        <w:rPr>
          <w:rFonts w:eastAsia="Calibri" w:cs="Times New Roman"/>
        </w:rPr>
        <w:t>,</w:t>
      </w:r>
      <w:r w:rsidR="00984461">
        <w:rPr>
          <w:rFonts w:eastAsia="Calibri" w:cs="Times New Roman"/>
        </w:rPr>
        <w:t xml:space="preserve"> Ralf A. Linker</w:t>
      </w:r>
      <w:r w:rsidR="00984461">
        <w:rPr>
          <w:rFonts w:eastAsia="Calibri" w:cs="Times New Roman"/>
          <w:vertAlign w:val="superscript"/>
        </w:rPr>
        <w:t>4</w:t>
      </w:r>
      <w:r w:rsidR="00984461">
        <w:rPr>
          <w:rFonts w:eastAsia="Calibri" w:cs="Times New Roman"/>
        </w:rPr>
        <w:t>,</w:t>
      </w:r>
      <w:r w:rsidR="001922D6" w:rsidRPr="00A84D6B">
        <w:rPr>
          <w:rFonts w:eastAsia="Calibri" w:cs="Times New Roman"/>
        </w:rPr>
        <w:t xml:space="preserve"> </w:t>
      </w:r>
      <w:r w:rsidRPr="00A84D6B">
        <w:rPr>
          <w:rFonts w:eastAsia="Calibri" w:cs="Times New Roman"/>
        </w:rPr>
        <w:t>Roland F. J. Popp</w:t>
      </w:r>
      <w:r w:rsidRPr="00A84D6B">
        <w:rPr>
          <w:rFonts w:eastAsia="Calibri" w:cs="Times New Roman"/>
          <w:vertAlign w:val="superscript"/>
        </w:rPr>
        <w:t>1</w:t>
      </w:r>
      <w:r w:rsidRPr="00A84D6B">
        <w:rPr>
          <w:rFonts w:eastAsia="Calibri" w:cs="Times New Roman"/>
        </w:rPr>
        <w:t xml:space="preserve"> </w:t>
      </w:r>
    </w:p>
    <w:p w14:paraId="280DFC42" w14:textId="77777777" w:rsidR="00E91CF9" w:rsidRPr="00E91CF9" w:rsidRDefault="00E91CF9" w:rsidP="00E91CF9">
      <w:pPr>
        <w:ind w:firstLine="0"/>
        <w:rPr>
          <w:rFonts w:eastAsia="Calibri" w:cs="Times New Roman"/>
        </w:rPr>
      </w:pPr>
      <w:r w:rsidRPr="00E91CF9">
        <w:rPr>
          <w:rFonts w:eastAsia="Calibri" w:cs="Times New Roman"/>
        </w:rPr>
        <w:t>1 Department of Psychiatry and Psychotherapy, Center of Sleep Medicine, University of Regensburg, 93053 Regensburg, Germany</w:t>
      </w:r>
    </w:p>
    <w:p w14:paraId="3B933908" w14:textId="77777777" w:rsidR="00E91CF9" w:rsidRPr="00E91CF9" w:rsidRDefault="00E91CF9" w:rsidP="001922D6">
      <w:pPr>
        <w:ind w:firstLine="0"/>
        <w:rPr>
          <w:rFonts w:eastAsia="Calibri" w:cs="Times New Roman"/>
        </w:rPr>
      </w:pPr>
      <w:r w:rsidRPr="00E91CF9">
        <w:rPr>
          <w:rFonts w:eastAsia="Calibri" w:cs="Times New Roman"/>
        </w:rPr>
        <w:t>2 Department of Experimental Psychology, University of Regensburg, 93053 Regensburg, Germany</w:t>
      </w:r>
    </w:p>
    <w:p w14:paraId="3B43EE97" w14:textId="3824EB9A" w:rsidR="001922D6" w:rsidRDefault="00E91CF9" w:rsidP="001922D6">
      <w:pPr>
        <w:ind w:firstLine="0"/>
        <w:rPr>
          <w:rFonts w:eastAsia="Calibri" w:cs="Times New Roman"/>
        </w:rPr>
      </w:pPr>
      <w:r w:rsidRPr="00E91CF9">
        <w:rPr>
          <w:rFonts w:eastAsia="Calibri" w:cs="Times New Roman"/>
        </w:rPr>
        <w:t xml:space="preserve">3 Department of Psychology, University of Innsbruck, 6020 Innsbruck, Austria </w:t>
      </w:r>
    </w:p>
    <w:p w14:paraId="76ADFA87" w14:textId="72FDF2E8" w:rsidR="001922D6" w:rsidRDefault="001922D6" w:rsidP="00E91CF9">
      <w:pPr>
        <w:spacing w:after="480"/>
        <w:ind w:firstLine="0"/>
        <w:rPr>
          <w:rFonts w:eastAsia="Calibri" w:cs="Times New Roman"/>
        </w:rPr>
      </w:pPr>
      <w:r>
        <w:rPr>
          <w:rFonts w:eastAsia="Calibri" w:cs="Times New Roman"/>
        </w:rPr>
        <w:t>4 Department of Neurology, University of Regensburg, 93053 Regensburg</w:t>
      </w:r>
    </w:p>
    <w:p w14:paraId="70BA93CB" w14:textId="77777777" w:rsidR="00E91CF9" w:rsidRDefault="00E91CF9">
      <w:pPr>
        <w:spacing w:line="240" w:lineRule="auto"/>
        <w:ind w:firstLine="0"/>
        <w:jc w:val="left"/>
        <w:rPr>
          <w:rFonts w:eastAsia="Calibri" w:cs="Times New Roman"/>
        </w:rPr>
      </w:pPr>
      <w:r>
        <w:rPr>
          <w:rFonts w:eastAsia="Calibri" w:cs="Times New Roman"/>
        </w:rPr>
        <w:br w:type="page"/>
      </w:r>
    </w:p>
    <w:p w14:paraId="3547E92D" w14:textId="542A0329" w:rsidR="00E91CF9" w:rsidRPr="00E06DEC" w:rsidRDefault="00E91CF9" w:rsidP="00E91CF9">
      <w:pPr>
        <w:spacing w:after="240" w:line="240" w:lineRule="auto"/>
        <w:ind w:firstLine="0"/>
        <w:jc w:val="left"/>
        <w:rPr>
          <w:rFonts w:eastAsia="Calibri" w:cs="Arial"/>
          <w:sz w:val="28"/>
          <w:szCs w:val="28"/>
        </w:rPr>
      </w:pPr>
      <w:r w:rsidRPr="00E06DEC">
        <w:rPr>
          <w:rFonts w:ascii="Arial" w:eastAsia="Calibri" w:hAnsi="Arial" w:cs="Arial"/>
          <w:sz w:val="28"/>
          <w:szCs w:val="28"/>
        </w:rPr>
        <w:lastRenderedPageBreak/>
        <w:t xml:space="preserve">Appendix A: </w:t>
      </w:r>
      <w:bookmarkStart w:id="1" w:name="OLE_LINK1"/>
      <w:r w:rsidRPr="00E06DEC">
        <w:rPr>
          <w:rFonts w:ascii="Arial" w:eastAsia="Calibri" w:hAnsi="Arial" w:cs="Arial"/>
          <w:sz w:val="28"/>
          <w:szCs w:val="28"/>
        </w:rPr>
        <w:t xml:space="preserve">Detailed description of </w:t>
      </w:r>
      <w:r w:rsidR="00E075A9" w:rsidRPr="00E06DEC">
        <w:rPr>
          <w:rFonts w:ascii="Arial" w:eastAsia="Calibri" w:hAnsi="Arial" w:cs="Arial"/>
          <w:sz w:val="28"/>
          <w:szCs w:val="28"/>
        </w:rPr>
        <w:t>screening and outcome measures</w:t>
      </w:r>
    </w:p>
    <w:p w14:paraId="3CF5368E" w14:textId="0CF1082E" w:rsidR="00E91CF9" w:rsidRPr="00AB3C33" w:rsidRDefault="00E91CF9" w:rsidP="00E91CF9">
      <w:pPr>
        <w:ind w:firstLine="0"/>
        <w:rPr>
          <w:rFonts w:ascii="Arial" w:hAnsi="Arial" w:cs="Arial"/>
          <w:i/>
          <w:iCs/>
        </w:rPr>
      </w:pPr>
      <w:r w:rsidRPr="00AB3C33">
        <w:rPr>
          <w:rFonts w:ascii="Arial" w:hAnsi="Arial" w:cs="Arial"/>
          <w:i/>
          <w:iCs/>
        </w:rPr>
        <w:t>Screening for sleep disorders</w:t>
      </w:r>
    </w:p>
    <w:p w14:paraId="263AAA86" w14:textId="38D6B2DB" w:rsidR="00E91CF9" w:rsidRPr="0048302B" w:rsidRDefault="00E91CF9" w:rsidP="00E91CF9">
      <w:pPr>
        <w:pStyle w:val="ListParagraph"/>
        <w:numPr>
          <w:ilvl w:val="0"/>
          <w:numId w:val="1"/>
        </w:numPr>
        <w:spacing w:before="60" w:after="60"/>
        <w:rPr>
          <w:rFonts w:cs="Times New Roman"/>
        </w:rPr>
      </w:pPr>
      <w:r w:rsidRPr="0048302B">
        <w:rPr>
          <w:rFonts w:cs="Times New Roman"/>
        </w:rPr>
        <w:t xml:space="preserve">The </w:t>
      </w:r>
      <w:r w:rsidRPr="0048302B">
        <w:rPr>
          <w:rFonts w:cs="Times New Roman"/>
          <w:b/>
          <w:bCs/>
        </w:rPr>
        <w:t xml:space="preserve">Berlin </w:t>
      </w:r>
      <w:r w:rsidR="00E82328">
        <w:rPr>
          <w:rFonts w:cs="Times New Roman"/>
          <w:b/>
          <w:bCs/>
        </w:rPr>
        <w:t>Q</w:t>
      </w:r>
      <w:r w:rsidRPr="0048302B">
        <w:rPr>
          <w:rFonts w:cs="Times New Roman"/>
          <w:b/>
          <w:bCs/>
        </w:rPr>
        <w:t xml:space="preserve">uestionnaire for sleep apnoea </w:t>
      </w:r>
      <w:r w:rsidR="007749B0">
        <w:rPr>
          <w:rFonts w:cs="Times New Roman"/>
          <w:b/>
          <w:bCs/>
        </w:rPr>
        <w:t>[</w:t>
      </w:r>
      <w:r w:rsidR="00FC6618" w:rsidRPr="00FC6618">
        <w:rPr>
          <w:rFonts w:cs="Times New Roman"/>
          <w:vertAlign w:val="superscript"/>
          <w:lang w:val="en-US"/>
          <w14:ligatures w14:val="standardContextual"/>
        </w:rPr>
        <w:t>1</w:t>
      </w:r>
      <w:r w:rsidR="007749B0">
        <w:rPr>
          <w:rFonts w:cs="Times New Roman"/>
        </w:rPr>
        <w:t>]</w:t>
      </w:r>
      <w:r w:rsidRPr="0048302B">
        <w:rPr>
          <w:rFonts w:cs="Times New Roman"/>
        </w:rPr>
        <w:t xml:space="preserve"> is a self-administered 10-item questionnaire regarding three categories related to sleep apnoea (snoring, daytime sleepiness, </w:t>
      </w:r>
      <w:r>
        <w:rPr>
          <w:rFonts w:cs="Times New Roman"/>
        </w:rPr>
        <w:t xml:space="preserve">and </w:t>
      </w:r>
      <w:r w:rsidRPr="0048302B">
        <w:rPr>
          <w:rFonts w:cs="Times New Roman"/>
        </w:rPr>
        <w:t>obesity</w:t>
      </w:r>
      <w:r>
        <w:rPr>
          <w:rFonts w:cs="Times New Roman"/>
        </w:rPr>
        <w:t xml:space="preserve"> or</w:t>
      </w:r>
      <w:r w:rsidRPr="0048302B">
        <w:rPr>
          <w:rFonts w:cs="Times New Roman"/>
        </w:rPr>
        <w:t xml:space="preserve"> hypertension). The outcomes define a high risk for obstructive sleep apnoea if a patient shows risk factors in at least two of the three categories. The Berlin </w:t>
      </w:r>
      <w:r w:rsidR="00E82328">
        <w:rPr>
          <w:rFonts w:cs="Times New Roman"/>
        </w:rPr>
        <w:t>Q</w:t>
      </w:r>
      <w:r w:rsidRPr="0048302B">
        <w:rPr>
          <w:rFonts w:cs="Times New Roman"/>
        </w:rPr>
        <w:t xml:space="preserve">uestionnaire shows sufficient internal consistency (Cronbach’s α varies between .68 and .98) and test–retest reliability (Cohen’s κ varies between .74 and .98). </w:t>
      </w:r>
    </w:p>
    <w:p w14:paraId="33AC8E5A" w14:textId="6305BE48" w:rsidR="00E91CF9" w:rsidRDefault="00E91CF9" w:rsidP="00E91CF9">
      <w:pPr>
        <w:pStyle w:val="ListParagraph"/>
        <w:numPr>
          <w:ilvl w:val="0"/>
          <w:numId w:val="1"/>
        </w:numPr>
        <w:spacing w:before="60" w:after="60"/>
        <w:rPr>
          <w:rFonts w:cs="Times New Roman"/>
        </w:rPr>
      </w:pPr>
      <w:r>
        <w:rPr>
          <w:rFonts w:cs="Times New Roman"/>
        </w:rPr>
        <w:t>Screening</w:t>
      </w:r>
      <w:r w:rsidRPr="0048302B">
        <w:rPr>
          <w:rFonts w:cs="Times New Roman"/>
        </w:rPr>
        <w:t xml:space="preserve"> </w:t>
      </w:r>
      <w:r w:rsidR="00E82328">
        <w:rPr>
          <w:rFonts w:cs="Times New Roman"/>
        </w:rPr>
        <w:t>for</w:t>
      </w:r>
      <w:r w:rsidRPr="0048302B">
        <w:rPr>
          <w:rFonts w:cs="Times New Roman"/>
        </w:rPr>
        <w:t xml:space="preserve"> </w:t>
      </w:r>
      <w:r>
        <w:rPr>
          <w:rFonts w:cs="Times New Roman"/>
          <w:b/>
          <w:bCs/>
        </w:rPr>
        <w:t>r</w:t>
      </w:r>
      <w:r w:rsidRPr="0048302B">
        <w:rPr>
          <w:rFonts w:cs="Times New Roman"/>
          <w:b/>
          <w:bCs/>
        </w:rPr>
        <w:t xml:space="preserve">estless </w:t>
      </w:r>
      <w:r>
        <w:rPr>
          <w:rFonts w:cs="Times New Roman"/>
          <w:b/>
          <w:bCs/>
        </w:rPr>
        <w:t>l</w:t>
      </w:r>
      <w:r w:rsidRPr="0048302B">
        <w:rPr>
          <w:rFonts w:cs="Times New Roman"/>
          <w:b/>
          <w:bCs/>
        </w:rPr>
        <w:t xml:space="preserve">egs </w:t>
      </w:r>
      <w:r>
        <w:rPr>
          <w:rFonts w:cs="Times New Roman"/>
          <w:b/>
          <w:bCs/>
        </w:rPr>
        <w:t>s</w:t>
      </w:r>
      <w:r w:rsidRPr="0048302B">
        <w:rPr>
          <w:rFonts w:cs="Times New Roman"/>
          <w:b/>
          <w:bCs/>
        </w:rPr>
        <w:t xml:space="preserve">yndrome </w:t>
      </w:r>
      <w:r w:rsidRPr="0048302B">
        <w:rPr>
          <w:rFonts w:cs="Times New Roman"/>
        </w:rPr>
        <w:t xml:space="preserve">(RLS) was based on the five essential diagnostic criteria defined by the International RLS Study Group </w:t>
      </w:r>
      <w:r w:rsidR="007749B0">
        <w:rPr>
          <w:rFonts w:cs="Times New Roman"/>
        </w:rPr>
        <w:t>[</w:t>
      </w:r>
      <w:r w:rsidR="00FC6618" w:rsidRPr="00FC6618">
        <w:rPr>
          <w:rFonts w:cs="Times New Roman"/>
          <w:vertAlign w:val="superscript"/>
          <w:lang w:val="de-DE"/>
          <w14:ligatures w14:val="standardContextual"/>
        </w:rPr>
        <w:t>2</w:t>
      </w:r>
      <w:r w:rsidR="007749B0">
        <w:rPr>
          <w:rFonts w:cs="Times New Roman"/>
        </w:rPr>
        <w:t>]</w:t>
      </w:r>
      <w:r w:rsidRPr="0048302B">
        <w:rPr>
          <w:rFonts w:cs="Times New Roman"/>
        </w:rPr>
        <w:t xml:space="preserve">. </w:t>
      </w:r>
    </w:p>
    <w:p w14:paraId="7DDDEAF5" w14:textId="4668A581" w:rsidR="00E91CF9" w:rsidRPr="00991AB7" w:rsidRDefault="00E91CF9" w:rsidP="00E91CF9">
      <w:pPr>
        <w:pStyle w:val="ListParagraph"/>
        <w:numPr>
          <w:ilvl w:val="0"/>
          <w:numId w:val="1"/>
        </w:numPr>
        <w:spacing w:before="60" w:after="60"/>
        <w:rPr>
          <w:rFonts w:cs="Times New Roman"/>
        </w:rPr>
      </w:pPr>
      <w:r w:rsidRPr="0048302B">
        <w:rPr>
          <w:rFonts w:cs="Times New Roman"/>
        </w:rPr>
        <w:t xml:space="preserve">The </w:t>
      </w:r>
      <w:r w:rsidRPr="0048302B">
        <w:rPr>
          <w:rFonts w:cs="Times New Roman"/>
          <w:b/>
          <w:bCs/>
        </w:rPr>
        <w:t>Regensburg Insomnia Scale</w:t>
      </w:r>
      <w:r w:rsidRPr="0048302B">
        <w:rPr>
          <w:rFonts w:cs="Times New Roman"/>
        </w:rPr>
        <w:t xml:space="preserve"> (RIS) </w:t>
      </w:r>
      <w:r w:rsidR="007749B0">
        <w:rPr>
          <w:rFonts w:cs="Times New Roman"/>
        </w:rPr>
        <w:t>[</w:t>
      </w:r>
      <w:r w:rsidR="00FC6618" w:rsidRPr="00FC6618">
        <w:rPr>
          <w:rFonts w:cs="Times New Roman"/>
          <w:vertAlign w:val="superscript"/>
          <w:lang w:val="en-US"/>
          <w14:ligatures w14:val="standardContextual"/>
        </w:rPr>
        <w:t>3</w:t>
      </w:r>
      <w:r w:rsidR="007749B0">
        <w:rPr>
          <w:rFonts w:cs="Times New Roman"/>
        </w:rPr>
        <w:t>]</w:t>
      </w:r>
      <w:r w:rsidRPr="0048302B">
        <w:rPr>
          <w:rFonts w:cs="Times New Roman"/>
        </w:rPr>
        <w:t xml:space="preserve"> is a 10-item self-administered questionnaire assessing cognitive, emotional, and behavioural aspects of </w:t>
      </w:r>
      <w:r w:rsidR="00E075A9">
        <w:rPr>
          <w:rFonts w:cs="Times New Roman"/>
        </w:rPr>
        <w:t xml:space="preserve">psychophysiological </w:t>
      </w:r>
      <w:r w:rsidRPr="0048302B">
        <w:rPr>
          <w:rFonts w:cs="Times New Roman"/>
        </w:rPr>
        <w:t xml:space="preserve">insomnia. Participants respond by rating questions on a scale from 0 </w:t>
      </w:r>
      <w:r>
        <w:rPr>
          <w:rFonts w:cs="Times New Roman"/>
        </w:rPr>
        <w:t>(</w:t>
      </w:r>
      <w:r w:rsidRPr="0048302B">
        <w:rPr>
          <w:rFonts w:cs="Times New Roman"/>
          <w:i/>
          <w:iCs/>
        </w:rPr>
        <w:t>always</w:t>
      </w:r>
      <w:r>
        <w:rPr>
          <w:rFonts w:cs="Times New Roman"/>
        </w:rPr>
        <w:t>)</w:t>
      </w:r>
      <w:r w:rsidRPr="0048302B">
        <w:rPr>
          <w:rFonts w:cs="Times New Roman"/>
        </w:rPr>
        <w:t xml:space="preserve"> to 4 </w:t>
      </w:r>
      <w:r>
        <w:rPr>
          <w:rFonts w:cs="Times New Roman"/>
        </w:rPr>
        <w:t>(</w:t>
      </w:r>
      <w:r w:rsidRPr="0048302B">
        <w:rPr>
          <w:rFonts w:cs="Times New Roman"/>
          <w:i/>
          <w:iCs/>
        </w:rPr>
        <w:t>never</w:t>
      </w:r>
      <w:r>
        <w:rPr>
          <w:rFonts w:cs="Times New Roman"/>
        </w:rPr>
        <w:t>),</w:t>
      </w:r>
      <w:r w:rsidRPr="0048302B">
        <w:rPr>
          <w:rFonts w:cs="Times New Roman"/>
        </w:rPr>
        <w:t xml:space="preserve"> which are </w:t>
      </w:r>
      <w:r w:rsidR="00E075A9">
        <w:rPr>
          <w:rFonts w:cs="Times New Roman"/>
        </w:rPr>
        <w:t>summed to</w:t>
      </w:r>
      <w:r w:rsidRPr="0048302B">
        <w:rPr>
          <w:rFonts w:cs="Times New Roman"/>
        </w:rPr>
        <w:t xml:space="preserve"> </w:t>
      </w:r>
      <w:r>
        <w:rPr>
          <w:rFonts w:cs="Times New Roman"/>
        </w:rPr>
        <w:t xml:space="preserve">a </w:t>
      </w:r>
      <w:r w:rsidR="00E075A9">
        <w:rPr>
          <w:rFonts w:cs="Times New Roman"/>
        </w:rPr>
        <w:t xml:space="preserve">total </w:t>
      </w:r>
      <w:r w:rsidRPr="0048302B">
        <w:rPr>
          <w:rFonts w:cs="Times New Roman"/>
        </w:rPr>
        <w:t xml:space="preserve">score of 0–40, with higher scores indicating higher levels of insomnia. </w:t>
      </w:r>
      <w:r>
        <w:rPr>
          <w:rFonts w:cs="Times New Roman"/>
        </w:rPr>
        <w:t>Total</w:t>
      </w:r>
      <w:r w:rsidRPr="0048302B">
        <w:rPr>
          <w:rFonts w:cs="Times New Roman"/>
        </w:rPr>
        <w:t xml:space="preserve"> scores &gt;12 indicate symptoms of psychophysiological insomnia</w:t>
      </w:r>
      <w:r w:rsidR="00E075A9">
        <w:rPr>
          <w:rFonts w:cs="Times New Roman"/>
        </w:rPr>
        <w:t xml:space="preserve"> </w:t>
      </w:r>
      <w:r w:rsidR="00FC6618" w:rsidRPr="00FC6618">
        <w:rPr>
          <w:rFonts w:cs="Times New Roman"/>
          <w:vertAlign w:val="superscript"/>
          <w:lang w:val="en-US"/>
          <w14:ligatures w14:val="standardContextual"/>
        </w:rPr>
        <w:t>3</w:t>
      </w:r>
      <w:r w:rsidRPr="0048302B">
        <w:rPr>
          <w:rFonts w:cs="Times New Roman"/>
        </w:rPr>
        <w:t>. The internal consistency of the RIS is good, with a Cronbach</w:t>
      </w:r>
      <w:r w:rsidR="0010560A">
        <w:rPr>
          <w:rFonts w:cs="Times New Roman"/>
        </w:rPr>
        <w:t>’</w:t>
      </w:r>
      <w:r w:rsidRPr="0048302B">
        <w:rPr>
          <w:rFonts w:cs="Times New Roman"/>
        </w:rPr>
        <w:t>s α of .89.</w:t>
      </w:r>
    </w:p>
    <w:p w14:paraId="458BB828" w14:textId="77777777" w:rsidR="00E91CF9" w:rsidRPr="009F1562" w:rsidRDefault="00E91CF9" w:rsidP="009F1562">
      <w:pPr>
        <w:ind w:firstLine="0"/>
        <w:rPr>
          <w:rFonts w:ascii="Arial" w:hAnsi="Arial" w:cs="Arial"/>
          <w:i/>
          <w:iCs/>
        </w:rPr>
      </w:pPr>
      <w:r w:rsidRPr="009F1562">
        <w:rPr>
          <w:rFonts w:ascii="Arial" w:hAnsi="Arial" w:cs="Arial"/>
          <w:i/>
          <w:iCs/>
        </w:rPr>
        <w:t>Screening for daytime sleepiness</w:t>
      </w:r>
    </w:p>
    <w:p w14:paraId="1C24B9D0" w14:textId="254FD91C" w:rsidR="00E91CF9" w:rsidRPr="0048302B" w:rsidRDefault="00E91CF9" w:rsidP="00E91CF9">
      <w:pPr>
        <w:pStyle w:val="ListParagraph"/>
        <w:numPr>
          <w:ilvl w:val="0"/>
          <w:numId w:val="3"/>
        </w:numPr>
        <w:spacing w:before="60" w:after="60"/>
        <w:rPr>
          <w:rFonts w:cs="Times New Roman"/>
        </w:rPr>
      </w:pPr>
      <w:r w:rsidRPr="0048302B">
        <w:rPr>
          <w:rFonts w:cs="Times New Roman"/>
        </w:rPr>
        <w:t xml:space="preserve">The </w:t>
      </w:r>
      <w:r w:rsidRPr="0048302B">
        <w:rPr>
          <w:rFonts w:cs="Times New Roman"/>
          <w:b/>
          <w:bCs/>
        </w:rPr>
        <w:t>Epworth Sleepiness Scale</w:t>
      </w:r>
      <w:r w:rsidRPr="0048302B">
        <w:rPr>
          <w:rFonts w:cs="Times New Roman"/>
        </w:rPr>
        <w:t xml:space="preserve"> (ESS) </w:t>
      </w:r>
      <w:r w:rsidR="007749B0">
        <w:rPr>
          <w:rFonts w:cs="Times New Roman"/>
        </w:rPr>
        <w:t>[</w:t>
      </w:r>
      <w:r w:rsidR="00FC6618" w:rsidRPr="00FC6618">
        <w:rPr>
          <w:rFonts w:cs="Times New Roman"/>
          <w:vertAlign w:val="superscript"/>
          <w:lang w:val="en-US"/>
          <w14:ligatures w14:val="standardContextual"/>
        </w:rPr>
        <w:t>4</w:t>
      </w:r>
      <w:r w:rsidR="007749B0">
        <w:rPr>
          <w:rFonts w:cs="Times New Roman"/>
        </w:rPr>
        <w:t>]</w:t>
      </w:r>
      <w:r w:rsidRPr="0048302B">
        <w:rPr>
          <w:rFonts w:cs="Times New Roman"/>
        </w:rPr>
        <w:t xml:space="preserve"> is a self-administered questionnaire on subjective daytime sleepiness. The ESS contains eight questions about the probability of falling asleep or dozing off (i.e., subjective sleep propensity) while engaged in different daily activities. A global score is derived from adding the responses (each rated from 0–3; the global score ranges from 0–24). The ESS shows sufficient internal consistency (Cronbach</w:t>
      </w:r>
      <w:r>
        <w:rPr>
          <w:rFonts w:cs="Times New Roman"/>
        </w:rPr>
        <w:t>’</w:t>
      </w:r>
      <w:r w:rsidRPr="0048302B">
        <w:rPr>
          <w:rFonts w:cs="Times New Roman"/>
        </w:rPr>
        <w:t>s α</w:t>
      </w:r>
      <w:r w:rsidR="0010560A">
        <w:rPr>
          <w:rFonts w:cs="Times New Roman"/>
        </w:rPr>
        <w:t xml:space="preserve"> </w:t>
      </w:r>
      <w:r w:rsidRPr="0048302B">
        <w:rPr>
          <w:rFonts w:cs="Times New Roman"/>
        </w:rPr>
        <w:t>=</w:t>
      </w:r>
      <w:r w:rsidR="0010560A">
        <w:rPr>
          <w:rFonts w:cs="Times New Roman"/>
        </w:rPr>
        <w:t xml:space="preserve"> </w:t>
      </w:r>
      <w:r w:rsidRPr="0048302B">
        <w:rPr>
          <w:rFonts w:cs="Times New Roman"/>
        </w:rPr>
        <w:t>.88) and test–retest reliability (r</w:t>
      </w:r>
      <w:r w:rsidR="0010560A">
        <w:rPr>
          <w:rFonts w:cs="Times New Roman"/>
        </w:rPr>
        <w:t xml:space="preserve"> </w:t>
      </w:r>
      <w:r w:rsidRPr="0048302B">
        <w:rPr>
          <w:rFonts w:cs="Times New Roman"/>
        </w:rPr>
        <w:t>=</w:t>
      </w:r>
      <w:r w:rsidR="0010560A">
        <w:rPr>
          <w:rFonts w:cs="Times New Roman"/>
        </w:rPr>
        <w:t xml:space="preserve"> </w:t>
      </w:r>
      <w:r w:rsidRPr="0048302B">
        <w:rPr>
          <w:rFonts w:cs="Times New Roman"/>
        </w:rPr>
        <w:t xml:space="preserve">.82) </w:t>
      </w:r>
      <w:r w:rsidR="007749B0">
        <w:rPr>
          <w:rFonts w:cs="Times New Roman"/>
        </w:rPr>
        <w:t>[</w:t>
      </w:r>
      <w:r w:rsidR="00FC6618" w:rsidRPr="00FC6618">
        <w:rPr>
          <w:rFonts w:cs="Times New Roman"/>
          <w:vertAlign w:val="superscript"/>
          <w:lang w:val="en-US"/>
          <w14:ligatures w14:val="standardContextual"/>
        </w:rPr>
        <w:t>5</w:t>
      </w:r>
      <w:r w:rsidR="007749B0">
        <w:rPr>
          <w:rFonts w:cs="Times New Roman"/>
        </w:rPr>
        <w:t>]</w:t>
      </w:r>
      <w:r w:rsidRPr="0048302B">
        <w:rPr>
          <w:rFonts w:cs="Times New Roman"/>
        </w:rPr>
        <w:t xml:space="preserve">. Participants in the present study were administered the German version of the ESS </w:t>
      </w:r>
      <w:r w:rsidR="007749B0">
        <w:rPr>
          <w:rFonts w:cs="Times New Roman"/>
        </w:rPr>
        <w:t>[</w:t>
      </w:r>
      <w:r w:rsidR="00FC6618" w:rsidRPr="00FC6618">
        <w:rPr>
          <w:rFonts w:cs="Times New Roman"/>
          <w:vertAlign w:val="superscript"/>
          <w:lang w:val="en-US"/>
          <w14:ligatures w14:val="standardContextual"/>
        </w:rPr>
        <w:t>6</w:t>
      </w:r>
      <w:r w:rsidR="007749B0">
        <w:rPr>
          <w:rFonts w:cs="Times New Roman"/>
        </w:rPr>
        <w:t>]</w:t>
      </w:r>
      <w:r w:rsidRPr="0048302B">
        <w:rPr>
          <w:rFonts w:cs="Times New Roman"/>
        </w:rPr>
        <w:t>. According to a German validation study, scores higher than 10 categorize a participant</w:t>
      </w:r>
      <w:r>
        <w:rPr>
          <w:rFonts w:cs="Times New Roman"/>
        </w:rPr>
        <w:t>’s</w:t>
      </w:r>
      <w:r w:rsidRPr="0048302B">
        <w:rPr>
          <w:rFonts w:cs="Times New Roman"/>
        </w:rPr>
        <w:t xml:space="preserve"> </w:t>
      </w:r>
      <w:r>
        <w:rPr>
          <w:rFonts w:cs="Times New Roman"/>
        </w:rPr>
        <w:t xml:space="preserve">daytime </w:t>
      </w:r>
      <w:r>
        <w:rPr>
          <w:rFonts w:cs="Times New Roman"/>
        </w:rPr>
        <w:lastRenderedPageBreak/>
        <w:t>sleepiness as</w:t>
      </w:r>
      <w:r w:rsidRPr="0048302B">
        <w:rPr>
          <w:rFonts w:cs="Times New Roman"/>
        </w:rPr>
        <w:t xml:space="preserve"> </w:t>
      </w:r>
      <w:r w:rsidR="007749B0">
        <w:rPr>
          <w:rFonts w:cs="Times New Roman"/>
        </w:rPr>
        <w:t>‘</w:t>
      </w:r>
      <w:r w:rsidRPr="0048302B">
        <w:rPr>
          <w:rFonts w:cs="Times New Roman"/>
        </w:rPr>
        <w:t>clinically suspicious</w:t>
      </w:r>
      <w:r w:rsidR="007749B0">
        <w:rPr>
          <w:rFonts w:cs="Times New Roman"/>
        </w:rPr>
        <w:t>’</w:t>
      </w:r>
      <w:r w:rsidRPr="0048302B">
        <w:rPr>
          <w:rFonts w:cs="Times New Roman"/>
        </w:rPr>
        <w:t xml:space="preserve">, while scores </w:t>
      </w:r>
      <w:r w:rsidR="00C55F66">
        <w:rPr>
          <w:rFonts w:cs="Times New Roman"/>
        </w:rPr>
        <w:t xml:space="preserve">&gt; </w:t>
      </w:r>
      <w:r w:rsidRPr="0048302B">
        <w:rPr>
          <w:rFonts w:cs="Times New Roman"/>
        </w:rPr>
        <w:t xml:space="preserve">12 define </w:t>
      </w:r>
      <w:r>
        <w:rPr>
          <w:rFonts w:cs="Times New Roman"/>
        </w:rPr>
        <w:t>it as</w:t>
      </w:r>
      <w:r w:rsidRPr="0048302B">
        <w:rPr>
          <w:rFonts w:cs="Times New Roman"/>
        </w:rPr>
        <w:t xml:space="preserve"> </w:t>
      </w:r>
      <w:r w:rsidR="007749B0">
        <w:rPr>
          <w:rFonts w:cs="Times New Roman"/>
        </w:rPr>
        <w:t>‘</w:t>
      </w:r>
      <w:r w:rsidRPr="0048302B">
        <w:rPr>
          <w:rFonts w:cs="Times New Roman"/>
        </w:rPr>
        <w:t>clinically relevant</w:t>
      </w:r>
      <w:r w:rsidR="007749B0">
        <w:rPr>
          <w:rFonts w:cs="Times New Roman"/>
        </w:rPr>
        <w:t>’</w:t>
      </w:r>
      <w:r>
        <w:rPr>
          <w:rFonts w:cs="Times New Roman"/>
        </w:rPr>
        <w:t xml:space="preserve"> </w:t>
      </w:r>
      <w:r w:rsidR="007749B0">
        <w:rPr>
          <w:rFonts w:cs="Times New Roman"/>
        </w:rPr>
        <w:t>[</w:t>
      </w:r>
      <w:r w:rsidR="00FC6618" w:rsidRPr="00FC6618">
        <w:rPr>
          <w:rFonts w:cs="Times New Roman"/>
          <w:vertAlign w:val="superscript"/>
          <w:lang w:val="de-DE"/>
          <w14:ligatures w14:val="standardContextual"/>
        </w:rPr>
        <w:t>6</w:t>
      </w:r>
      <w:r w:rsidR="007749B0">
        <w:rPr>
          <w:rFonts w:cs="Times New Roman"/>
        </w:rPr>
        <w:t>]</w:t>
      </w:r>
      <w:r w:rsidRPr="0048302B">
        <w:rPr>
          <w:rFonts w:cs="Times New Roman"/>
        </w:rPr>
        <w:t>.</w:t>
      </w:r>
    </w:p>
    <w:p w14:paraId="47F92DE3" w14:textId="77777777" w:rsidR="00E91CF9" w:rsidRPr="009F1562" w:rsidRDefault="00E91CF9" w:rsidP="009F1562">
      <w:pPr>
        <w:ind w:firstLine="0"/>
        <w:rPr>
          <w:rFonts w:ascii="Arial" w:hAnsi="Arial" w:cs="Arial"/>
          <w:i/>
          <w:iCs/>
        </w:rPr>
      </w:pPr>
      <w:r w:rsidRPr="009F1562">
        <w:rPr>
          <w:rFonts w:ascii="Arial" w:hAnsi="Arial" w:cs="Arial"/>
          <w:i/>
          <w:iCs/>
        </w:rPr>
        <w:t>Fatigue</w:t>
      </w:r>
    </w:p>
    <w:p w14:paraId="3D6248B0" w14:textId="42BF3731" w:rsidR="00E91CF9" w:rsidRPr="00AB3C33" w:rsidRDefault="00E075A9" w:rsidP="00E91CF9">
      <w:pPr>
        <w:ind w:firstLine="0"/>
      </w:pPr>
      <w:r>
        <w:t>The following</w:t>
      </w:r>
      <w:r w:rsidR="00E91CF9">
        <w:t xml:space="preserve"> </w:t>
      </w:r>
      <w:r>
        <w:t xml:space="preserve">three </w:t>
      </w:r>
      <w:r w:rsidR="00E91CF9">
        <w:t xml:space="preserve">questionnaires </w:t>
      </w:r>
      <w:r w:rsidR="0010560A">
        <w:t>were used to assess</w:t>
      </w:r>
      <w:r w:rsidR="00E91CF9">
        <w:t xml:space="preserve"> fatigue </w:t>
      </w:r>
      <w:r>
        <w:t>levels during</w:t>
      </w:r>
      <w:r w:rsidR="00E91CF9">
        <w:t xml:space="preserve"> screening and </w:t>
      </w:r>
      <w:r w:rsidR="0010560A">
        <w:t>intervention</w:t>
      </w:r>
      <w:r w:rsidR="00E91CF9">
        <w:t xml:space="preserve"> weeks. </w:t>
      </w:r>
    </w:p>
    <w:p w14:paraId="7E8B5F00" w14:textId="71828461" w:rsidR="00E91CF9" w:rsidRDefault="0010560A" w:rsidP="00E91CF9">
      <w:pPr>
        <w:pStyle w:val="ListParagraph"/>
        <w:numPr>
          <w:ilvl w:val="0"/>
          <w:numId w:val="3"/>
        </w:numPr>
        <w:spacing w:before="60" w:after="60"/>
        <w:rPr>
          <w:rFonts w:cs="Times New Roman"/>
        </w:rPr>
      </w:pPr>
      <w:r>
        <w:rPr>
          <w:rFonts w:cs="Times New Roman"/>
        </w:rPr>
        <w:t>Using</w:t>
      </w:r>
      <w:r w:rsidR="00E91CF9">
        <w:rPr>
          <w:rFonts w:cs="Times New Roman"/>
        </w:rPr>
        <w:t xml:space="preserve"> a </w:t>
      </w:r>
      <w:r w:rsidR="00E91CF9" w:rsidRPr="00A50EB3">
        <w:rPr>
          <w:rFonts w:cs="Times New Roman"/>
          <w:b/>
          <w:bCs/>
        </w:rPr>
        <w:t>Visual Analogue Scale for Fatigue</w:t>
      </w:r>
      <w:r w:rsidR="00E91CF9">
        <w:rPr>
          <w:rFonts w:cs="Times New Roman"/>
        </w:rPr>
        <w:t xml:space="preserve"> (VAS_F), participants rated their current fatigue levels from 0% (no fatigue) to 100</w:t>
      </w:r>
      <w:r>
        <w:rPr>
          <w:rFonts w:cs="Times New Roman"/>
        </w:rPr>
        <w:t xml:space="preserve"> </w:t>
      </w:r>
      <w:r w:rsidR="00E91CF9">
        <w:rPr>
          <w:rFonts w:cs="Times New Roman"/>
        </w:rPr>
        <w:t>(very strong fatigue)</w:t>
      </w:r>
      <w:r w:rsidR="00DF46FE">
        <w:rPr>
          <w:rFonts w:cs="Times New Roman"/>
        </w:rPr>
        <w:t>, serving as primary outcome measure.</w:t>
      </w:r>
    </w:p>
    <w:p w14:paraId="43C885C0" w14:textId="676CE8D1" w:rsidR="00E91CF9" w:rsidRDefault="00E91CF9" w:rsidP="00E91CF9">
      <w:pPr>
        <w:pStyle w:val="ListParagraph"/>
        <w:numPr>
          <w:ilvl w:val="0"/>
          <w:numId w:val="3"/>
        </w:numPr>
        <w:spacing w:before="60" w:after="60"/>
        <w:rPr>
          <w:rFonts w:cs="Times New Roman"/>
        </w:rPr>
      </w:pPr>
      <w:r w:rsidRPr="0048302B">
        <w:rPr>
          <w:rFonts w:cs="Times New Roman"/>
        </w:rPr>
        <w:t xml:space="preserve">The </w:t>
      </w:r>
      <w:r w:rsidRPr="0048302B">
        <w:rPr>
          <w:rFonts w:cs="Times New Roman"/>
          <w:b/>
          <w:bCs/>
        </w:rPr>
        <w:t>Fatigue Severity Scale</w:t>
      </w:r>
      <w:r w:rsidRPr="0048302B">
        <w:rPr>
          <w:rFonts w:cs="Times New Roman"/>
        </w:rPr>
        <w:t xml:space="preserve"> (FSS) </w:t>
      </w:r>
      <w:r w:rsidR="007749B0">
        <w:rPr>
          <w:rFonts w:cs="Times New Roman"/>
        </w:rPr>
        <w:t>[</w:t>
      </w:r>
      <w:r w:rsidR="00FC6618" w:rsidRPr="00396F6F">
        <w:rPr>
          <w:rFonts w:cs="Times New Roman"/>
          <w:vertAlign w:val="superscript"/>
          <w:lang w:val="en-US"/>
          <w14:ligatures w14:val="standardContextual"/>
        </w:rPr>
        <w:t>7</w:t>
      </w:r>
      <w:r w:rsidR="007749B0">
        <w:rPr>
          <w:rFonts w:cs="Times New Roman"/>
        </w:rPr>
        <w:t>]</w:t>
      </w:r>
      <w:r w:rsidRPr="0048302B">
        <w:rPr>
          <w:rFonts w:cs="Times New Roman"/>
        </w:rPr>
        <w:t xml:space="preserve"> is a </w:t>
      </w:r>
      <w:r>
        <w:rPr>
          <w:rFonts w:cs="Times New Roman"/>
        </w:rPr>
        <w:t>nine</w:t>
      </w:r>
      <w:r w:rsidRPr="0048302B">
        <w:rPr>
          <w:rFonts w:cs="Times New Roman"/>
        </w:rPr>
        <w:t xml:space="preserve">-item questionnaire that assesses the severity of fatigue during the week prior to testing on a 7-point scale from 1 </w:t>
      </w:r>
      <w:r>
        <w:rPr>
          <w:rFonts w:cs="Times New Roman"/>
        </w:rPr>
        <w:t>(</w:t>
      </w:r>
      <w:r w:rsidRPr="0048302B">
        <w:rPr>
          <w:rFonts w:cs="Times New Roman"/>
          <w:i/>
          <w:iCs/>
        </w:rPr>
        <w:t>disagree</w:t>
      </w:r>
      <w:r>
        <w:rPr>
          <w:rFonts w:cs="Times New Roman"/>
        </w:rPr>
        <w:t>)</w:t>
      </w:r>
      <w:r w:rsidRPr="0048302B">
        <w:rPr>
          <w:rFonts w:cs="Times New Roman"/>
        </w:rPr>
        <w:t xml:space="preserve"> to 7 </w:t>
      </w:r>
      <w:r>
        <w:rPr>
          <w:rFonts w:cs="Times New Roman"/>
        </w:rPr>
        <w:t>(</w:t>
      </w:r>
      <w:r w:rsidRPr="0048302B">
        <w:rPr>
          <w:rFonts w:cs="Times New Roman"/>
          <w:i/>
          <w:iCs/>
        </w:rPr>
        <w:t>agree</w:t>
      </w:r>
      <w:r>
        <w:rPr>
          <w:rFonts w:cs="Times New Roman"/>
        </w:rPr>
        <w:t>)</w:t>
      </w:r>
      <w:r w:rsidRPr="0048302B">
        <w:rPr>
          <w:rFonts w:cs="Times New Roman"/>
        </w:rPr>
        <w:t xml:space="preserve">. The </w:t>
      </w:r>
      <w:r>
        <w:rPr>
          <w:rFonts w:cs="Times New Roman"/>
        </w:rPr>
        <w:t>total</w:t>
      </w:r>
      <w:r w:rsidRPr="0048302B">
        <w:rPr>
          <w:rFonts w:cs="Times New Roman"/>
        </w:rPr>
        <w:t xml:space="preserve"> score</w:t>
      </w:r>
      <w:r w:rsidR="003A4740">
        <w:rPr>
          <w:rFonts w:cs="Times New Roman"/>
        </w:rPr>
        <w:t>,</w:t>
      </w:r>
      <w:r w:rsidRPr="0048302B">
        <w:rPr>
          <w:rFonts w:cs="Times New Roman"/>
        </w:rPr>
        <w:t xml:space="preserve"> </w:t>
      </w:r>
      <w:r w:rsidR="003A4740">
        <w:rPr>
          <w:rFonts w:cs="Times New Roman"/>
        </w:rPr>
        <w:t xml:space="preserve">used as primary outcome measure in the current study, </w:t>
      </w:r>
      <w:r w:rsidRPr="0048302B">
        <w:rPr>
          <w:rFonts w:cs="Times New Roman"/>
        </w:rPr>
        <w:t>ranges from 9 to 63, with values &gt;</w:t>
      </w:r>
      <w:r w:rsidR="0010560A">
        <w:rPr>
          <w:rFonts w:cs="Times New Roman"/>
        </w:rPr>
        <w:t>3</w:t>
      </w:r>
      <w:r w:rsidRPr="0048302B">
        <w:rPr>
          <w:rFonts w:cs="Times New Roman"/>
        </w:rPr>
        <w:t>6 indicating fatigue</w:t>
      </w:r>
      <w:r w:rsidR="00E075A9">
        <w:rPr>
          <w:rFonts w:cs="Times New Roman"/>
        </w:rPr>
        <w:t xml:space="preserve"> </w:t>
      </w:r>
      <w:r w:rsidR="007749B0">
        <w:rPr>
          <w:rFonts w:cs="Times New Roman"/>
        </w:rPr>
        <w:t>[</w:t>
      </w:r>
      <w:r w:rsidR="00FC6618" w:rsidRPr="0010525A">
        <w:rPr>
          <w:rFonts w:cs="Times New Roman"/>
          <w:vertAlign w:val="superscript"/>
          <w:lang w:val="en-US"/>
          <w14:ligatures w14:val="standardContextual"/>
        </w:rPr>
        <w:t>8–10</w:t>
      </w:r>
      <w:r w:rsidR="007749B0">
        <w:rPr>
          <w:rFonts w:cs="Times New Roman"/>
        </w:rPr>
        <w:t>]</w:t>
      </w:r>
      <w:r w:rsidRPr="0048302B">
        <w:rPr>
          <w:rFonts w:cs="Times New Roman"/>
        </w:rPr>
        <w:t>. The internal consistency of the FSS is high, with a Cronbach</w:t>
      </w:r>
      <w:r>
        <w:rPr>
          <w:rFonts w:cs="Times New Roman"/>
        </w:rPr>
        <w:t>’</w:t>
      </w:r>
      <w:r w:rsidRPr="0048302B">
        <w:rPr>
          <w:rFonts w:cs="Times New Roman"/>
        </w:rPr>
        <w:t>s α of .94. The German version of the FSS was used in the current study with test</w:t>
      </w:r>
      <w:r w:rsidRPr="00286E03">
        <w:rPr>
          <w:rFonts w:cs="Times New Roman"/>
        </w:rPr>
        <w:t>–</w:t>
      </w:r>
      <w:r w:rsidRPr="0048302B">
        <w:rPr>
          <w:rFonts w:cs="Times New Roman"/>
        </w:rPr>
        <w:t xml:space="preserve">retest reliability of the individual items ranging from </w:t>
      </w:r>
      <w:r w:rsidRPr="000C1C04">
        <w:rPr>
          <w:rFonts w:cs="Times New Roman"/>
          <w:i/>
          <w:iCs/>
        </w:rPr>
        <w:t>r</w:t>
      </w:r>
      <w:r w:rsidR="009B76D6">
        <w:rPr>
          <w:rFonts w:cs="Times New Roman"/>
          <w:i/>
          <w:iCs/>
        </w:rPr>
        <w:t xml:space="preserve"> </w:t>
      </w:r>
      <w:r w:rsidRPr="0048302B">
        <w:rPr>
          <w:rFonts w:cs="Times New Roman"/>
        </w:rPr>
        <w:t>=</w:t>
      </w:r>
      <w:r w:rsidR="009B76D6">
        <w:rPr>
          <w:rFonts w:cs="Times New Roman"/>
        </w:rPr>
        <w:t xml:space="preserve"> </w:t>
      </w:r>
      <w:r w:rsidRPr="0048302B">
        <w:rPr>
          <w:rFonts w:cs="Times New Roman"/>
        </w:rPr>
        <w:t xml:space="preserve">.63 to </w:t>
      </w:r>
      <w:r w:rsidRPr="000C1C04">
        <w:rPr>
          <w:rFonts w:cs="Times New Roman"/>
          <w:i/>
          <w:iCs/>
        </w:rPr>
        <w:t>r</w:t>
      </w:r>
      <w:r w:rsidR="009B76D6">
        <w:rPr>
          <w:rFonts w:cs="Times New Roman"/>
          <w:i/>
          <w:iCs/>
        </w:rPr>
        <w:t xml:space="preserve"> </w:t>
      </w:r>
      <w:r w:rsidRPr="0048302B">
        <w:rPr>
          <w:rFonts w:cs="Times New Roman"/>
        </w:rPr>
        <w:t>=</w:t>
      </w:r>
      <w:r w:rsidR="009B76D6">
        <w:rPr>
          <w:rFonts w:cs="Times New Roman"/>
        </w:rPr>
        <w:t xml:space="preserve"> </w:t>
      </w:r>
      <w:r w:rsidRPr="0048302B">
        <w:rPr>
          <w:rFonts w:cs="Times New Roman"/>
        </w:rPr>
        <w:t xml:space="preserve">.88 </w:t>
      </w:r>
      <w:r w:rsidR="007749B0">
        <w:rPr>
          <w:rFonts w:cs="Times New Roman"/>
        </w:rPr>
        <w:t>[</w:t>
      </w:r>
      <w:r w:rsidR="00FC6618" w:rsidRPr="00396F6F">
        <w:rPr>
          <w:rFonts w:cs="Times New Roman"/>
          <w:vertAlign w:val="superscript"/>
          <w:lang w:val="en-US"/>
          <w14:ligatures w14:val="standardContextual"/>
        </w:rPr>
        <w:t>11</w:t>
      </w:r>
      <w:r w:rsidR="007749B0">
        <w:rPr>
          <w:rFonts w:cs="Times New Roman"/>
        </w:rPr>
        <w:t>]</w:t>
      </w:r>
      <w:r w:rsidRPr="0048302B">
        <w:rPr>
          <w:rFonts w:cs="Times New Roman"/>
        </w:rPr>
        <w:t xml:space="preserve">. </w:t>
      </w:r>
    </w:p>
    <w:p w14:paraId="7EBFEF3D" w14:textId="77F52BC7" w:rsidR="00E91CF9" w:rsidRPr="0048302B" w:rsidRDefault="00E91CF9" w:rsidP="00E91CF9">
      <w:pPr>
        <w:pStyle w:val="ListParagraph"/>
        <w:numPr>
          <w:ilvl w:val="0"/>
          <w:numId w:val="3"/>
        </w:numPr>
        <w:spacing w:before="60" w:after="60"/>
        <w:rPr>
          <w:rFonts w:cs="Times New Roman"/>
        </w:rPr>
      </w:pPr>
      <w:r>
        <w:t xml:space="preserve">The </w:t>
      </w:r>
      <w:r>
        <w:rPr>
          <w:b/>
          <w:bCs/>
        </w:rPr>
        <w:t xml:space="preserve">Daily Fatigue Impact Scale </w:t>
      </w:r>
      <w:r>
        <w:t xml:space="preserve">(D-FIS) </w:t>
      </w:r>
      <w:r w:rsidR="007749B0">
        <w:t>[</w:t>
      </w:r>
      <w:r w:rsidR="00FC6618" w:rsidRPr="00396F6F">
        <w:rPr>
          <w:rFonts w:cs="Times New Roman"/>
          <w:vertAlign w:val="superscript"/>
          <w:lang w:val="en-US"/>
          <w14:ligatures w14:val="standardContextual"/>
        </w:rPr>
        <w:t>12</w:t>
      </w:r>
      <w:r w:rsidR="007749B0">
        <w:t>]</w:t>
      </w:r>
      <w:r>
        <w:t xml:space="preserve">, an eight-item questionnaire based on the Fatigue Impact Scale </w:t>
      </w:r>
      <w:r w:rsidR="00FC6618" w:rsidRPr="0010525A">
        <w:rPr>
          <w:rFonts w:cs="Times New Roman"/>
          <w:vertAlign w:val="superscript"/>
          <w:lang w:val="en-US"/>
          <w14:ligatures w14:val="standardContextual"/>
        </w:rPr>
        <w:t>13</w:t>
      </w:r>
      <w:r>
        <w:t>, was used every other evening during participation. Respondents rate the effects of fatigue on daily life on a five-point Likert scale from 0 (</w:t>
      </w:r>
      <w:r>
        <w:rPr>
          <w:i/>
          <w:iCs/>
        </w:rPr>
        <w:t>no problem</w:t>
      </w:r>
      <w:r>
        <w:t>) to 4 (</w:t>
      </w:r>
      <w:r>
        <w:rPr>
          <w:i/>
          <w:iCs/>
        </w:rPr>
        <w:t>extreme problem</w:t>
      </w:r>
      <w:r>
        <w:t>). The sum score ranges from 0 to 32, with higher scores indicating stronger effects of fatigue. For the current study, a non-validated German version of the D-FIS was created by the authors by means of forward-and-back translation.</w:t>
      </w:r>
      <w:r w:rsidR="00DF46FE">
        <w:t xml:space="preserve"> </w:t>
      </w:r>
    </w:p>
    <w:p w14:paraId="2449E4DB" w14:textId="77777777" w:rsidR="00E91CF9" w:rsidRPr="009F1562" w:rsidRDefault="00E91CF9" w:rsidP="009F1562">
      <w:pPr>
        <w:ind w:firstLine="0"/>
        <w:rPr>
          <w:rFonts w:ascii="Arial" w:hAnsi="Arial" w:cs="Arial"/>
          <w:i/>
          <w:iCs/>
        </w:rPr>
      </w:pPr>
      <w:r w:rsidRPr="009F1562">
        <w:rPr>
          <w:rFonts w:ascii="Arial" w:hAnsi="Arial" w:cs="Arial"/>
          <w:i/>
          <w:iCs/>
        </w:rPr>
        <w:t>Screening for Sleep Quality</w:t>
      </w:r>
    </w:p>
    <w:p w14:paraId="41DD7C67" w14:textId="46D087AF" w:rsidR="00E91CF9" w:rsidRPr="0048302B" w:rsidRDefault="00E91CF9" w:rsidP="00E91CF9">
      <w:pPr>
        <w:pStyle w:val="ListParagraph"/>
        <w:numPr>
          <w:ilvl w:val="0"/>
          <w:numId w:val="4"/>
        </w:numPr>
        <w:spacing w:before="60" w:after="60"/>
        <w:rPr>
          <w:rFonts w:cs="Times New Roman"/>
        </w:rPr>
      </w:pPr>
      <w:r w:rsidRPr="0048302B">
        <w:rPr>
          <w:rFonts w:cs="Times New Roman"/>
        </w:rPr>
        <w:t xml:space="preserve">The </w:t>
      </w:r>
      <w:r w:rsidRPr="0048302B">
        <w:rPr>
          <w:rFonts w:cs="Times New Roman"/>
          <w:b/>
          <w:bCs/>
        </w:rPr>
        <w:t>Pittsburgh Sleep Quality Index</w:t>
      </w:r>
      <w:r w:rsidRPr="0048302B">
        <w:rPr>
          <w:rFonts w:cs="Times New Roman"/>
        </w:rPr>
        <w:t xml:space="preserve"> (PSQI) </w:t>
      </w:r>
      <w:r w:rsidR="007749B0">
        <w:rPr>
          <w:rFonts w:cs="Times New Roman"/>
        </w:rPr>
        <w:t>[</w:t>
      </w:r>
      <w:r w:rsidR="00FC6618" w:rsidRPr="00396F6F">
        <w:rPr>
          <w:rFonts w:cs="Times New Roman"/>
          <w:vertAlign w:val="superscript"/>
          <w:lang w:val="en-US"/>
          <w14:ligatures w14:val="standardContextual"/>
        </w:rPr>
        <w:t>14</w:t>
      </w:r>
      <w:r w:rsidR="007749B0">
        <w:rPr>
          <w:rFonts w:cs="Times New Roman"/>
        </w:rPr>
        <w:t>]</w:t>
      </w:r>
      <w:r w:rsidRPr="0048302B">
        <w:rPr>
          <w:rFonts w:cs="Times New Roman"/>
        </w:rPr>
        <w:t xml:space="preserve"> is a self-administered questionnaire that assesses sleep quality and disturbances over a 1-month </w:t>
      </w:r>
      <w:r>
        <w:rPr>
          <w:rFonts w:cs="Times New Roman"/>
        </w:rPr>
        <w:t>period</w:t>
      </w:r>
      <w:r w:rsidRPr="0048302B">
        <w:rPr>
          <w:rFonts w:cs="Times New Roman"/>
        </w:rPr>
        <w:t xml:space="preserve">. The PSQI contains 19 items from which seven sleep component scores are derived (e.g., subjective sleep </w:t>
      </w:r>
      <w:r w:rsidRPr="0048302B">
        <w:rPr>
          <w:rFonts w:cs="Times New Roman"/>
        </w:rPr>
        <w:lastRenderedPageBreak/>
        <w:t>quality, sleep latency). A global sleep quality score can be calculated as the sum of the component scores with a minimum of 0 and a maximum of 21. This score can be used to group participants as</w:t>
      </w:r>
      <w:r w:rsidR="009B76D6">
        <w:rPr>
          <w:rFonts w:cs="Times New Roman"/>
        </w:rPr>
        <w:t xml:space="preserve"> having generally</w:t>
      </w:r>
      <w:r w:rsidRPr="0048302B">
        <w:rPr>
          <w:rFonts w:cs="Times New Roman"/>
        </w:rPr>
        <w:t xml:space="preserve"> good (score of 5 or lower) </w:t>
      </w:r>
      <w:r w:rsidR="009B76D6">
        <w:rPr>
          <w:rFonts w:cs="Times New Roman"/>
        </w:rPr>
        <w:t>or</w:t>
      </w:r>
      <w:r w:rsidRPr="0048302B">
        <w:rPr>
          <w:rFonts w:cs="Times New Roman"/>
        </w:rPr>
        <w:t xml:space="preserve"> bad </w:t>
      </w:r>
      <w:r w:rsidR="009B76D6">
        <w:rPr>
          <w:rFonts w:cs="Times New Roman"/>
        </w:rPr>
        <w:t>sleep</w:t>
      </w:r>
      <w:r w:rsidRPr="0048302B">
        <w:rPr>
          <w:rFonts w:cs="Times New Roman"/>
        </w:rPr>
        <w:t xml:space="preserve"> (score above 5). The PSQI shows sufficient internal consistency with a Cronbach’s α of .83, a sensitivity of 89.6%, a specificity of 86.5%, and sufficient test</w:t>
      </w:r>
      <w:r w:rsidRPr="00286E03">
        <w:rPr>
          <w:rFonts w:cs="Times New Roman"/>
        </w:rPr>
        <w:t>–</w:t>
      </w:r>
      <w:r w:rsidRPr="0048302B">
        <w:rPr>
          <w:rFonts w:cs="Times New Roman"/>
        </w:rPr>
        <w:t>retest</w:t>
      </w:r>
      <w:r>
        <w:rPr>
          <w:rFonts w:cs="Times New Roman"/>
        </w:rPr>
        <w:t xml:space="preserve"> </w:t>
      </w:r>
      <w:r w:rsidRPr="0048302B">
        <w:rPr>
          <w:rFonts w:cs="Times New Roman"/>
        </w:rPr>
        <w:t xml:space="preserve">reliability </w:t>
      </w:r>
      <w:r>
        <w:rPr>
          <w:rFonts w:cs="Times New Roman"/>
        </w:rPr>
        <w:t xml:space="preserve">of </w:t>
      </w:r>
      <w:r w:rsidRPr="0048302B">
        <w:rPr>
          <w:rFonts w:cs="Times New Roman"/>
          <w:i/>
          <w:iCs/>
        </w:rPr>
        <w:t>r</w:t>
      </w:r>
      <w:r w:rsidRPr="0048302B">
        <w:rPr>
          <w:rFonts w:cs="Times New Roman"/>
        </w:rPr>
        <w:t xml:space="preserve">=.88 </w:t>
      </w:r>
      <w:r w:rsidR="007749B0">
        <w:rPr>
          <w:rFonts w:cs="Times New Roman"/>
        </w:rPr>
        <w:t>[</w:t>
      </w:r>
      <w:r w:rsidR="00FC6618" w:rsidRPr="0010525A">
        <w:rPr>
          <w:rFonts w:cs="Times New Roman"/>
          <w:vertAlign w:val="superscript"/>
          <w:lang w:val="en-US"/>
          <w14:ligatures w14:val="standardContextual"/>
        </w:rPr>
        <w:t>14</w:t>
      </w:r>
      <w:r w:rsidR="007749B0">
        <w:rPr>
          <w:rFonts w:cs="Times New Roman"/>
        </w:rPr>
        <w:t>]</w:t>
      </w:r>
      <w:r w:rsidRPr="0048302B">
        <w:rPr>
          <w:rFonts w:cs="Times New Roman"/>
        </w:rPr>
        <w:t>. In the present study, a validated German version of the PSQI was used</w:t>
      </w:r>
      <w:r w:rsidR="00DC6691">
        <w:rPr>
          <w:rFonts w:cs="Times New Roman"/>
        </w:rPr>
        <w:t xml:space="preserve"> during screening</w:t>
      </w:r>
      <w:r w:rsidRPr="0048302B">
        <w:rPr>
          <w:rFonts w:cs="Times New Roman"/>
        </w:rPr>
        <w:t xml:space="preserve"> </w:t>
      </w:r>
      <w:r w:rsidR="007749B0">
        <w:rPr>
          <w:rFonts w:cs="Times New Roman"/>
        </w:rPr>
        <w:t>[</w:t>
      </w:r>
      <w:r w:rsidR="00FC6618" w:rsidRPr="00FC6618">
        <w:rPr>
          <w:rFonts w:cs="Times New Roman"/>
          <w:vertAlign w:val="superscript"/>
          <w:lang w:val="de-DE"/>
          <w14:ligatures w14:val="standardContextual"/>
        </w:rPr>
        <w:t>15</w:t>
      </w:r>
      <w:r w:rsidR="007749B0">
        <w:rPr>
          <w:rFonts w:cs="Times New Roman"/>
        </w:rPr>
        <w:t>]</w:t>
      </w:r>
      <w:r w:rsidRPr="0048302B">
        <w:rPr>
          <w:rFonts w:cs="Times New Roman"/>
        </w:rPr>
        <w:t>.</w:t>
      </w:r>
    </w:p>
    <w:p w14:paraId="68FA42E6" w14:textId="77777777" w:rsidR="00E91CF9" w:rsidRPr="009F1562" w:rsidRDefault="00E91CF9" w:rsidP="009F1562">
      <w:pPr>
        <w:ind w:firstLine="0"/>
        <w:rPr>
          <w:rFonts w:ascii="Arial" w:hAnsi="Arial" w:cs="Arial"/>
          <w:i/>
          <w:iCs/>
        </w:rPr>
      </w:pPr>
      <w:r w:rsidRPr="009F1562">
        <w:rPr>
          <w:rFonts w:ascii="Arial" w:hAnsi="Arial" w:cs="Arial"/>
          <w:i/>
          <w:iCs/>
        </w:rPr>
        <w:t>Screening for Chronotype</w:t>
      </w:r>
    </w:p>
    <w:p w14:paraId="63E55655" w14:textId="12F8F553" w:rsidR="00E91CF9" w:rsidRPr="00991AB7" w:rsidRDefault="00E91CF9" w:rsidP="00E91CF9">
      <w:pPr>
        <w:pStyle w:val="ListParagraph"/>
        <w:numPr>
          <w:ilvl w:val="0"/>
          <w:numId w:val="4"/>
        </w:numPr>
        <w:spacing w:before="60" w:after="60"/>
        <w:rPr>
          <w:rFonts w:cs="Times New Roman"/>
        </w:rPr>
      </w:pPr>
      <w:r w:rsidRPr="00991AB7">
        <w:rPr>
          <w:rFonts w:cs="Times New Roman"/>
        </w:rPr>
        <w:t xml:space="preserve">The </w:t>
      </w:r>
      <w:r>
        <w:rPr>
          <w:rFonts w:cs="Times New Roman"/>
          <w:b/>
          <w:bCs/>
        </w:rPr>
        <w:t>Morningness–Eveningness Questionnaire (MEQ)</w:t>
      </w:r>
      <w:r w:rsidRPr="00991AB7">
        <w:rPr>
          <w:rFonts w:cs="Times New Roman"/>
        </w:rPr>
        <w:t xml:space="preserve"> assesses </w:t>
      </w:r>
      <w:r w:rsidR="00F57828">
        <w:rPr>
          <w:rFonts w:cs="Times New Roman"/>
        </w:rPr>
        <w:t>the</w:t>
      </w:r>
      <w:r w:rsidRPr="00991AB7">
        <w:rPr>
          <w:rFonts w:cs="Times New Roman"/>
        </w:rPr>
        <w:t xml:space="preserve"> chronotype. </w:t>
      </w:r>
      <w:r>
        <w:rPr>
          <w:rFonts w:cs="Times New Roman"/>
        </w:rPr>
        <w:t xml:space="preserve">Responses </w:t>
      </w:r>
      <w:r w:rsidRPr="00991AB7">
        <w:rPr>
          <w:rFonts w:cs="Times New Roman"/>
        </w:rPr>
        <w:t>to its 19 questions regarding performance, sleep behaviour, and well-being within a 24-hour time frame</w:t>
      </w:r>
      <w:r>
        <w:rPr>
          <w:rFonts w:cs="Times New Roman"/>
        </w:rPr>
        <w:t xml:space="preserve"> are </w:t>
      </w:r>
      <w:r w:rsidRPr="00991AB7">
        <w:rPr>
          <w:rFonts w:cs="Times New Roman"/>
        </w:rPr>
        <w:t>sum</w:t>
      </w:r>
      <w:r>
        <w:rPr>
          <w:rFonts w:cs="Times New Roman"/>
        </w:rPr>
        <w:t>m</w:t>
      </w:r>
      <w:r w:rsidR="006D04BB">
        <w:rPr>
          <w:rFonts w:cs="Times New Roman"/>
        </w:rPr>
        <w:t>e</w:t>
      </w:r>
      <w:r>
        <w:rPr>
          <w:rFonts w:cs="Times New Roman"/>
        </w:rPr>
        <w:t>d to provide a total</w:t>
      </w:r>
      <w:r w:rsidRPr="00991AB7">
        <w:rPr>
          <w:rFonts w:cs="Times New Roman"/>
        </w:rPr>
        <w:t xml:space="preserve"> score with a maximum of 86</w:t>
      </w:r>
      <w:r>
        <w:rPr>
          <w:rFonts w:cs="Times New Roman"/>
        </w:rPr>
        <w:t>. This score indicates</w:t>
      </w:r>
      <w:r w:rsidRPr="00991AB7">
        <w:rPr>
          <w:rFonts w:cs="Times New Roman"/>
        </w:rPr>
        <w:t xml:space="preserve"> one of five chronotypes: definite evening (14–30), moderate evening (31–41), </w:t>
      </w:r>
      <w:r>
        <w:rPr>
          <w:rFonts w:cs="Times New Roman"/>
        </w:rPr>
        <w:t>neutral</w:t>
      </w:r>
      <w:r w:rsidRPr="00991AB7">
        <w:rPr>
          <w:rFonts w:cs="Times New Roman"/>
        </w:rPr>
        <w:t xml:space="preserve"> (42–58), moderate morning (59–69), and definite morning type (70–86). In the present study, the German version of the MEQ, called the D-MEQ, was used</w:t>
      </w:r>
      <w:r w:rsidR="00DC6691">
        <w:rPr>
          <w:rFonts w:cs="Times New Roman"/>
        </w:rPr>
        <w:t xml:space="preserve"> during screening. It</w:t>
      </w:r>
      <w:r>
        <w:rPr>
          <w:rFonts w:cs="Times New Roman"/>
        </w:rPr>
        <w:t xml:space="preserve"> shows high internal consistency with Cronbach’s α</w:t>
      </w:r>
      <w:r w:rsidRPr="00991AB7">
        <w:rPr>
          <w:rFonts w:cs="Times New Roman"/>
          <w:lang w:val="en-US"/>
        </w:rPr>
        <w:t xml:space="preserve"> = </w:t>
      </w:r>
      <w:r>
        <w:rPr>
          <w:rFonts w:cs="Times New Roman"/>
          <w:lang w:val="en-US"/>
        </w:rPr>
        <w:t xml:space="preserve">.82 </w:t>
      </w:r>
      <w:r w:rsidR="007749B0">
        <w:rPr>
          <w:rFonts w:cs="Times New Roman"/>
          <w:lang w:val="en-US"/>
        </w:rPr>
        <w:t>[</w:t>
      </w:r>
      <w:r w:rsidR="00FC6618" w:rsidRPr="00FC6618">
        <w:rPr>
          <w:rFonts w:cs="Times New Roman"/>
          <w:vertAlign w:val="superscript"/>
          <w:lang w:val="de-DE"/>
          <w14:ligatures w14:val="standardContextual"/>
        </w:rPr>
        <w:t>16</w:t>
      </w:r>
      <w:r w:rsidR="007749B0">
        <w:rPr>
          <w:rFonts w:cs="Times New Roman"/>
        </w:rPr>
        <w:t>]</w:t>
      </w:r>
      <w:r w:rsidRPr="00991AB7">
        <w:rPr>
          <w:rFonts w:cs="Times New Roman"/>
        </w:rPr>
        <w:t>.</w:t>
      </w:r>
    </w:p>
    <w:p w14:paraId="702DE07B" w14:textId="77777777" w:rsidR="00E91CF9" w:rsidRPr="009F1562" w:rsidRDefault="00E91CF9" w:rsidP="009F1562">
      <w:pPr>
        <w:ind w:firstLine="0"/>
        <w:rPr>
          <w:rFonts w:ascii="Arial" w:hAnsi="Arial" w:cs="Arial"/>
          <w:i/>
          <w:iCs/>
        </w:rPr>
      </w:pPr>
      <w:r w:rsidRPr="009F1562">
        <w:rPr>
          <w:rFonts w:ascii="Arial" w:hAnsi="Arial" w:cs="Arial"/>
          <w:i/>
          <w:iCs/>
        </w:rPr>
        <w:t>Mental health, quality of life</w:t>
      </w:r>
    </w:p>
    <w:p w14:paraId="2B09B437" w14:textId="5282C0D0" w:rsidR="00E91CF9" w:rsidRPr="00AB3C33" w:rsidRDefault="00E91CF9" w:rsidP="00E91CF9">
      <w:pPr>
        <w:pStyle w:val="ListParagraph"/>
        <w:numPr>
          <w:ilvl w:val="0"/>
          <w:numId w:val="2"/>
        </w:numPr>
        <w:spacing w:before="60" w:after="60"/>
        <w:rPr>
          <w:rFonts w:cs="Times New Roman"/>
          <w:b/>
          <w:bCs/>
        </w:rPr>
      </w:pPr>
      <w:r w:rsidRPr="0048302B">
        <w:rPr>
          <w:rFonts w:cs="Times New Roman"/>
        </w:rPr>
        <w:t xml:space="preserve">The </w:t>
      </w:r>
      <w:r w:rsidRPr="0048302B">
        <w:rPr>
          <w:rFonts w:cs="Times New Roman"/>
          <w:b/>
          <w:bCs/>
        </w:rPr>
        <w:t>Beck Depression Inventory-II</w:t>
      </w:r>
      <w:r w:rsidRPr="0048302B">
        <w:rPr>
          <w:rFonts w:cs="Times New Roman"/>
        </w:rPr>
        <w:t xml:space="preserve"> (BDI-II) </w:t>
      </w:r>
      <w:r w:rsidR="007749B0">
        <w:rPr>
          <w:rFonts w:cs="Times New Roman"/>
        </w:rPr>
        <w:t>[</w:t>
      </w:r>
      <w:r w:rsidR="00FC6618" w:rsidRPr="00396F6F">
        <w:rPr>
          <w:rFonts w:cs="Times New Roman"/>
          <w:vertAlign w:val="superscript"/>
          <w:lang w:val="en-US"/>
          <w14:ligatures w14:val="standardContextual"/>
        </w:rPr>
        <w:t>17</w:t>
      </w:r>
      <w:r w:rsidR="007749B0">
        <w:rPr>
          <w:rFonts w:cs="Times New Roman"/>
        </w:rPr>
        <w:t>]</w:t>
      </w:r>
      <w:r w:rsidRPr="0048302B">
        <w:rPr>
          <w:rFonts w:cs="Times New Roman"/>
        </w:rPr>
        <w:t xml:space="preserve"> is a 21-item questionnaire assessing the severity of depression symptoms such as sadness, self-harm, and loss of appetite in the two weeks prior to testing on a four-point scale from 0–3. The </w:t>
      </w:r>
      <w:r>
        <w:rPr>
          <w:rFonts w:cs="Times New Roman"/>
        </w:rPr>
        <w:t>total</w:t>
      </w:r>
      <w:r w:rsidRPr="0048302B">
        <w:rPr>
          <w:rFonts w:cs="Times New Roman"/>
        </w:rPr>
        <w:t xml:space="preserve"> score ranges from 0–63</w:t>
      </w:r>
      <w:r w:rsidR="000926CC">
        <w:rPr>
          <w:rFonts w:cs="Times New Roman"/>
        </w:rPr>
        <w:t xml:space="preserve"> </w:t>
      </w:r>
      <w:r w:rsidRPr="0048302B">
        <w:rPr>
          <w:rFonts w:cs="Times New Roman"/>
        </w:rPr>
        <w:t xml:space="preserve">indicating </w:t>
      </w:r>
      <w:r w:rsidR="000926CC">
        <w:rPr>
          <w:rFonts w:cs="Times New Roman"/>
        </w:rPr>
        <w:t>mild (</w:t>
      </w:r>
      <w:r w:rsidR="00A145DD">
        <w:rPr>
          <w:rFonts w:cs="Times New Roman"/>
        </w:rPr>
        <w:t>14</w:t>
      </w:r>
      <w:r w:rsidR="006D04BB">
        <w:rPr>
          <w:rFonts w:cs="Times New Roman"/>
        </w:rPr>
        <w:t>–</w:t>
      </w:r>
      <w:r w:rsidR="00A145DD">
        <w:rPr>
          <w:rFonts w:cs="Times New Roman"/>
        </w:rPr>
        <w:t>19</w:t>
      </w:r>
      <w:r w:rsidR="000926CC">
        <w:rPr>
          <w:rFonts w:cs="Times New Roman"/>
        </w:rPr>
        <w:t xml:space="preserve">), </w:t>
      </w:r>
      <w:r w:rsidR="00A145DD">
        <w:rPr>
          <w:rFonts w:cs="Times New Roman"/>
        </w:rPr>
        <w:t>moderate (20</w:t>
      </w:r>
      <w:r w:rsidR="006D04BB">
        <w:rPr>
          <w:rFonts w:cs="Times New Roman"/>
        </w:rPr>
        <w:t>–</w:t>
      </w:r>
      <w:r w:rsidR="00A145DD">
        <w:rPr>
          <w:rFonts w:cs="Times New Roman"/>
        </w:rPr>
        <w:t xml:space="preserve">28), and severe </w:t>
      </w:r>
      <w:r w:rsidRPr="0048302B">
        <w:rPr>
          <w:rFonts w:cs="Times New Roman"/>
        </w:rPr>
        <w:t>depression</w:t>
      </w:r>
      <w:r w:rsidR="00F57828">
        <w:rPr>
          <w:rFonts w:cs="Times New Roman"/>
        </w:rPr>
        <w:t xml:space="preserve"> </w:t>
      </w:r>
      <w:r w:rsidR="00A145DD">
        <w:rPr>
          <w:rFonts w:cs="Times New Roman"/>
        </w:rPr>
        <w:t>(29</w:t>
      </w:r>
      <w:r w:rsidR="006D04BB">
        <w:rPr>
          <w:rFonts w:cs="Times New Roman"/>
        </w:rPr>
        <w:t>–</w:t>
      </w:r>
      <w:r w:rsidR="00A145DD">
        <w:rPr>
          <w:rFonts w:cs="Times New Roman"/>
        </w:rPr>
        <w:t xml:space="preserve">63) </w:t>
      </w:r>
      <w:r w:rsidR="007749B0">
        <w:rPr>
          <w:rFonts w:cs="Times New Roman"/>
        </w:rPr>
        <w:t>[</w:t>
      </w:r>
      <w:r w:rsidR="00FC6618" w:rsidRPr="0010525A">
        <w:rPr>
          <w:rFonts w:cs="Times New Roman"/>
          <w:vertAlign w:val="superscript"/>
          <w:lang w:val="en-US"/>
          <w14:ligatures w14:val="standardContextual"/>
        </w:rPr>
        <w:t>18,19</w:t>
      </w:r>
      <w:r w:rsidR="007749B0">
        <w:rPr>
          <w:rFonts w:cs="Times New Roman"/>
        </w:rPr>
        <w:t>]</w:t>
      </w:r>
      <w:r w:rsidRPr="0048302B">
        <w:rPr>
          <w:rFonts w:cs="Times New Roman"/>
        </w:rPr>
        <w:t xml:space="preserve">. The BDI-II shows high internal consistency (Cronbach’s α of .91) </w:t>
      </w:r>
      <w:r w:rsidR="007749B0">
        <w:rPr>
          <w:rFonts w:cs="Times New Roman"/>
        </w:rPr>
        <w:t>[</w:t>
      </w:r>
      <w:r w:rsidR="00FC6618" w:rsidRPr="0010525A">
        <w:rPr>
          <w:rFonts w:cs="Times New Roman"/>
          <w:vertAlign w:val="superscript"/>
          <w:lang w:val="en-US"/>
          <w14:ligatures w14:val="standardContextual"/>
        </w:rPr>
        <w:t>17</w:t>
      </w:r>
      <w:r w:rsidR="007749B0">
        <w:rPr>
          <w:rFonts w:cs="Times New Roman"/>
        </w:rPr>
        <w:t>]</w:t>
      </w:r>
      <w:r w:rsidRPr="0048302B">
        <w:rPr>
          <w:rFonts w:cs="Times New Roman"/>
        </w:rPr>
        <w:t xml:space="preserve"> and good to excellent test–retest reliability (</w:t>
      </w:r>
      <w:r w:rsidRPr="0048302B">
        <w:rPr>
          <w:rFonts w:cs="Times New Roman"/>
          <w:i/>
          <w:iCs/>
        </w:rPr>
        <w:t>r</w:t>
      </w:r>
      <w:r w:rsidR="006D04BB">
        <w:rPr>
          <w:rFonts w:cs="Times New Roman"/>
          <w:i/>
          <w:iCs/>
        </w:rPr>
        <w:t xml:space="preserve"> </w:t>
      </w:r>
      <w:r w:rsidRPr="0048302B">
        <w:rPr>
          <w:rFonts w:cs="Times New Roman"/>
        </w:rPr>
        <w:t>=</w:t>
      </w:r>
      <w:r w:rsidR="006D04BB">
        <w:rPr>
          <w:rFonts w:cs="Times New Roman"/>
        </w:rPr>
        <w:t xml:space="preserve"> </w:t>
      </w:r>
      <w:r w:rsidRPr="0048302B">
        <w:rPr>
          <w:rFonts w:cs="Times New Roman"/>
        </w:rPr>
        <w:t xml:space="preserve">.73–.96) </w:t>
      </w:r>
      <w:r w:rsidR="007749B0">
        <w:rPr>
          <w:rFonts w:cs="Times New Roman"/>
        </w:rPr>
        <w:t>[</w:t>
      </w:r>
      <w:r w:rsidR="00FC6618" w:rsidRPr="0010525A">
        <w:rPr>
          <w:rFonts w:cs="Times New Roman"/>
          <w:vertAlign w:val="superscript"/>
          <w:lang w:val="en-US"/>
          <w14:ligatures w14:val="standardContextual"/>
        </w:rPr>
        <w:t>20</w:t>
      </w:r>
      <w:r w:rsidR="007749B0">
        <w:rPr>
          <w:rFonts w:cs="Times New Roman"/>
        </w:rPr>
        <w:t>]</w:t>
      </w:r>
      <w:r w:rsidRPr="0048302B">
        <w:rPr>
          <w:rFonts w:cs="Times New Roman"/>
        </w:rPr>
        <w:t xml:space="preserve">. Participants were administered the German version of the BDI-II in the current study </w:t>
      </w:r>
      <w:r w:rsidR="00DC6691">
        <w:rPr>
          <w:rFonts w:cs="Times New Roman"/>
        </w:rPr>
        <w:t xml:space="preserve">during screening </w:t>
      </w:r>
      <w:r w:rsidR="00FC6618" w:rsidRPr="00396F6F">
        <w:rPr>
          <w:rFonts w:cs="Times New Roman"/>
          <w:vertAlign w:val="superscript"/>
          <w:lang w:val="en-US"/>
          <w14:ligatures w14:val="standardContextual"/>
        </w:rPr>
        <w:t>21</w:t>
      </w:r>
      <w:r w:rsidRPr="0048302B">
        <w:rPr>
          <w:rFonts w:cs="Times New Roman"/>
        </w:rPr>
        <w:t xml:space="preserve">. </w:t>
      </w:r>
    </w:p>
    <w:p w14:paraId="2E535A41" w14:textId="5C2FCCCD" w:rsidR="00E91CF9" w:rsidRPr="00BB44FA" w:rsidRDefault="00E91CF9" w:rsidP="00E91CF9">
      <w:pPr>
        <w:pStyle w:val="ListParagraph"/>
        <w:numPr>
          <w:ilvl w:val="0"/>
          <w:numId w:val="2"/>
        </w:numPr>
        <w:spacing w:before="60" w:after="60"/>
        <w:rPr>
          <w:rFonts w:cs="Times New Roman"/>
          <w:b/>
          <w:bCs/>
        </w:rPr>
      </w:pPr>
      <w:r w:rsidRPr="0048302B">
        <w:rPr>
          <w:rFonts w:cs="Times New Roman"/>
        </w:rPr>
        <w:t xml:space="preserve">The </w:t>
      </w:r>
      <w:r w:rsidRPr="0048302B">
        <w:rPr>
          <w:rFonts w:cs="Times New Roman"/>
          <w:b/>
          <w:bCs/>
        </w:rPr>
        <w:t>Multicultural Quality of Life Index</w:t>
      </w:r>
      <w:r w:rsidRPr="0048302B">
        <w:rPr>
          <w:rFonts w:cs="Times New Roman"/>
        </w:rPr>
        <w:t xml:space="preserve"> </w:t>
      </w:r>
      <w:r w:rsidR="007749B0">
        <w:rPr>
          <w:rFonts w:cs="Times New Roman"/>
        </w:rPr>
        <w:t>[</w:t>
      </w:r>
      <w:r w:rsidR="00FC6618" w:rsidRPr="00396F6F">
        <w:rPr>
          <w:rFonts w:cs="Times New Roman"/>
          <w:vertAlign w:val="superscript"/>
          <w:lang w:val="en-US"/>
          <w14:ligatures w14:val="standardContextual"/>
        </w:rPr>
        <w:t>22</w:t>
      </w:r>
      <w:r w:rsidR="007749B0">
        <w:rPr>
          <w:rFonts w:cs="Times New Roman"/>
        </w:rPr>
        <w:t>]</w:t>
      </w:r>
      <w:r w:rsidRPr="0048302B">
        <w:rPr>
          <w:rFonts w:cs="Times New Roman"/>
        </w:rPr>
        <w:t xml:space="preserve"> assesses quality of life in 10 dimensions using 10 questions regarding physical well-being, psychological/emotional well-being, </w:t>
      </w:r>
      <w:r w:rsidRPr="0048302B">
        <w:rPr>
          <w:rFonts w:cs="Times New Roman"/>
        </w:rPr>
        <w:lastRenderedPageBreak/>
        <w:t xml:space="preserve">self-care and independent functioning, occupational functioning, interpersonal functioning, social emotional support, community and services support, personal fulfilment, spiritual fulfilment, and overall quality of life. Participants rate each domain from 1 </w:t>
      </w:r>
      <w:r>
        <w:rPr>
          <w:rFonts w:cs="Times New Roman"/>
        </w:rPr>
        <w:t>(</w:t>
      </w:r>
      <w:r w:rsidRPr="0048302B">
        <w:rPr>
          <w:rFonts w:cs="Times New Roman"/>
          <w:i/>
          <w:iCs/>
        </w:rPr>
        <w:t>poor</w:t>
      </w:r>
      <w:r>
        <w:rPr>
          <w:rFonts w:cs="Times New Roman"/>
        </w:rPr>
        <w:t>)</w:t>
      </w:r>
      <w:r w:rsidRPr="0048302B">
        <w:rPr>
          <w:rFonts w:cs="Times New Roman"/>
        </w:rPr>
        <w:t xml:space="preserve"> to 10 </w:t>
      </w:r>
      <w:r>
        <w:rPr>
          <w:rFonts w:cs="Times New Roman"/>
        </w:rPr>
        <w:t>(</w:t>
      </w:r>
      <w:r w:rsidRPr="0048302B">
        <w:rPr>
          <w:rFonts w:cs="Times New Roman"/>
          <w:i/>
          <w:iCs/>
        </w:rPr>
        <w:t>excellent</w:t>
      </w:r>
      <w:r>
        <w:rPr>
          <w:rFonts w:cs="Times New Roman"/>
        </w:rPr>
        <w:t>)</w:t>
      </w:r>
      <w:r w:rsidRPr="0048302B">
        <w:rPr>
          <w:rFonts w:cs="Times New Roman"/>
        </w:rPr>
        <w:t xml:space="preserve">. The </w:t>
      </w:r>
      <w:r>
        <w:rPr>
          <w:rFonts w:cs="Times New Roman"/>
        </w:rPr>
        <w:t>total</w:t>
      </w:r>
      <w:r w:rsidRPr="0048302B">
        <w:rPr>
          <w:rFonts w:cs="Times New Roman"/>
        </w:rPr>
        <w:t xml:space="preserve"> score consists of the </w:t>
      </w:r>
      <w:r>
        <w:rPr>
          <w:rFonts w:cs="Times New Roman"/>
        </w:rPr>
        <w:t>summated</w:t>
      </w:r>
      <w:r w:rsidRPr="0048302B">
        <w:rPr>
          <w:rFonts w:cs="Times New Roman"/>
        </w:rPr>
        <w:t xml:space="preserve"> scores from all answered items and ranges from 10</w:t>
      </w:r>
      <w:r>
        <w:rPr>
          <w:rFonts w:cs="Times New Roman"/>
        </w:rPr>
        <w:t xml:space="preserve"> to </w:t>
      </w:r>
      <w:r w:rsidRPr="0048302B">
        <w:rPr>
          <w:rFonts w:cs="Times New Roman"/>
        </w:rPr>
        <w:t xml:space="preserve">100. The internal consistency (Cronbach’s α) ranges from .90 to .92, </w:t>
      </w:r>
      <w:r>
        <w:rPr>
          <w:rFonts w:cs="Times New Roman"/>
        </w:rPr>
        <w:t xml:space="preserve">its </w:t>
      </w:r>
      <w:r w:rsidRPr="0048302B">
        <w:rPr>
          <w:rFonts w:cs="Times New Roman"/>
        </w:rPr>
        <w:t xml:space="preserve">test–retest reliability </w:t>
      </w:r>
      <w:r>
        <w:rPr>
          <w:rFonts w:cs="Times New Roman"/>
        </w:rPr>
        <w:t>was</w:t>
      </w:r>
      <w:r w:rsidRPr="0048302B">
        <w:rPr>
          <w:rFonts w:cs="Times New Roman"/>
        </w:rPr>
        <w:t xml:space="preserve"> reported at </w:t>
      </w:r>
      <w:r w:rsidRPr="000C1C04">
        <w:rPr>
          <w:rFonts w:cs="Times New Roman"/>
          <w:i/>
          <w:iCs/>
        </w:rPr>
        <w:t>r</w:t>
      </w:r>
      <w:r w:rsidR="006D04BB">
        <w:rPr>
          <w:rFonts w:cs="Times New Roman"/>
          <w:i/>
          <w:iCs/>
        </w:rPr>
        <w:t xml:space="preserve"> </w:t>
      </w:r>
      <w:r w:rsidRPr="0048302B">
        <w:rPr>
          <w:rFonts w:cs="Times New Roman"/>
        </w:rPr>
        <w:t>=</w:t>
      </w:r>
      <w:r w:rsidR="006D04BB">
        <w:rPr>
          <w:rFonts w:cs="Times New Roman"/>
        </w:rPr>
        <w:t xml:space="preserve"> </w:t>
      </w:r>
      <w:r w:rsidRPr="0048302B">
        <w:rPr>
          <w:rFonts w:cs="Times New Roman"/>
        </w:rPr>
        <w:t xml:space="preserve">.87 </w:t>
      </w:r>
      <w:r w:rsidR="007749B0">
        <w:rPr>
          <w:rFonts w:cs="Times New Roman"/>
        </w:rPr>
        <w:t>[</w:t>
      </w:r>
      <w:r w:rsidR="00FC6618" w:rsidRPr="0010525A">
        <w:rPr>
          <w:rFonts w:cs="Times New Roman"/>
          <w:vertAlign w:val="superscript"/>
          <w:lang w:val="en-US"/>
          <w14:ligatures w14:val="standardContextual"/>
        </w:rPr>
        <w:t>22</w:t>
      </w:r>
      <w:r w:rsidR="007749B0">
        <w:rPr>
          <w:rFonts w:cs="Times New Roman"/>
        </w:rPr>
        <w:t>]</w:t>
      </w:r>
      <w:r w:rsidRPr="0048302B">
        <w:rPr>
          <w:rFonts w:cs="Times New Roman"/>
        </w:rPr>
        <w:t xml:space="preserve">. The German version of the Multicultural Quality of Life Index was used in the current study </w:t>
      </w:r>
      <w:r>
        <w:rPr>
          <w:rFonts w:cs="Times New Roman"/>
        </w:rPr>
        <w:t xml:space="preserve">on every second evening during intervention weeks </w:t>
      </w:r>
      <w:r w:rsidR="007749B0">
        <w:rPr>
          <w:rFonts w:cs="Times New Roman"/>
        </w:rPr>
        <w:t>[</w:t>
      </w:r>
      <w:r w:rsidR="00FC6618" w:rsidRPr="00FC6618">
        <w:rPr>
          <w:rFonts w:cs="Times New Roman"/>
          <w:vertAlign w:val="superscript"/>
          <w:lang w:val="de-DE"/>
          <w14:ligatures w14:val="standardContextual"/>
        </w:rPr>
        <w:t>23</w:t>
      </w:r>
      <w:r w:rsidR="007749B0">
        <w:rPr>
          <w:rFonts w:cs="Times New Roman"/>
        </w:rPr>
        <w:t>]</w:t>
      </w:r>
      <w:r w:rsidR="006D04BB">
        <w:rPr>
          <w:rFonts w:cs="Times New Roman"/>
        </w:rPr>
        <w:t>.</w:t>
      </w:r>
    </w:p>
    <w:p w14:paraId="4EBA32E6" w14:textId="28ADB737" w:rsidR="00E91CF9" w:rsidRPr="009F1562" w:rsidRDefault="009F1562" w:rsidP="009F1562">
      <w:pPr>
        <w:ind w:firstLine="0"/>
        <w:rPr>
          <w:rFonts w:ascii="Arial" w:hAnsi="Arial" w:cs="Arial"/>
          <w:i/>
          <w:iCs/>
        </w:rPr>
      </w:pPr>
      <w:r w:rsidRPr="009F1562">
        <w:rPr>
          <w:rFonts w:ascii="Arial" w:hAnsi="Arial" w:cs="Arial"/>
          <w:i/>
          <w:iCs/>
        </w:rPr>
        <w:t>Side effects</w:t>
      </w:r>
    </w:p>
    <w:p w14:paraId="0D379A3D" w14:textId="1E46BA96" w:rsidR="009F1562" w:rsidRPr="009F1562" w:rsidRDefault="00A26F07" w:rsidP="009F1562">
      <w:pPr>
        <w:pStyle w:val="ListParagraph"/>
        <w:ind w:firstLine="0"/>
      </w:pPr>
      <w:r>
        <w:t xml:space="preserve">Assessing </w:t>
      </w:r>
      <w:r w:rsidR="009F1562" w:rsidRPr="009F1562">
        <w:t xml:space="preserve">side effects </w:t>
      </w:r>
      <w:r w:rsidR="006D04BB">
        <w:t>from using</w:t>
      </w:r>
      <w:r w:rsidR="009F1562" w:rsidRPr="009F1562">
        <w:t xml:space="preserve"> the light glasses’</w:t>
      </w:r>
      <w:r>
        <w:t xml:space="preserve">, a questionnaire on </w:t>
      </w:r>
      <w:r w:rsidRPr="00A26F07">
        <w:rPr>
          <w:b/>
          <w:bCs/>
        </w:rPr>
        <w:t>Asthenopic Complaints</w:t>
      </w:r>
      <w:r w:rsidR="009F1562" w:rsidRPr="009F1562">
        <w:t xml:space="preserve"> </w:t>
      </w:r>
      <w:r>
        <w:t>was used to query</w:t>
      </w:r>
      <w:r w:rsidR="009F1562" w:rsidRPr="009F1562">
        <w:t xml:space="preserve"> and rate</w:t>
      </w:r>
      <w:r>
        <w:t xml:space="preserve"> the following side effects</w:t>
      </w:r>
      <w:r w:rsidR="009F1562" w:rsidRPr="009F1562">
        <w:t xml:space="preserve"> on a 6-point scale (0 [</w:t>
      </w:r>
      <w:r w:rsidR="009F1562" w:rsidRPr="0010525A">
        <w:rPr>
          <w:i/>
          <w:iCs/>
        </w:rPr>
        <w:t>not at all noticeable</w:t>
      </w:r>
      <w:r w:rsidR="009F1562" w:rsidRPr="009F1562">
        <w:t>]; 1 [</w:t>
      </w:r>
      <w:r w:rsidR="009F1562" w:rsidRPr="0010525A">
        <w:rPr>
          <w:i/>
          <w:iCs/>
        </w:rPr>
        <w:t>hardly noticeable</w:t>
      </w:r>
      <w:r w:rsidR="009F1562" w:rsidRPr="009F1562">
        <w:t>]; 2 [</w:t>
      </w:r>
      <w:r w:rsidR="009F1562" w:rsidRPr="0010525A">
        <w:rPr>
          <w:i/>
          <w:iCs/>
        </w:rPr>
        <w:t>a little noticeable</w:t>
      </w:r>
      <w:r w:rsidR="009F1562" w:rsidRPr="009F1562">
        <w:t>] 3 [</w:t>
      </w:r>
      <w:r w:rsidR="009F1562" w:rsidRPr="0010525A">
        <w:rPr>
          <w:i/>
          <w:iCs/>
        </w:rPr>
        <w:t>noticeable</w:t>
      </w:r>
      <w:r w:rsidR="009F1562" w:rsidRPr="009F1562">
        <w:t>]; 4 [</w:t>
      </w:r>
      <w:r w:rsidR="009F1562" w:rsidRPr="0010525A">
        <w:rPr>
          <w:i/>
          <w:iCs/>
        </w:rPr>
        <w:t>strong</w:t>
      </w:r>
      <w:r w:rsidR="009F1562" w:rsidRPr="009F1562">
        <w:t>]; 5 [</w:t>
      </w:r>
      <w:r w:rsidR="009F1562" w:rsidRPr="0010525A">
        <w:rPr>
          <w:i/>
          <w:iCs/>
        </w:rPr>
        <w:t>very strong</w:t>
      </w:r>
      <w:r w:rsidR="009F1562" w:rsidRPr="009F1562">
        <w:t>])</w:t>
      </w:r>
      <w:r w:rsidR="009F1562">
        <w:t xml:space="preserve">: </w:t>
      </w:r>
      <w:r w:rsidR="009F1562" w:rsidRPr="0010525A">
        <w:rPr>
          <w:i/>
          <w:iCs/>
        </w:rPr>
        <w:t>Overexertion of the eyes, headache, watery e</w:t>
      </w:r>
      <w:r w:rsidR="00A145DD" w:rsidRPr="0010525A">
        <w:rPr>
          <w:i/>
          <w:iCs/>
        </w:rPr>
        <w:t>y</w:t>
      </w:r>
      <w:r w:rsidR="009F1562" w:rsidRPr="0010525A">
        <w:rPr>
          <w:i/>
          <w:iCs/>
        </w:rPr>
        <w:t xml:space="preserve">es, stinging eyes, burning eyes, blurred vision, pain in and around the eyes, </w:t>
      </w:r>
      <w:r w:rsidRPr="0010525A">
        <w:rPr>
          <w:i/>
          <w:iCs/>
        </w:rPr>
        <w:t>glare, dizziness</w:t>
      </w:r>
      <w:r>
        <w:t xml:space="preserve">. The questionnaire </w:t>
      </w:r>
      <w:r w:rsidR="00A145DD">
        <w:t>used selected items of</w:t>
      </w:r>
      <w:r>
        <w:t xml:space="preserve"> a long version of the questionnaire reported in Leichtfried et al. </w:t>
      </w:r>
      <w:r w:rsidR="007749B0">
        <w:t>[</w:t>
      </w:r>
      <w:r w:rsidR="00FC6618" w:rsidRPr="0010525A">
        <w:rPr>
          <w:rFonts w:cs="Times New Roman"/>
          <w:vertAlign w:val="superscript"/>
          <w:lang w:val="en-US"/>
          <w14:ligatures w14:val="standardContextual"/>
        </w:rPr>
        <w:t>24</w:t>
      </w:r>
      <w:r w:rsidR="007749B0">
        <w:t>]</w:t>
      </w:r>
      <w:r>
        <w:t xml:space="preserve"> based on a</w:t>
      </w:r>
      <w:r w:rsidR="006D04BB">
        <w:t>n a</w:t>
      </w:r>
      <w:r>
        <w:t xml:space="preserve">rticle by Terman and Terman </w:t>
      </w:r>
      <w:r w:rsidR="007749B0">
        <w:t>[</w:t>
      </w:r>
      <w:r w:rsidR="00FC6618" w:rsidRPr="0010525A">
        <w:rPr>
          <w:rFonts w:cs="Times New Roman"/>
          <w:vertAlign w:val="superscript"/>
          <w:lang w:val="en-US"/>
          <w14:ligatures w14:val="standardContextual"/>
        </w:rPr>
        <w:t>25</w:t>
      </w:r>
      <w:r w:rsidR="007749B0">
        <w:t>]</w:t>
      </w:r>
      <w:r>
        <w:t>.</w:t>
      </w:r>
      <w:r w:rsidR="00DC6691">
        <w:t xml:space="preserve"> Side effects were assessed after usage of the light glasses on every intervention day.</w:t>
      </w:r>
    </w:p>
    <w:p w14:paraId="49529B68" w14:textId="08D2712F" w:rsidR="009F1562" w:rsidRDefault="009F1562" w:rsidP="009F1562">
      <w:pPr>
        <w:ind w:firstLine="0"/>
        <w:rPr>
          <w:rFonts w:ascii="Arial" w:hAnsi="Arial" w:cs="Arial"/>
          <w:i/>
          <w:iCs/>
        </w:rPr>
      </w:pPr>
      <w:r w:rsidRPr="009F1562">
        <w:rPr>
          <w:rFonts w:ascii="Arial" w:hAnsi="Arial" w:cs="Arial"/>
          <w:i/>
          <w:iCs/>
        </w:rPr>
        <w:t>Sleep</w:t>
      </w:r>
    </w:p>
    <w:p w14:paraId="245400D3" w14:textId="3BAE0B6C" w:rsidR="00A26F07" w:rsidRPr="00A26F07" w:rsidRDefault="00A26F07" w:rsidP="00A26F07">
      <w:pPr>
        <w:pStyle w:val="ListParagraph"/>
        <w:ind w:firstLine="0"/>
      </w:pPr>
      <w:r w:rsidRPr="00A26F07">
        <w:t>A</w:t>
      </w:r>
      <w:r>
        <w:t xml:space="preserve"> </w:t>
      </w:r>
      <w:r w:rsidRPr="004F286F">
        <w:rPr>
          <w:b/>
          <w:bCs/>
        </w:rPr>
        <w:t>sleep diary</w:t>
      </w:r>
      <w:r>
        <w:t xml:space="preserve"> was used to assess patients sleep</w:t>
      </w:r>
      <w:r w:rsidR="00AE7F6F">
        <w:t xml:space="preserve"> throughout study participation. From patients’ responses, sleep quality (%), total sleep time (min; calculated as the difference between reported time falling asleep and reported time waking up), time in bed (min; calculated as the difference between reported bed time and reported time waking up), sleep latency (min; calculated as the difference between reported bed time and reported time falling asleep), and sleep efficiency (%; calculated as the ratio between reported total sleep time and time in bed) were extracted for further analyses.</w:t>
      </w:r>
    </w:p>
    <w:p w14:paraId="583F7FBD" w14:textId="77777777" w:rsidR="00E91CF9" w:rsidRPr="009F1562" w:rsidRDefault="00E91CF9" w:rsidP="00330F61">
      <w:pPr>
        <w:keepNext/>
        <w:ind w:firstLine="0"/>
        <w:rPr>
          <w:rFonts w:ascii="Arial" w:hAnsi="Arial" w:cs="Arial"/>
          <w:i/>
          <w:iCs/>
        </w:rPr>
      </w:pPr>
      <w:r w:rsidRPr="009F1562">
        <w:rPr>
          <w:rFonts w:ascii="Arial" w:hAnsi="Arial" w:cs="Arial"/>
          <w:i/>
          <w:iCs/>
        </w:rPr>
        <w:lastRenderedPageBreak/>
        <w:t>Comfort ratings</w:t>
      </w:r>
    </w:p>
    <w:p w14:paraId="17145BDD" w14:textId="0133C077" w:rsidR="00E91CF9" w:rsidRPr="008D1974" w:rsidRDefault="00E91CF9" w:rsidP="00E91CF9">
      <w:pPr>
        <w:pStyle w:val="ListParagraph"/>
        <w:ind w:firstLine="0"/>
      </w:pPr>
      <w:r w:rsidRPr="00120E02">
        <w:rPr>
          <w:b/>
          <w:bCs/>
        </w:rPr>
        <w:t>Comfort ratings</w:t>
      </w:r>
      <w:r w:rsidRPr="00120E02">
        <w:t xml:space="preserve"> were used to assess and compare participants’ acceptance of the interventions. Beneficial and visual side effects of the light intervention were evaluated on a </w:t>
      </w:r>
      <w:r>
        <w:t>five</w:t>
      </w:r>
      <w:r w:rsidRPr="00120E02">
        <w:t xml:space="preserve">-point scale (1 </w:t>
      </w:r>
      <w:r>
        <w:t>[</w:t>
      </w:r>
      <w:r w:rsidRPr="0010525A">
        <w:rPr>
          <w:i/>
          <w:iCs/>
        </w:rPr>
        <w:t>fully disagree</w:t>
      </w:r>
      <w:r>
        <w:t>];</w:t>
      </w:r>
      <w:r w:rsidRPr="00120E02">
        <w:t xml:space="preserve"> 2 </w:t>
      </w:r>
      <w:r>
        <w:t>[</w:t>
      </w:r>
      <w:r w:rsidRPr="0010525A">
        <w:rPr>
          <w:i/>
          <w:iCs/>
        </w:rPr>
        <w:t>rather disagree</w:t>
      </w:r>
      <w:r>
        <w:t>]</w:t>
      </w:r>
      <w:r w:rsidRPr="00120E02">
        <w:t xml:space="preserve">; 3 </w:t>
      </w:r>
      <w:r>
        <w:t>[</w:t>
      </w:r>
      <w:r w:rsidRPr="0010525A">
        <w:rPr>
          <w:i/>
          <w:iCs/>
        </w:rPr>
        <w:t>partly agree</w:t>
      </w:r>
      <w:r>
        <w:t>]</w:t>
      </w:r>
      <w:r w:rsidRPr="00120E02">
        <w:t>; 4</w:t>
      </w:r>
      <w:r>
        <w:t xml:space="preserve"> [</w:t>
      </w:r>
      <w:r w:rsidRPr="0010525A">
        <w:rPr>
          <w:i/>
          <w:iCs/>
        </w:rPr>
        <w:t>rather agree</w:t>
      </w:r>
      <w:r>
        <w:t>]</w:t>
      </w:r>
      <w:r w:rsidRPr="00120E02">
        <w:t xml:space="preserve">; 5 </w:t>
      </w:r>
      <w:r>
        <w:t>[</w:t>
      </w:r>
      <w:r w:rsidRPr="0010525A">
        <w:rPr>
          <w:i/>
          <w:iCs/>
        </w:rPr>
        <w:t>fully agree</w:t>
      </w:r>
      <w:r>
        <w:t>]</w:t>
      </w:r>
      <w:r w:rsidRPr="00120E02">
        <w:t xml:space="preserve">). The beneficial effects questions included the items </w:t>
      </w:r>
      <w:r w:rsidR="00764320">
        <w:t>‘</w:t>
      </w:r>
      <w:r w:rsidRPr="00120E02">
        <w:t>The light glasses increased my fitness</w:t>
      </w:r>
      <w:r w:rsidR="00764320">
        <w:t>’</w:t>
      </w:r>
      <w:r w:rsidRPr="00120E02">
        <w:t xml:space="preserve">, </w:t>
      </w:r>
      <w:r w:rsidR="00764320">
        <w:t>‘</w:t>
      </w:r>
      <w:r w:rsidRPr="00120E02">
        <w:t>The light glasses increased my well-being</w:t>
      </w:r>
      <w:r w:rsidR="00764320">
        <w:t>’</w:t>
      </w:r>
      <w:r w:rsidRPr="00120E02">
        <w:t xml:space="preserve">, </w:t>
      </w:r>
      <w:r w:rsidR="00764320">
        <w:t>‘</w:t>
      </w:r>
      <w:r>
        <w:t>The light glasses facilitated wakefulness</w:t>
      </w:r>
      <w:r w:rsidR="00764320">
        <w:t>’</w:t>
      </w:r>
      <w:r>
        <w:t xml:space="preserve">, </w:t>
      </w:r>
      <w:r w:rsidR="000961DB">
        <w:t>‘</w:t>
      </w:r>
      <w:r>
        <w:t>The light glasses had a positive effect on the morning</w:t>
      </w:r>
      <w:r w:rsidR="00D47718">
        <w:t>’</w:t>
      </w:r>
      <w:r>
        <w:t xml:space="preserve">, and </w:t>
      </w:r>
      <w:r w:rsidR="00D47718">
        <w:t>‘</w:t>
      </w:r>
      <w:r>
        <w:t>The light glasses positively influenced my concentration</w:t>
      </w:r>
      <w:r w:rsidR="00D47718">
        <w:t>’</w:t>
      </w:r>
      <w:r>
        <w:t>. T</w:t>
      </w:r>
      <w:r w:rsidRPr="00120E02">
        <w:t xml:space="preserve">he side effects questionnaire comprised </w:t>
      </w:r>
      <w:r>
        <w:t>six</w:t>
      </w:r>
      <w:r w:rsidRPr="00120E02">
        <w:t xml:space="preserve"> items: </w:t>
      </w:r>
      <w:r w:rsidR="00D47718">
        <w:t>‘</w:t>
      </w:r>
      <w:r w:rsidRPr="00120E02">
        <w:t xml:space="preserve">The light glasses </w:t>
      </w:r>
      <w:r w:rsidR="00A352C4">
        <w:t>were irritating</w:t>
      </w:r>
      <w:r w:rsidR="00D47718">
        <w:t>’</w:t>
      </w:r>
      <w:r>
        <w:t xml:space="preserve">, </w:t>
      </w:r>
      <w:r w:rsidR="00D47718">
        <w:t>‘</w:t>
      </w:r>
      <w:r>
        <w:t>The light glasses disturbed me</w:t>
      </w:r>
      <w:r w:rsidR="00D47718">
        <w:t>’</w:t>
      </w:r>
      <w:r w:rsidR="00AF2C37">
        <w:t>,</w:t>
      </w:r>
      <w:r>
        <w:t xml:space="preserve"> </w:t>
      </w:r>
      <w:r w:rsidR="00D47718">
        <w:t>‘</w:t>
      </w:r>
      <w:r>
        <w:t>The light glasses irritated my eyes</w:t>
      </w:r>
      <w:r w:rsidR="00D47718">
        <w:t>’</w:t>
      </w:r>
      <w:r>
        <w:t xml:space="preserve">, </w:t>
      </w:r>
      <w:r w:rsidR="00D47718">
        <w:t>‘</w:t>
      </w:r>
      <w:r>
        <w:t>The light glasses n</w:t>
      </w:r>
      <w:r w:rsidR="00AF2C37">
        <w:t>e</w:t>
      </w:r>
      <w:r>
        <w:t>gatively affected my view</w:t>
      </w:r>
      <w:r w:rsidR="00D47718">
        <w:t>’</w:t>
      </w:r>
      <w:r>
        <w:t xml:space="preserve">, </w:t>
      </w:r>
      <w:r w:rsidR="00D47718">
        <w:t>‘</w:t>
      </w:r>
      <w:r>
        <w:t xml:space="preserve">The light glasses disturbed </w:t>
      </w:r>
      <w:r w:rsidR="00D2390A">
        <w:t>reading</w:t>
      </w:r>
      <w:r w:rsidR="00D47718">
        <w:t>’</w:t>
      </w:r>
      <w:r>
        <w:t xml:space="preserve">, and </w:t>
      </w:r>
      <w:r w:rsidR="00D47718">
        <w:t>‘</w:t>
      </w:r>
      <w:r>
        <w:t xml:space="preserve">The light glasses </w:t>
      </w:r>
      <w:r w:rsidRPr="00120E02">
        <w:t xml:space="preserve">generated disturbing reflections in the </w:t>
      </w:r>
      <w:r w:rsidR="00D2390A">
        <w:t>smartphone</w:t>
      </w:r>
      <w:r w:rsidRPr="00120E02">
        <w:t xml:space="preserve"> screen</w:t>
      </w:r>
      <w:r w:rsidR="00D47718">
        <w:t>’</w:t>
      </w:r>
      <w:r>
        <w:t xml:space="preserve">. </w:t>
      </w:r>
      <w:r w:rsidRPr="00120E02">
        <w:t xml:space="preserve">We used a </w:t>
      </w:r>
      <w:r>
        <w:t>seven</w:t>
      </w:r>
      <w:r w:rsidRPr="00120E02">
        <w:t xml:space="preserve">-point semantic differential ranging from 1 </w:t>
      </w:r>
      <w:r>
        <w:t>(</w:t>
      </w:r>
      <w:r w:rsidRPr="00120E02">
        <w:rPr>
          <w:i/>
          <w:iCs/>
        </w:rPr>
        <w:t>very…</w:t>
      </w:r>
      <w:r>
        <w:t>)</w:t>
      </w:r>
      <w:r w:rsidRPr="00120E02">
        <w:t xml:space="preserve"> via 4 </w:t>
      </w:r>
      <w:r>
        <w:t>(</w:t>
      </w:r>
      <w:r w:rsidRPr="00120E02">
        <w:rPr>
          <w:i/>
          <w:iCs/>
        </w:rPr>
        <w:t>neither nor</w:t>
      </w:r>
      <w:r>
        <w:t>)</w:t>
      </w:r>
      <w:r w:rsidRPr="00120E02">
        <w:rPr>
          <w:i/>
          <w:iCs/>
        </w:rPr>
        <w:t xml:space="preserve"> </w:t>
      </w:r>
      <w:r w:rsidRPr="00120E02">
        <w:t xml:space="preserve">to 7 </w:t>
      </w:r>
      <w:r>
        <w:t>(</w:t>
      </w:r>
      <w:r w:rsidRPr="00120E02">
        <w:rPr>
          <w:i/>
          <w:iCs/>
        </w:rPr>
        <w:t>very…</w:t>
      </w:r>
      <w:r>
        <w:t xml:space="preserve">) </w:t>
      </w:r>
      <w:r w:rsidRPr="00120E02">
        <w:t xml:space="preserve">with the following items: </w:t>
      </w:r>
      <w:r w:rsidR="00D47718">
        <w:t>‘</w:t>
      </w:r>
      <w:r w:rsidRPr="00120E02">
        <w:t>pleasant</w:t>
      </w:r>
      <w:r>
        <w:t xml:space="preserve"> – </w:t>
      </w:r>
      <w:r w:rsidRPr="00120E02">
        <w:t>unpleasant</w:t>
      </w:r>
      <w:r w:rsidR="00D47718">
        <w:t>’</w:t>
      </w:r>
      <w:r w:rsidRPr="00120E02">
        <w:t xml:space="preserve">, </w:t>
      </w:r>
      <w:r w:rsidR="00D47718">
        <w:t>‘</w:t>
      </w:r>
      <w:r>
        <w:t>fitness increasing - fitness decreasing</w:t>
      </w:r>
      <w:r w:rsidR="00D47718">
        <w:t>’</w:t>
      </w:r>
      <w:r w:rsidR="00AF2C37">
        <w:t>,</w:t>
      </w:r>
      <w:r>
        <w:t xml:space="preserve"> </w:t>
      </w:r>
      <w:r w:rsidR="00D47718">
        <w:t>‘</w:t>
      </w:r>
      <w:r>
        <w:t>somniferous – activating</w:t>
      </w:r>
      <w:r w:rsidR="00D47718">
        <w:t>’</w:t>
      </w:r>
      <w:r>
        <w:t xml:space="preserve">, </w:t>
      </w:r>
      <w:r w:rsidR="00D47718">
        <w:t>‘</w:t>
      </w:r>
      <w:r>
        <w:t>not disturbing – disturbing</w:t>
      </w:r>
      <w:r w:rsidR="00D47718">
        <w:t>’</w:t>
      </w:r>
      <w:r>
        <w:t xml:space="preserve">, </w:t>
      </w:r>
      <w:r w:rsidR="00D47718">
        <w:t>‘</w:t>
      </w:r>
      <w:r>
        <w:t>too short – too long</w:t>
      </w:r>
      <w:r w:rsidR="00D47718">
        <w:t>’</w:t>
      </w:r>
      <w:r>
        <w:t xml:space="preserve">, </w:t>
      </w:r>
      <w:r w:rsidR="00D47718">
        <w:t>‘</w:t>
      </w:r>
      <w:r>
        <w:t>in the foreground – in the background</w:t>
      </w:r>
      <w:r w:rsidR="00D47718">
        <w:t>’</w:t>
      </w:r>
      <w:r>
        <w:t xml:space="preserve">, and </w:t>
      </w:r>
      <w:r w:rsidR="00D47718">
        <w:t>‘</w:t>
      </w:r>
      <w:r>
        <w:t>weak – strong</w:t>
      </w:r>
      <w:r w:rsidR="00D47718">
        <w:t>’</w:t>
      </w:r>
      <w:r w:rsidR="00AF2C37">
        <w:t>.</w:t>
      </w:r>
      <w:r>
        <w:t xml:space="preserve"> </w:t>
      </w:r>
      <w:r w:rsidRPr="00120E02">
        <w:t xml:space="preserve">Participants stated whether they would recommend the light glasses to other night shift workers on a scale from 1 </w:t>
      </w:r>
      <w:r>
        <w:t>(</w:t>
      </w:r>
      <w:r w:rsidRPr="00120E02">
        <w:rPr>
          <w:i/>
          <w:iCs/>
        </w:rPr>
        <w:t>not at all</w:t>
      </w:r>
      <w:r>
        <w:rPr>
          <w:iCs/>
        </w:rPr>
        <w:t>)</w:t>
      </w:r>
      <w:r w:rsidRPr="00120E02">
        <w:t xml:space="preserve"> to 6 </w:t>
      </w:r>
      <w:r>
        <w:t>(</w:t>
      </w:r>
      <w:r w:rsidRPr="00120E02">
        <w:rPr>
          <w:i/>
          <w:iCs/>
        </w:rPr>
        <w:t>absolutely</w:t>
      </w:r>
      <w:r>
        <w:t>)</w:t>
      </w:r>
      <w:r w:rsidRPr="00120E02">
        <w:rPr>
          <w:i/>
          <w:iCs/>
        </w:rPr>
        <w:t xml:space="preserve"> </w:t>
      </w:r>
      <w:r w:rsidRPr="00120E02">
        <w:t xml:space="preserve">and gave the light glasses school grades from 1 </w:t>
      </w:r>
      <w:r>
        <w:t>(</w:t>
      </w:r>
      <w:r w:rsidRPr="00120E02">
        <w:rPr>
          <w:i/>
          <w:iCs/>
        </w:rPr>
        <w:t>very good</w:t>
      </w:r>
      <w:r>
        <w:t xml:space="preserve">) </w:t>
      </w:r>
      <w:r w:rsidRPr="00120E02">
        <w:t xml:space="preserve">to 6 </w:t>
      </w:r>
      <w:r>
        <w:t>(</w:t>
      </w:r>
      <w:r w:rsidRPr="00120E02">
        <w:rPr>
          <w:i/>
          <w:iCs/>
        </w:rPr>
        <w:t>insufficient</w:t>
      </w:r>
      <w:r>
        <w:t>)</w:t>
      </w:r>
      <w:r w:rsidRPr="00120E02">
        <w:t xml:space="preserve">. </w:t>
      </w:r>
    </w:p>
    <w:p w14:paraId="5CF4AC40" w14:textId="77777777" w:rsidR="00F5678A" w:rsidRDefault="00003C49">
      <w:pPr>
        <w:spacing w:line="240" w:lineRule="auto"/>
        <w:ind w:firstLine="0"/>
        <w:jc w:val="left"/>
        <w:sectPr w:rsidR="00F5678A">
          <w:footerReference w:type="even" r:id="rId8"/>
          <w:footerReference w:type="default" r:id="rId9"/>
          <w:pgSz w:w="11906" w:h="16838"/>
          <w:pgMar w:top="1417" w:right="1417" w:bottom="1134" w:left="1417" w:header="708" w:footer="708" w:gutter="0"/>
          <w:cols w:space="708"/>
          <w:docGrid w:linePitch="360"/>
        </w:sectPr>
      </w:pPr>
      <w:r>
        <w:br w:type="page"/>
      </w:r>
    </w:p>
    <w:p w14:paraId="23982ECC" w14:textId="417D7A2B" w:rsidR="00DF46FE" w:rsidRPr="00E06DEC" w:rsidRDefault="00003C49" w:rsidP="00003C49">
      <w:pPr>
        <w:spacing w:after="240" w:line="240" w:lineRule="auto"/>
        <w:ind w:firstLine="0"/>
        <w:jc w:val="left"/>
        <w:rPr>
          <w:rFonts w:ascii="Arial" w:eastAsia="Calibri" w:hAnsi="Arial" w:cs="Arial"/>
          <w:sz w:val="28"/>
          <w:szCs w:val="28"/>
        </w:rPr>
      </w:pPr>
      <w:r w:rsidRPr="00E06DEC">
        <w:rPr>
          <w:rFonts w:ascii="Arial" w:eastAsia="Calibri" w:hAnsi="Arial" w:cs="Arial"/>
          <w:sz w:val="28"/>
          <w:szCs w:val="28"/>
        </w:rPr>
        <w:lastRenderedPageBreak/>
        <w:t xml:space="preserve">Appendix B: </w:t>
      </w:r>
      <w:r w:rsidR="00700055" w:rsidRPr="00E06DEC">
        <w:rPr>
          <w:rFonts w:ascii="Arial" w:eastAsia="Calibri" w:hAnsi="Arial" w:cs="Arial"/>
          <w:sz w:val="28"/>
          <w:szCs w:val="28"/>
        </w:rPr>
        <w:t>Outlier and missing data replacement</w:t>
      </w:r>
    </w:p>
    <w:p w14:paraId="4F639633" w14:textId="2A2DD797" w:rsidR="00700055" w:rsidRPr="00E06DEC" w:rsidRDefault="00700055" w:rsidP="00E06DEC">
      <w:pPr>
        <w:ind w:firstLine="0"/>
      </w:pPr>
      <w:r>
        <w:t xml:space="preserve">One outlier (FSS score = 9) was </w:t>
      </w:r>
      <w:r w:rsidR="006071E5">
        <w:t>identified</w:t>
      </w:r>
      <w:r>
        <w:t xml:space="preserve"> and replaced by the mean of that person’s </w:t>
      </w:r>
      <w:r w:rsidR="006071E5">
        <w:t xml:space="preserve">previous and subsequent </w:t>
      </w:r>
      <w:r>
        <w:t xml:space="preserve">data </w:t>
      </w:r>
      <w:r w:rsidR="006071E5">
        <w:t>in</w:t>
      </w:r>
      <w:r>
        <w:t xml:space="preserve"> the same intervention week.</w:t>
      </w:r>
      <w:r w:rsidR="00FA0347">
        <w:t xml:space="preserve"> </w:t>
      </w:r>
      <w:r>
        <w:t xml:space="preserve">If baseline values were missing from one intervention week, these were replaced with that same person’s baseline values from the other intervention week. Missing values </w:t>
      </w:r>
      <w:r w:rsidR="006071E5">
        <w:t>during</w:t>
      </w:r>
      <w:r>
        <w:t xml:space="preserve"> the test weeks were filled in with the mean value of that person’s data recorded one measurement day before and after within the same intervention week </w:t>
      </w:r>
      <w:r w:rsidRPr="00666751">
        <w:t>(VAS_F</w:t>
      </w:r>
      <w:r w:rsidR="003A153F">
        <w:t xml:space="preserve">, </w:t>
      </w:r>
      <w:r w:rsidRPr="00666751">
        <w:t>58</w:t>
      </w:r>
      <w:r>
        <w:t xml:space="preserve"> missing values</w:t>
      </w:r>
      <w:r w:rsidRPr="00666751">
        <w:t xml:space="preserve"> out of 960 values were </w:t>
      </w:r>
      <w:r>
        <w:t xml:space="preserve">substituted </w:t>
      </w:r>
      <w:r w:rsidRPr="00666751">
        <w:t>[7%]; FSS</w:t>
      </w:r>
      <w:r w:rsidR="003A153F">
        <w:t xml:space="preserve">, </w:t>
      </w:r>
      <w:r w:rsidRPr="00666751">
        <w:t>1</w:t>
      </w:r>
      <w:r>
        <w:t>5</w:t>
      </w:r>
      <w:r w:rsidRPr="00666751">
        <w:t xml:space="preserve"> </w:t>
      </w:r>
      <w:r>
        <w:t xml:space="preserve">missing values </w:t>
      </w:r>
      <w:r w:rsidRPr="00666751">
        <w:t xml:space="preserve">out of 200 values </w:t>
      </w:r>
      <w:r>
        <w:t>were substituted</w:t>
      </w:r>
      <w:r w:rsidRPr="00666751">
        <w:t xml:space="preserve"> [8%]; D-FIS</w:t>
      </w:r>
      <w:r w:rsidR="003A153F">
        <w:t>,</w:t>
      </w:r>
      <w:r w:rsidRPr="00666751">
        <w:t xml:space="preserve"> 8 </w:t>
      </w:r>
      <w:r>
        <w:t xml:space="preserve">missing values </w:t>
      </w:r>
      <w:r w:rsidRPr="00666751">
        <w:t xml:space="preserve">out of 260 values </w:t>
      </w:r>
      <w:r>
        <w:t>were substituted</w:t>
      </w:r>
      <w:r w:rsidRPr="00666751">
        <w:t xml:space="preserve"> [2%]; MQLI</w:t>
      </w:r>
      <w:r w:rsidR="003A153F">
        <w:t>,</w:t>
      </w:r>
      <w:r w:rsidRPr="00666751">
        <w:t xml:space="preserve"> 8 </w:t>
      </w:r>
      <w:r>
        <w:t xml:space="preserve">missing values </w:t>
      </w:r>
      <w:r w:rsidRPr="00666751">
        <w:t xml:space="preserve">out of 200 values </w:t>
      </w:r>
      <w:r>
        <w:t>were substituted</w:t>
      </w:r>
      <w:r w:rsidRPr="00666751">
        <w:t xml:space="preserve"> [4%]; Sleep protocol</w:t>
      </w:r>
      <w:r w:rsidR="003A153F">
        <w:t>,</w:t>
      </w:r>
      <w:r w:rsidRPr="00666751">
        <w:t xml:space="preserve"> 100 </w:t>
      </w:r>
      <w:r>
        <w:t xml:space="preserve">missing values </w:t>
      </w:r>
      <w:r w:rsidRPr="00666751">
        <w:t xml:space="preserve">out of 2.020 values </w:t>
      </w:r>
      <w:r>
        <w:t>were substituted</w:t>
      </w:r>
      <w:r w:rsidRPr="00666751">
        <w:t xml:space="preserve"> [5%]; side effects</w:t>
      </w:r>
      <w:r w:rsidR="003A153F">
        <w:t>,</w:t>
      </w:r>
      <w:r w:rsidRPr="00666751">
        <w:t xml:space="preserve"> 144 </w:t>
      </w:r>
      <w:r>
        <w:t xml:space="preserve">missing values </w:t>
      </w:r>
      <w:r w:rsidRPr="00666751">
        <w:t xml:space="preserve">out of 2.520 values </w:t>
      </w:r>
      <w:r>
        <w:t>were substituted</w:t>
      </w:r>
      <w:r w:rsidRPr="00666751">
        <w:t xml:space="preserve"> [6%]).</w:t>
      </w:r>
      <w:r w:rsidR="006071E5">
        <w:t xml:space="preserve"> C</w:t>
      </w:r>
      <w:r>
        <w:t>omfort questionnaires were administered once at the end of each intervention period</w:t>
      </w:r>
      <w:r w:rsidR="006071E5">
        <w:t xml:space="preserve">. We had </w:t>
      </w:r>
      <w:r>
        <w:t>missing data from two</w:t>
      </w:r>
      <w:r w:rsidRPr="00666751">
        <w:t xml:space="preserve"> </w:t>
      </w:r>
      <w:r w:rsidR="003A153F">
        <w:t>patients</w:t>
      </w:r>
      <w:r>
        <w:t xml:space="preserve"> in the </w:t>
      </w:r>
      <w:r w:rsidR="00034293">
        <w:t xml:space="preserve">dim red light </w:t>
      </w:r>
      <w:r>
        <w:t xml:space="preserve">intervention and </w:t>
      </w:r>
      <w:r w:rsidRPr="00666751">
        <w:t xml:space="preserve">one </w:t>
      </w:r>
      <w:r>
        <w:t xml:space="preserve">in the </w:t>
      </w:r>
      <w:r w:rsidR="00034293">
        <w:t xml:space="preserve">blue-enriched light </w:t>
      </w:r>
      <w:r>
        <w:t xml:space="preserve">intervention. </w:t>
      </w:r>
      <w:r w:rsidR="003A153F">
        <w:t>To</w:t>
      </w:r>
      <w:r>
        <w:t xml:space="preserve"> run matched pairs analyses, data from 17 persons for whom comfort ratings were available for both interventions were included </w:t>
      </w:r>
      <w:r w:rsidR="003A153F">
        <w:t>in the</w:t>
      </w:r>
      <w:r>
        <w:t xml:space="preserve"> analyses. </w:t>
      </w:r>
    </w:p>
    <w:p w14:paraId="359B3537" w14:textId="1E5552AE" w:rsidR="00DF46FE" w:rsidRDefault="00DF46FE">
      <w:pPr>
        <w:spacing w:line="240" w:lineRule="auto"/>
        <w:ind w:firstLine="0"/>
        <w:jc w:val="left"/>
        <w:rPr>
          <w:rFonts w:ascii="Arial" w:eastAsia="Calibri" w:hAnsi="Arial" w:cs="Arial"/>
        </w:rPr>
      </w:pPr>
      <w:r>
        <w:rPr>
          <w:rFonts w:ascii="Arial" w:eastAsia="Calibri" w:hAnsi="Arial" w:cs="Arial"/>
        </w:rPr>
        <w:br w:type="page"/>
      </w:r>
    </w:p>
    <w:p w14:paraId="3A720A45" w14:textId="77777777" w:rsidR="00DF46FE" w:rsidRDefault="00DF46FE" w:rsidP="00003C49">
      <w:pPr>
        <w:spacing w:after="240" w:line="240" w:lineRule="auto"/>
        <w:ind w:firstLine="0"/>
        <w:jc w:val="left"/>
        <w:rPr>
          <w:rFonts w:ascii="Arial" w:eastAsia="Calibri" w:hAnsi="Arial" w:cs="Arial"/>
        </w:rPr>
        <w:sectPr w:rsidR="00DF46FE" w:rsidSect="00700055">
          <w:pgSz w:w="11906" w:h="16838"/>
          <w:pgMar w:top="1134" w:right="1418" w:bottom="1418" w:left="1418" w:header="709" w:footer="709" w:gutter="0"/>
          <w:cols w:space="708"/>
          <w:docGrid w:linePitch="360"/>
        </w:sectPr>
      </w:pPr>
    </w:p>
    <w:p w14:paraId="7B864938" w14:textId="77777777" w:rsidR="00BD72BB" w:rsidRPr="00E06DEC" w:rsidRDefault="00DF46FE" w:rsidP="00003C49">
      <w:pPr>
        <w:spacing w:after="240" w:line="240" w:lineRule="auto"/>
        <w:ind w:firstLine="0"/>
        <w:jc w:val="left"/>
        <w:rPr>
          <w:rFonts w:ascii="Arial" w:eastAsia="Calibri" w:hAnsi="Arial" w:cs="Arial"/>
          <w:sz w:val="28"/>
          <w:szCs w:val="28"/>
        </w:rPr>
      </w:pPr>
      <w:r w:rsidRPr="00E06DEC">
        <w:rPr>
          <w:rFonts w:ascii="Arial" w:eastAsia="Calibri" w:hAnsi="Arial" w:cs="Arial"/>
          <w:sz w:val="28"/>
          <w:szCs w:val="28"/>
        </w:rPr>
        <w:lastRenderedPageBreak/>
        <w:t xml:space="preserve">Appendix C: </w:t>
      </w:r>
      <w:r w:rsidR="00BD72BB" w:rsidRPr="00E06DEC">
        <w:rPr>
          <w:rFonts w:ascii="Arial" w:eastAsia="Calibri" w:hAnsi="Arial" w:cs="Arial"/>
          <w:sz w:val="28"/>
          <w:szCs w:val="28"/>
        </w:rPr>
        <w:t>Additional results</w:t>
      </w:r>
    </w:p>
    <w:p w14:paraId="6B2014CA" w14:textId="640A0A04" w:rsidR="00BD72BB" w:rsidRDefault="00BD72BB" w:rsidP="00293EA3">
      <w:pPr>
        <w:spacing w:before="60" w:after="120" w:line="240" w:lineRule="auto"/>
        <w:ind w:firstLine="0"/>
        <w:jc w:val="left"/>
        <w:rPr>
          <w:rFonts w:ascii="Arial" w:eastAsia="Calibri" w:hAnsi="Arial" w:cs="Arial"/>
        </w:rPr>
      </w:pPr>
      <w:r>
        <w:rPr>
          <w:rFonts w:ascii="Arial" w:eastAsia="Calibri" w:hAnsi="Arial" w:cs="Arial"/>
        </w:rPr>
        <w:t>Comparison of baseline values at the beginning of the BL and DRL intervention weeks</w:t>
      </w:r>
    </w:p>
    <w:p w14:paraId="26F9A04F" w14:textId="0C23EE05" w:rsidR="00BD72BB" w:rsidRPr="00CB1FDF" w:rsidRDefault="00BD72BB" w:rsidP="00BD72BB">
      <w:pPr>
        <w:ind w:firstLine="0"/>
        <w:rPr>
          <w:rFonts w:ascii="Arial" w:eastAsia="Aptos" w:hAnsi="Arial" w:cs="Arial"/>
          <w:kern w:val="2"/>
          <w:sz w:val="20"/>
          <w:szCs w:val="20"/>
          <w:u w:val="single"/>
          <w:lang w:val="en-US"/>
          <w14:ligatures w14:val="standardContextual"/>
        </w:rPr>
      </w:pPr>
      <w:r w:rsidRPr="00CB1FDF">
        <w:rPr>
          <w:rFonts w:ascii="Arial" w:eastAsia="Aptos" w:hAnsi="Arial" w:cs="Arial"/>
          <w:b/>
          <w:bCs/>
          <w:kern w:val="2"/>
          <w:sz w:val="20"/>
          <w:szCs w:val="20"/>
          <w:u w:val="single"/>
          <w:lang w:val="en-US"/>
          <w14:ligatures w14:val="standardContextual"/>
        </w:rPr>
        <w:t xml:space="preserve">Table </w:t>
      </w:r>
      <w:r>
        <w:rPr>
          <w:rFonts w:ascii="Arial" w:eastAsia="Aptos" w:hAnsi="Arial" w:cs="Arial"/>
          <w:b/>
          <w:bCs/>
          <w:kern w:val="2"/>
          <w:sz w:val="20"/>
          <w:szCs w:val="20"/>
          <w:u w:val="single"/>
          <w:lang w:val="en-US"/>
          <w14:ligatures w14:val="standardContextual"/>
        </w:rPr>
        <w:t>S1</w:t>
      </w:r>
      <w:r w:rsidRPr="00CB1FDF">
        <w:rPr>
          <w:rFonts w:ascii="Arial" w:eastAsia="Aptos" w:hAnsi="Arial" w:cs="Arial"/>
          <w:kern w:val="2"/>
          <w:sz w:val="20"/>
          <w:szCs w:val="20"/>
          <w:u w:val="single"/>
          <w:lang w:val="en-US"/>
          <w14:ligatures w14:val="standardContextual"/>
        </w:rPr>
        <w:t xml:space="preserve"> Baseline scores at the beginning of both intervention weeks</w:t>
      </w:r>
    </w:p>
    <w:tbl>
      <w:tblPr>
        <w:tblW w:w="5385" w:type="dxa"/>
        <w:tblLayout w:type="fixed"/>
        <w:tblCellMar>
          <w:left w:w="70" w:type="dxa"/>
          <w:right w:w="70" w:type="dxa"/>
        </w:tblCellMar>
        <w:tblLook w:val="04A0" w:firstRow="1" w:lastRow="0" w:firstColumn="1" w:lastColumn="0" w:noHBand="0" w:noVBand="1"/>
      </w:tblPr>
      <w:tblGrid>
        <w:gridCol w:w="1560"/>
        <w:gridCol w:w="1300"/>
        <w:gridCol w:w="1228"/>
        <w:gridCol w:w="806"/>
        <w:gridCol w:w="491"/>
      </w:tblGrid>
      <w:tr w:rsidR="00BD72BB" w:rsidRPr="0035329C" w14:paraId="044AB44F" w14:textId="77777777" w:rsidTr="004F1030">
        <w:trPr>
          <w:trHeight w:val="320"/>
        </w:trPr>
        <w:tc>
          <w:tcPr>
            <w:tcW w:w="1560" w:type="dxa"/>
            <w:tcBorders>
              <w:top w:val="single" w:sz="4" w:space="0" w:color="auto"/>
              <w:left w:val="nil"/>
              <w:right w:val="nil"/>
            </w:tcBorders>
            <w:noWrap/>
            <w:vAlign w:val="bottom"/>
            <w:hideMark/>
          </w:tcPr>
          <w:p w14:paraId="5187C8E5" w14:textId="77777777" w:rsidR="00BD72BB" w:rsidRPr="007D6906" w:rsidRDefault="00BD72BB" w:rsidP="004F1030">
            <w:pPr>
              <w:spacing w:line="240" w:lineRule="auto"/>
              <w:ind w:firstLine="0"/>
              <w:jc w:val="left"/>
              <w:rPr>
                <w:rFonts w:ascii="Arial" w:eastAsia="Times New Roman" w:hAnsi="Arial" w:cs="Arial"/>
                <w:color w:val="000000"/>
                <w:sz w:val="20"/>
                <w:szCs w:val="20"/>
                <w:lang w:val="en-US" w:eastAsia="de-DE"/>
              </w:rPr>
            </w:pPr>
          </w:p>
        </w:tc>
        <w:tc>
          <w:tcPr>
            <w:tcW w:w="1300" w:type="dxa"/>
            <w:tcBorders>
              <w:top w:val="single" w:sz="4" w:space="0" w:color="auto"/>
              <w:left w:val="nil"/>
              <w:right w:val="nil"/>
            </w:tcBorders>
            <w:noWrap/>
            <w:vAlign w:val="bottom"/>
            <w:hideMark/>
          </w:tcPr>
          <w:p w14:paraId="6132DCFF"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DRL</w:t>
            </w:r>
          </w:p>
        </w:tc>
        <w:tc>
          <w:tcPr>
            <w:tcW w:w="1228" w:type="dxa"/>
            <w:tcBorders>
              <w:top w:val="single" w:sz="4" w:space="0" w:color="auto"/>
              <w:left w:val="nil"/>
              <w:right w:val="nil"/>
            </w:tcBorders>
            <w:noWrap/>
            <w:vAlign w:val="bottom"/>
            <w:hideMark/>
          </w:tcPr>
          <w:p w14:paraId="7754FA60"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Pr>
                <w:rFonts w:ascii="Arial" w:eastAsia="Times New Roman" w:hAnsi="Arial" w:cs="Arial"/>
                <w:color w:val="000000"/>
                <w:sz w:val="20"/>
                <w:szCs w:val="20"/>
                <w:lang w:val="de-DE" w:eastAsia="de-DE"/>
              </w:rPr>
              <w:t>BL</w:t>
            </w:r>
          </w:p>
        </w:tc>
        <w:tc>
          <w:tcPr>
            <w:tcW w:w="806" w:type="dxa"/>
            <w:tcBorders>
              <w:top w:val="single" w:sz="4" w:space="0" w:color="auto"/>
              <w:left w:val="nil"/>
              <w:right w:val="nil"/>
            </w:tcBorders>
            <w:vAlign w:val="center"/>
          </w:tcPr>
          <w:p w14:paraId="1216299E"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p>
        </w:tc>
        <w:tc>
          <w:tcPr>
            <w:tcW w:w="491" w:type="dxa"/>
            <w:tcBorders>
              <w:top w:val="single" w:sz="4" w:space="0" w:color="auto"/>
              <w:left w:val="nil"/>
              <w:right w:val="nil"/>
            </w:tcBorders>
          </w:tcPr>
          <w:p w14:paraId="774745B9"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p>
        </w:tc>
      </w:tr>
      <w:tr w:rsidR="00BD72BB" w:rsidRPr="0035329C" w14:paraId="5B39AF02" w14:textId="77777777" w:rsidTr="004F1030">
        <w:trPr>
          <w:trHeight w:val="317"/>
        </w:trPr>
        <w:tc>
          <w:tcPr>
            <w:tcW w:w="1560" w:type="dxa"/>
            <w:tcBorders>
              <w:top w:val="nil"/>
              <w:left w:val="nil"/>
              <w:bottom w:val="single" w:sz="4" w:space="0" w:color="auto"/>
              <w:right w:val="nil"/>
            </w:tcBorders>
            <w:noWrap/>
            <w:vAlign w:val="bottom"/>
            <w:hideMark/>
          </w:tcPr>
          <w:p w14:paraId="40F3F5F8" w14:textId="77777777" w:rsidR="00BD72BB" w:rsidRPr="0035329C" w:rsidRDefault="00BD72BB" w:rsidP="004F1030">
            <w:pPr>
              <w:spacing w:line="240" w:lineRule="auto"/>
              <w:ind w:firstLine="0"/>
              <w:jc w:val="left"/>
              <w:rPr>
                <w:rFonts w:eastAsia="Times New Roman" w:cs="Times New Roman"/>
                <w:sz w:val="20"/>
                <w:szCs w:val="20"/>
                <w:lang w:val="de-DE" w:eastAsia="de-DE"/>
              </w:rPr>
            </w:pPr>
          </w:p>
        </w:tc>
        <w:tc>
          <w:tcPr>
            <w:tcW w:w="1300" w:type="dxa"/>
            <w:tcBorders>
              <w:top w:val="nil"/>
              <w:left w:val="nil"/>
              <w:bottom w:val="single" w:sz="4" w:space="0" w:color="auto"/>
              <w:right w:val="nil"/>
            </w:tcBorders>
            <w:noWrap/>
            <w:vAlign w:val="bottom"/>
            <w:hideMark/>
          </w:tcPr>
          <w:p w14:paraId="6A2FF891" w14:textId="77777777" w:rsidR="00BD72BB" w:rsidRPr="0035329C" w:rsidRDefault="00BD72BB" w:rsidP="004F1030">
            <w:pPr>
              <w:spacing w:line="240" w:lineRule="auto"/>
              <w:ind w:firstLine="0"/>
              <w:jc w:val="center"/>
              <w:rPr>
                <w:rFonts w:ascii="Arial" w:eastAsia="Times New Roman" w:hAnsi="Arial" w:cs="Arial"/>
                <w:i/>
                <w:iCs/>
                <w:color w:val="000000"/>
                <w:sz w:val="18"/>
                <w:szCs w:val="18"/>
                <w:lang w:val="de-DE" w:eastAsia="de-DE"/>
              </w:rPr>
            </w:pPr>
            <w:r w:rsidRPr="0035329C">
              <w:rPr>
                <w:rFonts w:ascii="Arial" w:eastAsia="Times New Roman" w:hAnsi="Arial" w:cs="Arial"/>
                <w:i/>
                <w:iCs/>
                <w:color w:val="000000"/>
                <w:sz w:val="18"/>
                <w:szCs w:val="18"/>
                <w:lang w:val="de-DE" w:eastAsia="de-DE"/>
              </w:rPr>
              <w:t>M ± SD</w:t>
            </w:r>
          </w:p>
        </w:tc>
        <w:tc>
          <w:tcPr>
            <w:tcW w:w="1228" w:type="dxa"/>
            <w:tcBorders>
              <w:top w:val="nil"/>
              <w:left w:val="nil"/>
              <w:bottom w:val="single" w:sz="4" w:space="0" w:color="auto"/>
              <w:right w:val="nil"/>
            </w:tcBorders>
            <w:noWrap/>
            <w:vAlign w:val="bottom"/>
            <w:hideMark/>
          </w:tcPr>
          <w:p w14:paraId="4D5FCBD6" w14:textId="77777777" w:rsidR="00BD72BB" w:rsidRPr="0035329C" w:rsidRDefault="00BD72BB" w:rsidP="004F1030">
            <w:pPr>
              <w:spacing w:line="240" w:lineRule="auto"/>
              <w:ind w:firstLine="0"/>
              <w:jc w:val="center"/>
              <w:rPr>
                <w:rFonts w:ascii="Arial" w:eastAsia="Times New Roman" w:hAnsi="Arial" w:cs="Arial"/>
                <w:i/>
                <w:iCs/>
                <w:color w:val="000000"/>
                <w:sz w:val="18"/>
                <w:szCs w:val="18"/>
                <w:lang w:val="de-DE" w:eastAsia="de-DE"/>
              </w:rPr>
            </w:pPr>
            <w:r w:rsidRPr="0035329C">
              <w:rPr>
                <w:rFonts w:ascii="Arial" w:eastAsia="Times New Roman" w:hAnsi="Arial" w:cs="Arial"/>
                <w:i/>
                <w:iCs/>
                <w:color w:val="000000"/>
                <w:sz w:val="18"/>
                <w:szCs w:val="18"/>
                <w:lang w:val="de-DE" w:eastAsia="de-DE"/>
              </w:rPr>
              <w:t>M ± SD</w:t>
            </w:r>
          </w:p>
        </w:tc>
        <w:tc>
          <w:tcPr>
            <w:tcW w:w="806" w:type="dxa"/>
            <w:tcBorders>
              <w:top w:val="nil"/>
              <w:left w:val="nil"/>
              <w:bottom w:val="single" w:sz="4" w:space="0" w:color="auto"/>
              <w:right w:val="nil"/>
            </w:tcBorders>
            <w:vAlign w:val="bottom"/>
          </w:tcPr>
          <w:p w14:paraId="6F1B9F90" w14:textId="77777777" w:rsidR="00BD72BB" w:rsidRDefault="00BD72BB" w:rsidP="004F1030">
            <w:pPr>
              <w:spacing w:line="240" w:lineRule="auto"/>
              <w:ind w:firstLine="0"/>
              <w:jc w:val="right"/>
              <w:rPr>
                <w:rFonts w:ascii="Arial" w:eastAsia="Times New Roman" w:hAnsi="Arial" w:cs="Arial"/>
                <w:i/>
                <w:iCs/>
                <w:color w:val="000000"/>
                <w:sz w:val="18"/>
                <w:szCs w:val="18"/>
                <w:lang w:val="de-DE" w:eastAsia="de-DE"/>
              </w:rPr>
            </w:pPr>
            <w:r>
              <w:rPr>
                <w:rFonts w:ascii="Arial" w:eastAsia="Times New Roman" w:hAnsi="Arial" w:cs="Arial"/>
                <w:i/>
                <w:iCs/>
                <w:color w:val="000000"/>
                <w:sz w:val="18"/>
                <w:szCs w:val="18"/>
                <w:lang w:val="de-DE" w:eastAsia="de-DE"/>
              </w:rPr>
              <w:t>t(19)</w:t>
            </w:r>
          </w:p>
        </w:tc>
        <w:tc>
          <w:tcPr>
            <w:tcW w:w="491" w:type="dxa"/>
            <w:tcBorders>
              <w:top w:val="nil"/>
              <w:left w:val="nil"/>
              <w:bottom w:val="single" w:sz="4" w:space="0" w:color="auto"/>
              <w:right w:val="nil"/>
            </w:tcBorders>
            <w:vAlign w:val="bottom"/>
          </w:tcPr>
          <w:p w14:paraId="11C55AD1" w14:textId="77777777" w:rsidR="00BD72BB" w:rsidRDefault="00BD72BB" w:rsidP="004F1030">
            <w:pPr>
              <w:spacing w:line="240" w:lineRule="auto"/>
              <w:ind w:firstLine="0"/>
              <w:jc w:val="center"/>
              <w:rPr>
                <w:rFonts w:ascii="Arial" w:eastAsia="Times New Roman" w:hAnsi="Arial" w:cs="Arial"/>
                <w:i/>
                <w:iCs/>
                <w:color w:val="000000"/>
                <w:sz w:val="18"/>
                <w:szCs w:val="18"/>
                <w:lang w:val="de-DE" w:eastAsia="de-DE"/>
              </w:rPr>
            </w:pPr>
            <w:r>
              <w:rPr>
                <w:rFonts w:ascii="Arial" w:eastAsia="Times New Roman" w:hAnsi="Arial" w:cs="Arial"/>
                <w:i/>
                <w:iCs/>
                <w:color w:val="000000"/>
                <w:sz w:val="18"/>
                <w:szCs w:val="18"/>
                <w:lang w:val="de-DE" w:eastAsia="de-DE"/>
              </w:rPr>
              <w:t>p</w:t>
            </w:r>
          </w:p>
        </w:tc>
      </w:tr>
      <w:tr w:rsidR="00BD72BB" w:rsidRPr="0035329C" w14:paraId="7CE89000" w14:textId="77777777" w:rsidTr="004F1030">
        <w:trPr>
          <w:trHeight w:val="317"/>
        </w:trPr>
        <w:tc>
          <w:tcPr>
            <w:tcW w:w="1560" w:type="dxa"/>
            <w:tcBorders>
              <w:top w:val="single" w:sz="4" w:space="0" w:color="auto"/>
              <w:left w:val="nil"/>
              <w:bottom w:val="nil"/>
              <w:right w:val="nil"/>
            </w:tcBorders>
            <w:noWrap/>
            <w:vAlign w:val="bottom"/>
            <w:hideMark/>
          </w:tcPr>
          <w:p w14:paraId="4EFBCA93"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sidRPr="0035329C">
              <w:rPr>
                <w:rFonts w:ascii="Arial" w:eastAsia="Times New Roman" w:hAnsi="Arial" w:cs="Arial"/>
                <w:color w:val="000000"/>
                <w:sz w:val="20"/>
                <w:szCs w:val="20"/>
                <w:lang w:val="de-DE" w:eastAsia="de-DE"/>
              </w:rPr>
              <w:t>VAS_F pre</w:t>
            </w:r>
          </w:p>
        </w:tc>
        <w:tc>
          <w:tcPr>
            <w:tcW w:w="1300" w:type="dxa"/>
            <w:tcBorders>
              <w:top w:val="single" w:sz="4" w:space="0" w:color="auto"/>
              <w:left w:val="nil"/>
              <w:bottom w:val="nil"/>
              <w:right w:val="nil"/>
            </w:tcBorders>
            <w:noWrap/>
            <w:vAlign w:val="bottom"/>
            <w:hideMark/>
          </w:tcPr>
          <w:p w14:paraId="2C9743FE"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5</w:t>
            </w:r>
            <w:r>
              <w:rPr>
                <w:rFonts w:ascii="Arial" w:eastAsia="Times New Roman" w:hAnsi="Arial" w:cs="Arial"/>
                <w:color w:val="000000"/>
                <w:sz w:val="18"/>
                <w:szCs w:val="18"/>
                <w:lang w:val="de-DE" w:eastAsia="de-DE"/>
              </w:rPr>
              <w:t>1</w:t>
            </w:r>
            <w:r w:rsidRPr="0035329C">
              <w:rPr>
                <w:rFonts w:ascii="Arial" w:eastAsia="Times New Roman" w:hAnsi="Arial" w:cs="Arial"/>
                <w:color w:val="000000"/>
                <w:sz w:val="18"/>
                <w:szCs w:val="18"/>
                <w:lang w:val="de-DE" w:eastAsia="de-DE"/>
              </w:rPr>
              <w:t>.</w:t>
            </w:r>
            <w:r>
              <w:rPr>
                <w:rFonts w:ascii="Arial" w:eastAsia="Times New Roman" w:hAnsi="Arial" w:cs="Arial"/>
                <w:color w:val="000000"/>
                <w:sz w:val="18"/>
                <w:szCs w:val="18"/>
                <w:lang w:val="de-DE" w:eastAsia="de-DE"/>
              </w:rPr>
              <w:t>3</w:t>
            </w:r>
            <w:r w:rsidRPr="0035329C">
              <w:rPr>
                <w:rFonts w:ascii="Arial" w:eastAsia="Times New Roman" w:hAnsi="Arial" w:cs="Arial"/>
                <w:color w:val="000000"/>
                <w:sz w:val="18"/>
                <w:szCs w:val="18"/>
                <w:lang w:val="de-DE" w:eastAsia="de-DE"/>
              </w:rPr>
              <w:t xml:space="preserve"> ± 2</w:t>
            </w:r>
            <w:r>
              <w:rPr>
                <w:rFonts w:ascii="Arial" w:eastAsia="Times New Roman" w:hAnsi="Arial" w:cs="Arial"/>
                <w:color w:val="000000"/>
                <w:sz w:val="18"/>
                <w:szCs w:val="18"/>
                <w:lang w:val="de-DE" w:eastAsia="de-DE"/>
              </w:rPr>
              <w:t>4.4</w:t>
            </w:r>
          </w:p>
        </w:tc>
        <w:tc>
          <w:tcPr>
            <w:tcW w:w="1228" w:type="dxa"/>
            <w:tcBorders>
              <w:top w:val="single" w:sz="4" w:space="0" w:color="auto"/>
              <w:left w:val="nil"/>
              <w:bottom w:val="nil"/>
              <w:right w:val="nil"/>
            </w:tcBorders>
            <w:noWrap/>
            <w:vAlign w:val="bottom"/>
            <w:hideMark/>
          </w:tcPr>
          <w:p w14:paraId="421831E7"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5</w:t>
            </w:r>
            <w:r>
              <w:rPr>
                <w:rFonts w:ascii="Arial" w:eastAsia="Times New Roman" w:hAnsi="Arial" w:cs="Arial"/>
                <w:color w:val="000000"/>
                <w:sz w:val="18"/>
                <w:szCs w:val="18"/>
                <w:lang w:val="de-DE" w:eastAsia="de-DE"/>
              </w:rPr>
              <w:t>1.0</w:t>
            </w:r>
            <w:r w:rsidRPr="0035329C">
              <w:rPr>
                <w:rFonts w:ascii="Arial" w:eastAsia="Times New Roman" w:hAnsi="Arial" w:cs="Arial"/>
                <w:color w:val="000000"/>
                <w:sz w:val="18"/>
                <w:szCs w:val="18"/>
                <w:lang w:val="de-DE" w:eastAsia="de-DE"/>
              </w:rPr>
              <w:t xml:space="preserve"> ± 2</w:t>
            </w:r>
            <w:r>
              <w:rPr>
                <w:rFonts w:ascii="Arial" w:eastAsia="Times New Roman" w:hAnsi="Arial" w:cs="Arial"/>
                <w:color w:val="000000"/>
                <w:sz w:val="18"/>
                <w:szCs w:val="18"/>
                <w:lang w:val="de-DE" w:eastAsia="de-DE"/>
              </w:rPr>
              <w:t>5.5</w:t>
            </w:r>
          </w:p>
        </w:tc>
        <w:tc>
          <w:tcPr>
            <w:tcW w:w="806" w:type="dxa"/>
            <w:tcBorders>
              <w:top w:val="single" w:sz="4" w:space="0" w:color="auto"/>
              <w:left w:val="nil"/>
              <w:bottom w:val="nil"/>
              <w:right w:val="nil"/>
            </w:tcBorders>
            <w:vAlign w:val="bottom"/>
          </w:tcPr>
          <w:p w14:paraId="353F4176" w14:textId="77777777" w:rsidR="00BD72BB" w:rsidRPr="004D50E7" w:rsidRDefault="00BD72BB" w:rsidP="004F1030">
            <w:pPr>
              <w:spacing w:line="240" w:lineRule="auto"/>
              <w:ind w:firstLine="0"/>
              <w:jc w:val="right"/>
              <w:rPr>
                <w:rFonts w:ascii="Arial" w:eastAsia="Times New Roman" w:hAnsi="Arial" w:cs="Arial"/>
                <w:sz w:val="18"/>
                <w:szCs w:val="18"/>
                <w:lang w:eastAsia="de-DE"/>
              </w:rPr>
            </w:pPr>
            <w:r>
              <w:rPr>
                <w:rFonts w:ascii="Arial" w:eastAsia="Times New Roman" w:hAnsi="Arial" w:cs="Arial"/>
                <w:sz w:val="18"/>
                <w:szCs w:val="18"/>
                <w:lang w:eastAsia="de-DE"/>
              </w:rPr>
              <w:t>0.036</w:t>
            </w:r>
          </w:p>
        </w:tc>
        <w:tc>
          <w:tcPr>
            <w:tcW w:w="491" w:type="dxa"/>
            <w:tcBorders>
              <w:top w:val="single" w:sz="4" w:space="0" w:color="auto"/>
              <w:left w:val="nil"/>
              <w:bottom w:val="nil"/>
              <w:right w:val="nil"/>
            </w:tcBorders>
            <w:vAlign w:val="bottom"/>
          </w:tcPr>
          <w:p w14:paraId="56BF1DD6" w14:textId="77777777" w:rsidR="00BD72BB" w:rsidRPr="004D50E7" w:rsidRDefault="00BD72BB" w:rsidP="004F1030">
            <w:pPr>
              <w:spacing w:line="240" w:lineRule="auto"/>
              <w:ind w:firstLine="0"/>
              <w:jc w:val="center"/>
              <w:rPr>
                <w:rFonts w:ascii="Arial" w:eastAsia="Times New Roman" w:hAnsi="Arial" w:cs="Arial"/>
                <w:sz w:val="18"/>
                <w:szCs w:val="18"/>
                <w:lang w:eastAsia="de-DE"/>
              </w:rPr>
            </w:pPr>
            <w:r>
              <w:rPr>
                <w:rFonts w:ascii="Arial" w:eastAsia="Times New Roman" w:hAnsi="Arial" w:cs="Arial"/>
                <w:sz w:val="18"/>
                <w:szCs w:val="18"/>
                <w:lang w:eastAsia="de-DE"/>
              </w:rPr>
              <w:t>.972</w:t>
            </w:r>
          </w:p>
        </w:tc>
      </w:tr>
      <w:tr w:rsidR="00BD72BB" w:rsidRPr="0035329C" w14:paraId="218BB196" w14:textId="77777777" w:rsidTr="004F1030">
        <w:trPr>
          <w:trHeight w:val="317"/>
        </w:trPr>
        <w:tc>
          <w:tcPr>
            <w:tcW w:w="1560" w:type="dxa"/>
            <w:tcBorders>
              <w:top w:val="nil"/>
              <w:left w:val="nil"/>
              <w:bottom w:val="nil"/>
              <w:right w:val="nil"/>
            </w:tcBorders>
            <w:noWrap/>
            <w:vAlign w:val="bottom"/>
            <w:hideMark/>
          </w:tcPr>
          <w:p w14:paraId="00E95A79"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sidRPr="0035329C">
              <w:rPr>
                <w:rFonts w:ascii="Arial" w:eastAsia="Times New Roman" w:hAnsi="Arial" w:cs="Arial"/>
                <w:color w:val="000000"/>
                <w:sz w:val="20"/>
                <w:szCs w:val="20"/>
                <w:lang w:val="de-DE" w:eastAsia="de-DE"/>
              </w:rPr>
              <w:t>VAS_F post</w:t>
            </w:r>
          </w:p>
        </w:tc>
        <w:tc>
          <w:tcPr>
            <w:tcW w:w="1300" w:type="dxa"/>
            <w:tcBorders>
              <w:top w:val="nil"/>
              <w:left w:val="nil"/>
              <w:bottom w:val="nil"/>
              <w:right w:val="nil"/>
            </w:tcBorders>
            <w:noWrap/>
            <w:vAlign w:val="bottom"/>
            <w:hideMark/>
          </w:tcPr>
          <w:p w14:paraId="13407AD9"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4</w:t>
            </w:r>
            <w:r>
              <w:rPr>
                <w:rFonts w:ascii="Arial" w:eastAsia="Times New Roman" w:hAnsi="Arial" w:cs="Arial"/>
                <w:color w:val="000000"/>
                <w:sz w:val="18"/>
                <w:szCs w:val="18"/>
                <w:lang w:val="de-DE" w:eastAsia="de-DE"/>
              </w:rPr>
              <w:t>3.3</w:t>
            </w:r>
            <w:r w:rsidRPr="0035329C">
              <w:rPr>
                <w:rFonts w:ascii="Arial" w:eastAsia="Times New Roman" w:hAnsi="Arial" w:cs="Arial"/>
                <w:color w:val="000000"/>
                <w:sz w:val="18"/>
                <w:szCs w:val="18"/>
                <w:lang w:val="de-DE" w:eastAsia="de-DE"/>
              </w:rPr>
              <w:t xml:space="preserve"> ± 2</w:t>
            </w:r>
            <w:r>
              <w:rPr>
                <w:rFonts w:ascii="Arial" w:eastAsia="Times New Roman" w:hAnsi="Arial" w:cs="Arial"/>
                <w:color w:val="000000"/>
                <w:sz w:val="18"/>
                <w:szCs w:val="18"/>
                <w:lang w:val="de-DE" w:eastAsia="de-DE"/>
              </w:rPr>
              <w:t>2.8</w:t>
            </w:r>
          </w:p>
        </w:tc>
        <w:tc>
          <w:tcPr>
            <w:tcW w:w="1228" w:type="dxa"/>
            <w:tcBorders>
              <w:top w:val="nil"/>
              <w:left w:val="nil"/>
              <w:bottom w:val="nil"/>
              <w:right w:val="nil"/>
            </w:tcBorders>
            <w:noWrap/>
            <w:vAlign w:val="bottom"/>
            <w:hideMark/>
          </w:tcPr>
          <w:p w14:paraId="2BB594BA"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48.8</w:t>
            </w:r>
            <w:r w:rsidRPr="0035329C">
              <w:rPr>
                <w:rFonts w:ascii="Arial" w:eastAsia="Times New Roman" w:hAnsi="Arial" w:cs="Arial"/>
                <w:color w:val="000000"/>
                <w:sz w:val="18"/>
                <w:szCs w:val="18"/>
                <w:lang w:val="de-DE" w:eastAsia="de-DE"/>
              </w:rPr>
              <w:t xml:space="preserve"> ± 2</w:t>
            </w:r>
            <w:r>
              <w:rPr>
                <w:rFonts w:ascii="Arial" w:eastAsia="Times New Roman" w:hAnsi="Arial" w:cs="Arial"/>
                <w:color w:val="000000"/>
                <w:sz w:val="18"/>
                <w:szCs w:val="18"/>
                <w:lang w:val="de-DE" w:eastAsia="de-DE"/>
              </w:rPr>
              <w:t>1.5</w:t>
            </w:r>
          </w:p>
        </w:tc>
        <w:tc>
          <w:tcPr>
            <w:tcW w:w="806" w:type="dxa"/>
            <w:tcBorders>
              <w:top w:val="nil"/>
              <w:left w:val="nil"/>
              <w:bottom w:val="nil"/>
              <w:right w:val="nil"/>
            </w:tcBorders>
            <w:vAlign w:val="bottom"/>
          </w:tcPr>
          <w:p w14:paraId="701763E5" w14:textId="77777777" w:rsidR="00BD72BB" w:rsidRPr="0035329C" w:rsidRDefault="00BD72BB" w:rsidP="004F1030">
            <w:pPr>
              <w:spacing w:line="240" w:lineRule="auto"/>
              <w:ind w:firstLine="0"/>
              <w:jc w:val="right"/>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-1.255</w:t>
            </w:r>
          </w:p>
        </w:tc>
        <w:tc>
          <w:tcPr>
            <w:tcW w:w="491" w:type="dxa"/>
            <w:tcBorders>
              <w:top w:val="nil"/>
              <w:left w:val="nil"/>
              <w:bottom w:val="nil"/>
              <w:right w:val="nil"/>
            </w:tcBorders>
            <w:vAlign w:val="bottom"/>
          </w:tcPr>
          <w:p w14:paraId="4C6032DA"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.225</w:t>
            </w:r>
          </w:p>
        </w:tc>
      </w:tr>
      <w:tr w:rsidR="00BD72BB" w:rsidRPr="0035329C" w14:paraId="651CF560" w14:textId="77777777" w:rsidTr="004F1030">
        <w:trPr>
          <w:trHeight w:val="317"/>
        </w:trPr>
        <w:tc>
          <w:tcPr>
            <w:tcW w:w="1560" w:type="dxa"/>
            <w:tcBorders>
              <w:top w:val="nil"/>
              <w:left w:val="nil"/>
              <w:bottom w:val="nil"/>
              <w:right w:val="nil"/>
            </w:tcBorders>
            <w:noWrap/>
            <w:vAlign w:val="bottom"/>
            <w:hideMark/>
          </w:tcPr>
          <w:p w14:paraId="0728798C"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sidRPr="0035329C">
              <w:rPr>
                <w:rFonts w:ascii="Arial" w:eastAsia="Times New Roman" w:hAnsi="Arial" w:cs="Arial"/>
                <w:color w:val="000000"/>
                <w:sz w:val="20"/>
                <w:szCs w:val="20"/>
                <w:lang w:val="de-DE" w:eastAsia="de-DE"/>
              </w:rPr>
              <w:t xml:space="preserve">VAS_F </w:t>
            </w:r>
            <w:r>
              <w:rPr>
                <w:rFonts w:ascii="Arial" w:eastAsia="Times New Roman" w:hAnsi="Arial" w:cs="Arial"/>
                <w:color w:val="000000"/>
                <w:sz w:val="20"/>
                <w:szCs w:val="20"/>
                <w:lang w:val="de-DE" w:eastAsia="de-DE"/>
              </w:rPr>
              <w:t>at 13:00</w:t>
            </w:r>
          </w:p>
        </w:tc>
        <w:tc>
          <w:tcPr>
            <w:tcW w:w="1300" w:type="dxa"/>
            <w:tcBorders>
              <w:top w:val="nil"/>
              <w:left w:val="nil"/>
              <w:bottom w:val="nil"/>
              <w:right w:val="nil"/>
            </w:tcBorders>
            <w:noWrap/>
            <w:vAlign w:val="bottom"/>
            <w:hideMark/>
          </w:tcPr>
          <w:p w14:paraId="36CBB039"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5</w:t>
            </w:r>
            <w:r>
              <w:rPr>
                <w:rFonts w:ascii="Arial" w:eastAsia="Times New Roman" w:hAnsi="Arial" w:cs="Arial"/>
                <w:color w:val="000000"/>
                <w:sz w:val="18"/>
                <w:szCs w:val="18"/>
                <w:lang w:val="de-DE" w:eastAsia="de-DE"/>
              </w:rPr>
              <w:t>1.0</w:t>
            </w:r>
            <w:r w:rsidRPr="0035329C">
              <w:rPr>
                <w:rFonts w:ascii="Arial" w:eastAsia="Times New Roman" w:hAnsi="Arial" w:cs="Arial"/>
                <w:color w:val="000000"/>
                <w:sz w:val="18"/>
                <w:szCs w:val="18"/>
                <w:lang w:val="de-DE" w:eastAsia="de-DE"/>
              </w:rPr>
              <w:t xml:space="preserve"> ± 2</w:t>
            </w:r>
            <w:r>
              <w:rPr>
                <w:rFonts w:ascii="Arial" w:eastAsia="Times New Roman" w:hAnsi="Arial" w:cs="Arial"/>
                <w:color w:val="000000"/>
                <w:sz w:val="18"/>
                <w:szCs w:val="18"/>
                <w:lang w:val="de-DE" w:eastAsia="de-DE"/>
              </w:rPr>
              <w:t>6.1</w:t>
            </w:r>
          </w:p>
        </w:tc>
        <w:tc>
          <w:tcPr>
            <w:tcW w:w="1228" w:type="dxa"/>
            <w:tcBorders>
              <w:top w:val="nil"/>
              <w:left w:val="nil"/>
              <w:bottom w:val="nil"/>
              <w:right w:val="nil"/>
            </w:tcBorders>
            <w:noWrap/>
            <w:vAlign w:val="bottom"/>
            <w:hideMark/>
          </w:tcPr>
          <w:p w14:paraId="3F3455AC"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5</w:t>
            </w:r>
            <w:r>
              <w:rPr>
                <w:rFonts w:ascii="Arial" w:eastAsia="Times New Roman" w:hAnsi="Arial" w:cs="Arial"/>
                <w:color w:val="000000"/>
                <w:sz w:val="18"/>
                <w:szCs w:val="18"/>
                <w:lang w:val="de-DE" w:eastAsia="de-DE"/>
              </w:rPr>
              <w:t>9.0</w:t>
            </w:r>
            <w:r w:rsidRPr="0035329C">
              <w:rPr>
                <w:rFonts w:ascii="Arial" w:eastAsia="Times New Roman" w:hAnsi="Arial" w:cs="Arial"/>
                <w:color w:val="000000"/>
                <w:sz w:val="18"/>
                <w:szCs w:val="18"/>
                <w:lang w:val="de-DE" w:eastAsia="de-DE"/>
              </w:rPr>
              <w:t xml:space="preserve"> ± </w:t>
            </w:r>
            <w:r>
              <w:rPr>
                <w:rFonts w:ascii="Arial" w:eastAsia="Times New Roman" w:hAnsi="Arial" w:cs="Arial"/>
                <w:color w:val="000000"/>
                <w:sz w:val="18"/>
                <w:szCs w:val="18"/>
                <w:lang w:val="de-DE" w:eastAsia="de-DE"/>
              </w:rPr>
              <w:t>22.0</w:t>
            </w:r>
          </w:p>
        </w:tc>
        <w:tc>
          <w:tcPr>
            <w:tcW w:w="806" w:type="dxa"/>
            <w:tcBorders>
              <w:top w:val="nil"/>
              <w:left w:val="nil"/>
              <w:bottom w:val="nil"/>
              <w:right w:val="nil"/>
            </w:tcBorders>
            <w:vAlign w:val="bottom"/>
          </w:tcPr>
          <w:p w14:paraId="55C76E97" w14:textId="77777777" w:rsidR="00BD72BB" w:rsidRPr="0035329C" w:rsidRDefault="00BD72BB" w:rsidP="004F1030">
            <w:pPr>
              <w:spacing w:line="240" w:lineRule="auto"/>
              <w:ind w:firstLine="0"/>
              <w:jc w:val="right"/>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-1.152</w:t>
            </w:r>
          </w:p>
        </w:tc>
        <w:tc>
          <w:tcPr>
            <w:tcW w:w="491" w:type="dxa"/>
            <w:tcBorders>
              <w:top w:val="nil"/>
              <w:left w:val="nil"/>
              <w:bottom w:val="nil"/>
              <w:right w:val="nil"/>
            </w:tcBorders>
            <w:vAlign w:val="bottom"/>
          </w:tcPr>
          <w:p w14:paraId="5EEA7F27"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.264</w:t>
            </w:r>
          </w:p>
        </w:tc>
      </w:tr>
      <w:tr w:rsidR="00BD72BB" w:rsidRPr="0035329C" w14:paraId="6DC3B82A" w14:textId="77777777" w:rsidTr="004F1030">
        <w:trPr>
          <w:trHeight w:val="317"/>
        </w:trPr>
        <w:tc>
          <w:tcPr>
            <w:tcW w:w="1560" w:type="dxa"/>
            <w:tcBorders>
              <w:top w:val="nil"/>
              <w:left w:val="nil"/>
              <w:bottom w:val="nil"/>
              <w:right w:val="nil"/>
            </w:tcBorders>
            <w:noWrap/>
            <w:vAlign w:val="bottom"/>
            <w:hideMark/>
          </w:tcPr>
          <w:p w14:paraId="22FE4788"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sidRPr="0035329C">
              <w:rPr>
                <w:rFonts w:ascii="Arial" w:eastAsia="Times New Roman" w:hAnsi="Arial" w:cs="Arial"/>
                <w:color w:val="000000"/>
                <w:sz w:val="20"/>
                <w:szCs w:val="20"/>
                <w:lang w:val="de-DE" w:eastAsia="de-DE"/>
              </w:rPr>
              <w:t>FSS</w:t>
            </w:r>
          </w:p>
        </w:tc>
        <w:tc>
          <w:tcPr>
            <w:tcW w:w="1300" w:type="dxa"/>
            <w:tcBorders>
              <w:top w:val="nil"/>
              <w:left w:val="nil"/>
              <w:bottom w:val="nil"/>
              <w:right w:val="nil"/>
            </w:tcBorders>
            <w:noWrap/>
            <w:vAlign w:val="bottom"/>
            <w:hideMark/>
          </w:tcPr>
          <w:p w14:paraId="100AF637"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4</w:t>
            </w:r>
            <w:r>
              <w:rPr>
                <w:rFonts w:ascii="Arial" w:eastAsia="Times New Roman" w:hAnsi="Arial" w:cs="Arial"/>
                <w:color w:val="000000"/>
                <w:sz w:val="18"/>
                <w:szCs w:val="18"/>
                <w:lang w:val="de-DE" w:eastAsia="de-DE"/>
              </w:rPr>
              <w:t>8.8</w:t>
            </w:r>
            <w:r w:rsidRPr="0035329C">
              <w:rPr>
                <w:rFonts w:ascii="Arial" w:eastAsia="Times New Roman" w:hAnsi="Arial" w:cs="Arial"/>
                <w:color w:val="000000"/>
                <w:sz w:val="18"/>
                <w:szCs w:val="18"/>
                <w:lang w:val="de-DE" w:eastAsia="de-DE"/>
              </w:rPr>
              <w:t xml:space="preserve"> ± </w:t>
            </w:r>
            <w:r>
              <w:rPr>
                <w:rFonts w:ascii="Arial" w:eastAsia="Times New Roman" w:hAnsi="Arial" w:cs="Arial"/>
                <w:color w:val="000000"/>
                <w:sz w:val="18"/>
                <w:szCs w:val="18"/>
                <w:lang w:val="de-DE" w:eastAsia="de-DE"/>
              </w:rPr>
              <w:t>8.1</w:t>
            </w:r>
          </w:p>
        </w:tc>
        <w:tc>
          <w:tcPr>
            <w:tcW w:w="1228" w:type="dxa"/>
            <w:tcBorders>
              <w:top w:val="nil"/>
              <w:left w:val="nil"/>
              <w:bottom w:val="nil"/>
              <w:right w:val="nil"/>
            </w:tcBorders>
            <w:noWrap/>
            <w:vAlign w:val="bottom"/>
            <w:hideMark/>
          </w:tcPr>
          <w:p w14:paraId="0F944C3D"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50.</w:t>
            </w:r>
            <w:r>
              <w:rPr>
                <w:rFonts w:ascii="Arial" w:eastAsia="Times New Roman" w:hAnsi="Arial" w:cs="Arial"/>
                <w:color w:val="000000"/>
                <w:sz w:val="18"/>
                <w:szCs w:val="18"/>
                <w:lang w:val="de-DE" w:eastAsia="de-DE"/>
              </w:rPr>
              <w:t>1</w:t>
            </w:r>
            <w:r w:rsidRPr="0035329C">
              <w:rPr>
                <w:rFonts w:ascii="Arial" w:eastAsia="Times New Roman" w:hAnsi="Arial" w:cs="Arial"/>
                <w:color w:val="000000"/>
                <w:sz w:val="18"/>
                <w:szCs w:val="18"/>
                <w:lang w:val="de-DE" w:eastAsia="de-DE"/>
              </w:rPr>
              <w:t xml:space="preserve"> ± </w:t>
            </w:r>
            <w:r>
              <w:rPr>
                <w:rFonts w:ascii="Arial" w:eastAsia="Times New Roman" w:hAnsi="Arial" w:cs="Arial"/>
                <w:color w:val="000000"/>
                <w:sz w:val="18"/>
                <w:szCs w:val="18"/>
                <w:lang w:val="de-DE" w:eastAsia="de-DE"/>
              </w:rPr>
              <w:t>8.0</w:t>
            </w:r>
          </w:p>
        </w:tc>
        <w:tc>
          <w:tcPr>
            <w:tcW w:w="806" w:type="dxa"/>
            <w:tcBorders>
              <w:top w:val="nil"/>
              <w:left w:val="nil"/>
              <w:bottom w:val="nil"/>
              <w:right w:val="nil"/>
            </w:tcBorders>
            <w:vAlign w:val="bottom"/>
          </w:tcPr>
          <w:p w14:paraId="473D72BD" w14:textId="77777777" w:rsidR="00BD72BB" w:rsidRPr="004D50E7" w:rsidRDefault="00BD72BB" w:rsidP="004F1030">
            <w:pPr>
              <w:spacing w:line="240" w:lineRule="auto"/>
              <w:ind w:firstLine="0"/>
              <w:jc w:val="right"/>
              <w:rPr>
                <w:rFonts w:ascii="Arial" w:eastAsia="Times New Roman" w:hAnsi="Arial" w:cs="Arial"/>
                <w:sz w:val="18"/>
                <w:szCs w:val="18"/>
                <w:lang w:eastAsia="de-DE"/>
              </w:rPr>
            </w:pPr>
            <w:r>
              <w:rPr>
                <w:rFonts w:ascii="Arial" w:eastAsia="Times New Roman" w:hAnsi="Arial" w:cs="Arial"/>
                <w:sz w:val="18"/>
                <w:szCs w:val="18"/>
                <w:lang w:eastAsia="de-DE"/>
              </w:rPr>
              <w:t>-1.136</w:t>
            </w:r>
          </w:p>
        </w:tc>
        <w:tc>
          <w:tcPr>
            <w:tcW w:w="491" w:type="dxa"/>
            <w:tcBorders>
              <w:top w:val="nil"/>
              <w:left w:val="nil"/>
              <w:bottom w:val="nil"/>
              <w:right w:val="nil"/>
            </w:tcBorders>
            <w:vAlign w:val="bottom"/>
          </w:tcPr>
          <w:p w14:paraId="1B678771" w14:textId="77777777" w:rsidR="00BD72BB" w:rsidRPr="004D50E7" w:rsidRDefault="00BD72BB" w:rsidP="004F1030">
            <w:pPr>
              <w:spacing w:line="240" w:lineRule="auto"/>
              <w:ind w:firstLine="0"/>
              <w:jc w:val="center"/>
              <w:rPr>
                <w:rFonts w:ascii="Arial" w:eastAsia="Times New Roman" w:hAnsi="Arial" w:cs="Arial"/>
                <w:sz w:val="18"/>
                <w:szCs w:val="18"/>
                <w:lang w:eastAsia="de-DE"/>
              </w:rPr>
            </w:pPr>
            <w:r>
              <w:rPr>
                <w:rFonts w:ascii="Arial" w:eastAsia="Times New Roman" w:hAnsi="Arial" w:cs="Arial"/>
                <w:sz w:val="18"/>
                <w:szCs w:val="18"/>
                <w:lang w:eastAsia="de-DE"/>
              </w:rPr>
              <w:t>.270</w:t>
            </w:r>
          </w:p>
        </w:tc>
      </w:tr>
      <w:tr w:rsidR="00BD72BB" w:rsidRPr="0035329C" w14:paraId="5EF26132" w14:textId="77777777" w:rsidTr="004F1030">
        <w:trPr>
          <w:trHeight w:val="317"/>
        </w:trPr>
        <w:tc>
          <w:tcPr>
            <w:tcW w:w="1560" w:type="dxa"/>
            <w:tcBorders>
              <w:top w:val="nil"/>
              <w:left w:val="nil"/>
              <w:bottom w:val="single" w:sz="4" w:space="0" w:color="auto"/>
              <w:right w:val="nil"/>
            </w:tcBorders>
            <w:noWrap/>
            <w:vAlign w:val="bottom"/>
            <w:hideMark/>
          </w:tcPr>
          <w:p w14:paraId="42BBFD90" w14:textId="77777777" w:rsidR="00BD72BB" w:rsidRPr="0035329C" w:rsidRDefault="00BD72BB" w:rsidP="004F1030">
            <w:pPr>
              <w:spacing w:line="240" w:lineRule="auto"/>
              <w:ind w:firstLine="0"/>
              <w:jc w:val="left"/>
              <w:rPr>
                <w:rFonts w:ascii="Arial" w:eastAsia="Times New Roman" w:hAnsi="Arial" w:cs="Arial"/>
                <w:color w:val="000000"/>
                <w:sz w:val="20"/>
                <w:szCs w:val="20"/>
                <w:lang w:val="de-DE" w:eastAsia="de-DE"/>
              </w:rPr>
            </w:pPr>
            <w:r w:rsidRPr="0035329C">
              <w:rPr>
                <w:rFonts w:ascii="Arial" w:eastAsia="Times New Roman" w:hAnsi="Arial" w:cs="Arial"/>
                <w:color w:val="000000"/>
                <w:sz w:val="20"/>
                <w:szCs w:val="20"/>
                <w:lang w:val="de-DE" w:eastAsia="de-DE"/>
              </w:rPr>
              <w:t>MQLI</w:t>
            </w:r>
          </w:p>
        </w:tc>
        <w:tc>
          <w:tcPr>
            <w:tcW w:w="1300" w:type="dxa"/>
            <w:tcBorders>
              <w:top w:val="nil"/>
              <w:left w:val="nil"/>
              <w:bottom w:val="single" w:sz="4" w:space="0" w:color="auto"/>
              <w:right w:val="nil"/>
            </w:tcBorders>
            <w:noWrap/>
            <w:vAlign w:val="bottom"/>
            <w:hideMark/>
          </w:tcPr>
          <w:p w14:paraId="40FB459E"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60.4</w:t>
            </w:r>
            <w:r w:rsidRPr="0035329C">
              <w:rPr>
                <w:rFonts w:ascii="Arial" w:eastAsia="Times New Roman" w:hAnsi="Arial" w:cs="Arial"/>
                <w:color w:val="000000"/>
                <w:sz w:val="18"/>
                <w:szCs w:val="18"/>
                <w:lang w:val="de-DE" w:eastAsia="de-DE"/>
              </w:rPr>
              <w:t xml:space="preserve"> ± 17.</w:t>
            </w:r>
            <w:r>
              <w:rPr>
                <w:rFonts w:ascii="Arial" w:eastAsia="Times New Roman" w:hAnsi="Arial" w:cs="Arial"/>
                <w:color w:val="000000"/>
                <w:sz w:val="18"/>
                <w:szCs w:val="18"/>
                <w:lang w:val="de-DE" w:eastAsia="de-DE"/>
              </w:rPr>
              <w:t>2</w:t>
            </w:r>
          </w:p>
        </w:tc>
        <w:tc>
          <w:tcPr>
            <w:tcW w:w="1228" w:type="dxa"/>
            <w:tcBorders>
              <w:top w:val="nil"/>
              <w:left w:val="nil"/>
              <w:bottom w:val="single" w:sz="4" w:space="0" w:color="auto"/>
              <w:right w:val="nil"/>
            </w:tcBorders>
            <w:noWrap/>
            <w:vAlign w:val="bottom"/>
            <w:hideMark/>
          </w:tcPr>
          <w:p w14:paraId="02AAA31B"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sidRPr="0035329C">
              <w:rPr>
                <w:rFonts w:ascii="Arial" w:eastAsia="Times New Roman" w:hAnsi="Arial" w:cs="Arial"/>
                <w:color w:val="000000"/>
                <w:sz w:val="18"/>
                <w:szCs w:val="18"/>
                <w:lang w:val="de-DE" w:eastAsia="de-DE"/>
              </w:rPr>
              <w:t>6</w:t>
            </w:r>
            <w:r>
              <w:rPr>
                <w:rFonts w:ascii="Arial" w:eastAsia="Times New Roman" w:hAnsi="Arial" w:cs="Arial"/>
                <w:color w:val="000000"/>
                <w:sz w:val="18"/>
                <w:szCs w:val="18"/>
                <w:lang w:val="de-DE" w:eastAsia="de-DE"/>
              </w:rPr>
              <w:t>5</w:t>
            </w:r>
            <w:r w:rsidRPr="0035329C">
              <w:rPr>
                <w:rFonts w:ascii="Arial" w:eastAsia="Times New Roman" w:hAnsi="Arial" w:cs="Arial"/>
                <w:color w:val="000000"/>
                <w:sz w:val="18"/>
                <w:szCs w:val="18"/>
                <w:lang w:val="de-DE" w:eastAsia="de-DE"/>
              </w:rPr>
              <w:t>.</w:t>
            </w:r>
            <w:r>
              <w:rPr>
                <w:rFonts w:ascii="Arial" w:eastAsia="Times New Roman" w:hAnsi="Arial" w:cs="Arial"/>
                <w:color w:val="000000"/>
                <w:sz w:val="18"/>
                <w:szCs w:val="18"/>
                <w:lang w:val="de-DE" w:eastAsia="de-DE"/>
              </w:rPr>
              <w:t>2</w:t>
            </w:r>
            <w:r w:rsidRPr="0035329C">
              <w:rPr>
                <w:rFonts w:ascii="Arial" w:eastAsia="Times New Roman" w:hAnsi="Arial" w:cs="Arial"/>
                <w:color w:val="000000"/>
                <w:sz w:val="18"/>
                <w:szCs w:val="18"/>
                <w:lang w:val="de-DE" w:eastAsia="de-DE"/>
              </w:rPr>
              <w:t xml:space="preserve"> ± </w:t>
            </w:r>
            <w:r>
              <w:rPr>
                <w:rFonts w:ascii="Arial" w:eastAsia="Times New Roman" w:hAnsi="Arial" w:cs="Arial"/>
                <w:color w:val="000000"/>
                <w:sz w:val="18"/>
                <w:szCs w:val="18"/>
                <w:lang w:val="de-DE" w:eastAsia="de-DE"/>
              </w:rPr>
              <w:t>9.4</w:t>
            </w:r>
          </w:p>
        </w:tc>
        <w:tc>
          <w:tcPr>
            <w:tcW w:w="806" w:type="dxa"/>
            <w:tcBorders>
              <w:top w:val="nil"/>
              <w:left w:val="nil"/>
              <w:bottom w:val="single" w:sz="4" w:space="0" w:color="auto"/>
              <w:right w:val="nil"/>
            </w:tcBorders>
            <w:vAlign w:val="bottom"/>
          </w:tcPr>
          <w:p w14:paraId="673FFB14" w14:textId="77777777" w:rsidR="00BD72BB" w:rsidRPr="0035329C" w:rsidRDefault="00BD72BB" w:rsidP="004F1030">
            <w:pPr>
              <w:spacing w:line="240" w:lineRule="auto"/>
              <w:ind w:firstLine="0"/>
              <w:jc w:val="right"/>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-1.349</w:t>
            </w:r>
          </w:p>
        </w:tc>
        <w:tc>
          <w:tcPr>
            <w:tcW w:w="491" w:type="dxa"/>
            <w:tcBorders>
              <w:top w:val="nil"/>
              <w:left w:val="nil"/>
              <w:bottom w:val="single" w:sz="4" w:space="0" w:color="auto"/>
              <w:right w:val="nil"/>
            </w:tcBorders>
            <w:vAlign w:val="bottom"/>
          </w:tcPr>
          <w:p w14:paraId="1C9017EB" w14:textId="77777777" w:rsidR="00BD72BB" w:rsidRPr="0035329C" w:rsidRDefault="00BD72BB" w:rsidP="004F1030">
            <w:pPr>
              <w:spacing w:line="240" w:lineRule="auto"/>
              <w:ind w:firstLine="0"/>
              <w:jc w:val="center"/>
              <w:rPr>
                <w:rFonts w:ascii="Arial" w:eastAsia="Times New Roman" w:hAnsi="Arial" w:cs="Arial"/>
                <w:color w:val="000000"/>
                <w:sz w:val="18"/>
                <w:szCs w:val="18"/>
                <w:lang w:val="de-DE" w:eastAsia="de-DE"/>
              </w:rPr>
            </w:pPr>
            <w:r>
              <w:rPr>
                <w:rFonts w:ascii="Arial" w:eastAsia="Times New Roman" w:hAnsi="Arial" w:cs="Arial"/>
                <w:color w:val="000000"/>
                <w:sz w:val="18"/>
                <w:szCs w:val="18"/>
                <w:lang w:val="de-DE" w:eastAsia="de-DE"/>
              </w:rPr>
              <w:t>.193</w:t>
            </w:r>
          </w:p>
        </w:tc>
      </w:tr>
    </w:tbl>
    <w:p w14:paraId="1387984E" w14:textId="3BB4830A" w:rsidR="00BD72BB" w:rsidRDefault="00BD72BB" w:rsidP="00BD72BB">
      <w:pPr>
        <w:spacing w:line="240" w:lineRule="auto"/>
        <w:ind w:right="135" w:firstLine="0"/>
        <w:jc w:val="left"/>
        <w:rPr>
          <w:rFonts w:ascii="Arial" w:eastAsia="Aptos" w:hAnsi="Arial" w:cs="Arial"/>
          <w:kern w:val="2"/>
          <w:sz w:val="18"/>
          <w:szCs w:val="18"/>
          <w:lang w:val="en-US"/>
          <w14:ligatures w14:val="standardContextual"/>
        </w:rPr>
      </w:pPr>
      <w:r w:rsidRPr="00FA2497">
        <w:rPr>
          <w:rFonts w:ascii="Aptos" w:eastAsia="Aptos" w:hAnsi="Aptos" w:cs="Times New Roman"/>
          <w:b/>
          <w:bCs/>
          <w:kern w:val="2"/>
          <w:sz w:val="18"/>
          <w:szCs w:val="18"/>
          <w:lang w:val="en-US"/>
          <w14:ligatures w14:val="standardContextual"/>
        </w:rPr>
        <w:t>Note</w:t>
      </w:r>
      <w:r w:rsidRPr="00D113B6">
        <w:rPr>
          <w:rFonts w:ascii="Aptos" w:eastAsia="Aptos" w:hAnsi="Aptos" w:cs="Times New Roman"/>
          <w:kern w:val="2"/>
          <w:sz w:val="18"/>
          <w:szCs w:val="18"/>
          <w:lang w:val="en-US"/>
          <w14:ligatures w14:val="standardContextual"/>
        </w:rPr>
        <w:t xml:space="preserve">: </w:t>
      </w:r>
      <w:r w:rsidRPr="0035329C">
        <w:rPr>
          <w:rFonts w:ascii="Arial" w:eastAsia="Aptos" w:hAnsi="Arial" w:cs="Arial"/>
          <w:kern w:val="2"/>
          <w:sz w:val="18"/>
          <w:szCs w:val="18"/>
          <w:lang w:val="en-US"/>
          <w14:ligatures w14:val="standardContextual"/>
        </w:rPr>
        <w:t xml:space="preserve">DRL, dim red light </w:t>
      </w:r>
      <w:r>
        <w:rPr>
          <w:rFonts w:ascii="Arial" w:eastAsia="Aptos" w:hAnsi="Arial" w:cs="Arial"/>
          <w:kern w:val="2"/>
          <w:sz w:val="18"/>
          <w:szCs w:val="18"/>
          <w:lang w:val="en-US"/>
          <w14:ligatures w14:val="standardContextual"/>
        </w:rPr>
        <w:t>intervention</w:t>
      </w:r>
      <w:r w:rsidRPr="0035329C">
        <w:rPr>
          <w:rFonts w:ascii="Arial" w:eastAsia="Aptos" w:hAnsi="Arial" w:cs="Arial"/>
          <w:kern w:val="2"/>
          <w:sz w:val="18"/>
          <w:szCs w:val="18"/>
          <w:lang w:val="en-US"/>
          <w14:ligatures w14:val="standardContextual"/>
        </w:rPr>
        <w:t xml:space="preserve">; BL, blue-enriched light </w:t>
      </w:r>
      <w:r>
        <w:rPr>
          <w:rFonts w:ascii="Arial" w:eastAsia="Aptos" w:hAnsi="Arial" w:cs="Arial"/>
          <w:kern w:val="2"/>
          <w:sz w:val="18"/>
          <w:szCs w:val="18"/>
          <w:lang w:val="en-US"/>
          <w14:ligatures w14:val="standardContextual"/>
        </w:rPr>
        <w:t>intervention</w:t>
      </w:r>
      <w:r w:rsidRPr="0035329C">
        <w:rPr>
          <w:rFonts w:ascii="Arial" w:eastAsia="Aptos" w:hAnsi="Arial" w:cs="Arial"/>
          <w:kern w:val="2"/>
          <w:sz w:val="18"/>
          <w:szCs w:val="18"/>
          <w:lang w:val="en-US"/>
          <w14:ligatures w14:val="standardContextual"/>
        </w:rPr>
        <w:t xml:space="preserve">; </w:t>
      </w:r>
      <w:r w:rsidRPr="0035329C">
        <w:rPr>
          <w:rFonts w:ascii="Arial" w:eastAsia="Aptos" w:hAnsi="Arial" w:cs="Arial"/>
          <w:i/>
          <w:iCs/>
          <w:kern w:val="2"/>
          <w:sz w:val="18"/>
          <w:szCs w:val="18"/>
          <w:lang w:val="en-US"/>
          <w14:ligatures w14:val="standardContextual"/>
        </w:rPr>
        <w:t>M</w:t>
      </w:r>
      <w:r w:rsidRPr="0035329C">
        <w:rPr>
          <w:rFonts w:ascii="Arial" w:eastAsia="Aptos" w:hAnsi="Arial" w:cs="Arial"/>
          <w:kern w:val="2"/>
          <w:sz w:val="18"/>
          <w:szCs w:val="18"/>
          <w:lang w:val="en-US"/>
          <w14:ligatures w14:val="standardContextual"/>
        </w:rPr>
        <w:t xml:space="preserve">, mean, </w:t>
      </w:r>
      <w:r w:rsidRPr="0035329C">
        <w:rPr>
          <w:rFonts w:ascii="Arial" w:eastAsia="Aptos" w:hAnsi="Arial" w:cs="Arial"/>
          <w:i/>
          <w:iCs/>
          <w:kern w:val="2"/>
          <w:sz w:val="18"/>
          <w:szCs w:val="18"/>
          <w:lang w:val="en-US"/>
          <w14:ligatures w14:val="standardContextual"/>
        </w:rPr>
        <w:t>SD</w:t>
      </w:r>
      <w:r w:rsidRPr="0035329C">
        <w:rPr>
          <w:rFonts w:ascii="Arial" w:eastAsia="Aptos" w:hAnsi="Arial" w:cs="Arial"/>
          <w:kern w:val="2"/>
          <w:sz w:val="18"/>
          <w:szCs w:val="18"/>
          <w:lang w:val="en-US"/>
          <w14:ligatures w14:val="standardContextual"/>
        </w:rPr>
        <w:t>, standard deviation, VAS_F, Visual Analogue Scale for Fatigue</w:t>
      </w:r>
      <w:r>
        <w:rPr>
          <w:rFonts w:ascii="Arial" w:eastAsia="Aptos" w:hAnsi="Arial" w:cs="Arial"/>
          <w:kern w:val="2"/>
          <w:sz w:val="18"/>
          <w:szCs w:val="18"/>
          <w:lang w:val="en-US"/>
          <w14:ligatures w14:val="standardContextual"/>
        </w:rPr>
        <w:t xml:space="preserve">; pre: before the intervention after waking up; post: after the intervention; </w:t>
      </w:r>
      <w:r w:rsidRPr="0035329C">
        <w:rPr>
          <w:rFonts w:ascii="Arial" w:eastAsia="Aptos" w:hAnsi="Arial" w:cs="Arial"/>
          <w:kern w:val="2"/>
          <w:sz w:val="18"/>
          <w:szCs w:val="18"/>
          <w:lang w:val="en-US"/>
          <w14:ligatures w14:val="standardContextual"/>
        </w:rPr>
        <w:t xml:space="preserve">FSS, Fatigue Severity Scale, MQLI, Multicultural Quality of Life </w:t>
      </w:r>
      <w:r w:rsidR="0010525A">
        <w:rPr>
          <w:rFonts w:ascii="Arial" w:eastAsia="Aptos" w:hAnsi="Arial" w:cs="Arial"/>
          <w:kern w:val="2"/>
          <w:sz w:val="18"/>
          <w:szCs w:val="18"/>
          <w:lang w:val="en-US"/>
          <w14:ligatures w14:val="standardContextual"/>
        </w:rPr>
        <w:t>Index</w:t>
      </w:r>
    </w:p>
    <w:p w14:paraId="6E8081BE" w14:textId="1D401DDA" w:rsidR="00BD72BB" w:rsidRDefault="00BD72BB" w:rsidP="00E06DEC">
      <w:pPr>
        <w:spacing w:after="120" w:line="240" w:lineRule="auto"/>
        <w:ind w:right="136" w:firstLine="0"/>
        <w:jc w:val="left"/>
        <w:rPr>
          <w:rFonts w:ascii="Arial" w:eastAsia="Aptos" w:hAnsi="Arial" w:cs="Arial"/>
          <w:kern w:val="2"/>
          <w:sz w:val="18"/>
          <w:szCs w:val="18"/>
          <w:lang w:val="en-US"/>
          <w14:ligatures w14:val="standardContextual"/>
        </w:rPr>
      </w:pPr>
      <w:r>
        <w:rPr>
          <w:rFonts w:ascii="Arial" w:eastAsia="Aptos" w:hAnsi="Arial" w:cs="Arial"/>
          <w:kern w:val="2"/>
          <w:sz w:val="18"/>
          <w:szCs w:val="18"/>
          <w:lang w:val="en-US"/>
          <w14:ligatures w14:val="standardContextual"/>
        </w:rPr>
        <w:t xml:space="preserve">Inferential statistics were calculated using Student’s </w:t>
      </w:r>
      <w:r>
        <w:rPr>
          <w:rFonts w:ascii="Arial" w:eastAsia="Aptos" w:hAnsi="Arial" w:cs="Arial"/>
          <w:i/>
          <w:iCs/>
          <w:kern w:val="2"/>
          <w:sz w:val="18"/>
          <w:szCs w:val="18"/>
          <w:lang w:val="en-US"/>
          <w14:ligatures w14:val="standardContextual"/>
        </w:rPr>
        <w:t>t</w:t>
      </w:r>
      <w:r>
        <w:rPr>
          <w:rFonts w:ascii="Arial" w:eastAsia="Aptos" w:hAnsi="Arial" w:cs="Arial"/>
          <w:kern w:val="2"/>
          <w:sz w:val="18"/>
          <w:szCs w:val="18"/>
          <w:lang w:val="en-US"/>
          <w14:ligatures w14:val="standardContextual"/>
        </w:rPr>
        <w:t>-test for dependent measures</w:t>
      </w:r>
    </w:p>
    <w:p w14:paraId="3AA15303" w14:textId="77777777" w:rsidR="00293EA3" w:rsidRPr="00E06DEC" w:rsidRDefault="00293EA3" w:rsidP="00E06DEC">
      <w:pPr>
        <w:spacing w:after="120" w:line="240" w:lineRule="auto"/>
        <w:ind w:right="136" w:firstLine="0"/>
        <w:jc w:val="left"/>
        <w:rPr>
          <w:rFonts w:ascii="Arial" w:eastAsia="Aptos" w:hAnsi="Arial" w:cs="Arial"/>
          <w:kern w:val="2"/>
          <w:sz w:val="18"/>
          <w:szCs w:val="18"/>
          <w:lang w:val="en-US"/>
          <w14:ligatures w14:val="standardContextual"/>
        </w:rPr>
      </w:pPr>
    </w:p>
    <w:p w14:paraId="699162D0" w14:textId="258D3114" w:rsidR="00C346EC" w:rsidRDefault="00C346EC" w:rsidP="00293EA3">
      <w:pPr>
        <w:spacing w:before="60" w:after="120" w:line="240" w:lineRule="auto"/>
        <w:ind w:firstLine="0"/>
        <w:jc w:val="left"/>
        <w:rPr>
          <w:rFonts w:ascii="Arial" w:eastAsia="Calibri" w:hAnsi="Arial" w:cs="Arial"/>
          <w:lang w:val="en-US"/>
        </w:rPr>
      </w:pPr>
      <w:r>
        <w:rPr>
          <w:rFonts w:ascii="Arial" w:eastAsia="Calibri" w:hAnsi="Arial" w:cs="Arial"/>
          <w:lang w:val="en-US"/>
        </w:rPr>
        <w:t>Descriptive and inferential results of the Daily Fatigue Impact Scale</w:t>
      </w:r>
    </w:p>
    <w:p w14:paraId="35EAFA06" w14:textId="351942C7" w:rsidR="00C346EC" w:rsidRPr="0010525A" w:rsidRDefault="00E457B6" w:rsidP="00003C49">
      <w:pPr>
        <w:spacing w:after="240" w:line="240" w:lineRule="auto"/>
        <w:ind w:firstLine="0"/>
        <w:jc w:val="left"/>
        <w:rPr>
          <w:rFonts w:ascii="Arial" w:eastAsia="Calibri" w:hAnsi="Arial" w:cs="Arial"/>
          <w:i/>
          <w:iCs/>
          <w:lang w:val="en-US"/>
        </w:rPr>
      </w:pPr>
      <w:r w:rsidRPr="0010525A">
        <w:rPr>
          <w:rFonts w:ascii="Arial" w:eastAsia="Calibri" w:hAnsi="Arial" w:cs="Arial"/>
          <w:i/>
          <w:iCs/>
          <w:lang w:val="en-US"/>
        </w:rPr>
        <w:t>Comparison of baseline values at the beginning of the BL and DRL intervention weeks</w:t>
      </w:r>
    </w:p>
    <w:p w14:paraId="73B64828" w14:textId="1713EB0B" w:rsidR="00E457B6" w:rsidRDefault="00E457B6" w:rsidP="0010525A">
      <w:pPr>
        <w:ind w:firstLine="0"/>
      </w:pPr>
      <w:r w:rsidRPr="0010525A">
        <w:t>Patients’ scores on the D-FIS assessed at baseline of the BL (18.9 ± 8.4) and DRL (18.4 ± 5.4) intervention weeks did not differ significantly (t</w:t>
      </w:r>
      <w:r w:rsidR="00A9140C" w:rsidRPr="0010525A">
        <w:t>[</w:t>
      </w:r>
      <w:r w:rsidRPr="0010525A">
        <w:t>19</w:t>
      </w:r>
      <w:r w:rsidR="00A9140C" w:rsidRPr="0010525A">
        <w:t>]</w:t>
      </w:r>
      <w:r w:rsidRPr="0010525A">
        <w:t xml:space="preserve"> = </w:t>
      </w:r>
      <w:r w:rsidR="007749B0">
        <w:t>–</w:t>
      </w:r>
      <w:r w:rsidR="00A9140C" w:rsidRPr="0010525A">
        <w:t>0.396, p = 0.697)</w:t>
      </w:r>
      <w:r w:rsidR="00A9140C">
        <w:t xml:space="preserve"> between conditions. </w:t>
      </w:r>
    </w:p>
    <w:p w14:paraId="5F79D7CB" w14:textId="02DF5E3E" w:rsidR="00A9140C" w:rsidRPr="0010525A" w:rsidRDefault="00A9140C" w:rsidP="00A9140C">
      <w:pPr>
        <w:spacing w:after="240" w:line="240" w:lineRule="auto"/>
        <w:ind w:firstLine="0"/>
        <w:jc w:val="left"/>
        <w:rPr>
          <w:rFonts w:ascii="Arial" w:eastAsia="Calibri" w:hAnsi="Arial" w:cs="Arial"/>
          <w:i/>
          <w:iCs/>
          <w:lang w:val="en-US"/>
        </w:rPr>
      </w:pPr>
      <w:r w:rsidRPr="0010525A">
        <w:rPr>
          <w:rFonts w:ascii="Arial" w:eastAsia="Calibri" w:hAnsi="Arial" w:cs="Arial"/>
          <w:i/>
          <w:iCs/>
          <w:lang w:val="en-US"/>
        </w:rPr>
        <w:t>Comparison of baseline and follow-up scores</w:t>
      </w:r>
    </w:p>
    <w:p w14:paraId="6D0F1810" w14:textId="77BA817B" w:rsidR="00A9140C" w:rsidRDefault="00A9140C" w:rsidP="0010525A">
      <w:pPr>
        <w:ind w:firstLine="0"/>
        <w:rPr>
          <w:rFonts w:cs="Times New Roman"/>
          <w:color w:val="000000" w:themeColor="text1"/>
          <w:lang w:val="en-US"/>
        </w:rPr>
      </w:pPr>
      <w:r>
        <w:rPr>
          <w:rFonts w:cs="Times New Roman"/>
          <w:color w:val="000000" w:themeColor="text1"/>
          <w:lang w:val="en-US"/>
        </w:rPr>
        <w:t>Comparing D-FIS scores between baseline and follow-up, a reduction of 2.8 points was seen after 1 week of DRL</w:t>
      </w:r>
      <w:r w:rsidR="007E5E6B">
        <w:rPr>
          <w:rFonts w:cs="Times New Roman"/>
          <w:color w:val="000000" w:themeColor="text1"/>
          <w:lang w:val="en-US"/>
        </w:rPr>
        <w:t xml:space="preserve"> (baseline: 18.4 ± 5.4; follow-up: 15.6 ± 6.6)</w:t>
      </w:r>
      <w:r>
        <w:rPr>
          <w:rFonts w:cs="Times New Roman"/>
          <w:color w:val="000000" w:themeColor="text1"/>
          <w:lang w:val="en-US"/>
        </w:rPr>
        <w:t>, and a reduction of 2.9 points after 1 week of BL</w:t>
      </w:r>
      <w:r w:rsidR="007E5E6B">
        <w:rPr>
          <w:rFonts w:cs="Times New Roman"/>
          <w:color w:val="000000" w:themeColor="text1"/>
          <w:lang w:val="en-US"/>
        </w:rPr>
        <w:t xml:space="preserve"> (baseline: 18.9 ± 8.4, follow-up: 16.0 ± 4.9)</w:t>
      </w:r>
      <w:r>
        <w:rPr>
          <w:rFonts w:cs="Times New Roman"/>
          <w:color w:val="000000" w:themeColor="text1"/>
          <w:lang w:val="en-US"/>
        </w:rPr>
        <w:t xml:space="preserve">. In a two-factor repeated measures ANOVA, no significant main effects or interaction effect were seen (all </w:t>
      </w:r>
      <w:r w:rsidRPr="003F0386">
        <w:rPr>
          <w:rFonts w:cs="Times New Roman"/>
          <w:i/>
          <w:iCs/>
          <w:color w:val="000000" w:themeColor="text1"/>
          <w:lang w:val="en-US"/>
        </w:rPr>
        <w:t>p</w:t>
      </w:r>
      <w:r>
        <w:rPr>
          <w:rFonts w:cs="Times New Roman"/>
          <w:color w:val="000000" w:themeColor="text1"/>
          <w:lang w:val="en-US"/>
        </w:rPr>
        <w:t xml:space="preserve"> &gt; .05). </w:t>
      </w:r>
    </w:p>
    <w:p w14:paraId="1763C40E" w14:textId="0A69E1C9" w:rsidR="00C346EC" w:rsidRPr="0010525A" w:rsidRDefault="00A9140C" w:rsidP="00003C49">
      <w:pPr>
        <w:spacing w:after="240" w:line="240" w:lineRule="auto"/>
        <w:ind w:firstLine="0"/>
        <w:jc w:val="left"/>
        <w:rPr>
          <w:rFonts w:ascii="Arial" w:eastAsia="Calibri" w:hAnsi="Arial" w:cs="Arial"/>
          <w:i/>
          <w:iCs/>
          <w:lang w:val="en-US"/>
        </w:rPr>
      </w:pPr>
      <w:r w:rsidRPr="0010525A">
        <w:rPr>
          <w:rFonts w:ascii="Arial" w:eastAsia="Calibri" w:hAnsi="Arial" w:cs="Arial"/>
          <w:i/>
          <w:iCs/>
          <w:lang w:val="en-US"/>
        </w:rPr>
        <w:t>D-FIS-measured fatigue throughout the intervention weeks</w:t>
      </w:r>
    </w:p>
    <w:p w14:paraId="75374045" w14:textId="18B9DD4A" w:rsidR="00A9140C" w:rsidRDefault="00A9140C" w:rsidP="0010525A">
      <w:pPr>
        <w:ind w:firstLine="0"/>
      </w:pPr>
      <w:r>
        <w:t xml:space="preserve">D-FIS scores </w:t>
      </w:r>
      <w:r w:rsidR="007E5E6B">
        <w:t xml:space="preserve">assessed throughout the intervention weeks </w:t>
      </w:r>
      <w:r>
        <w:t>were compared in a repeated measures ANOVA with the factors of intervention (DRL, BL) and measurement day (baseline, day 2, day 4, day 6, day 7). No main effects or interaction effect were found (</w:t>
      </w:r>
      <w:r w:rsidRPr="00732829">
        <w:rPr>
          <w:i/>
          <w:iCs/>
        </w:rPr>
        <w:t>p</w:t>
      </w:r>
      <w:r>
        <w:t xml:space="preserve"> &gt; 0.05). </w:t>
      </w:r>
    </w:p>
    <w:p w14:paraId="59380F94" w14:textId="77777777" w:rsidR="00C45596" w:rsidRDefault="00C45596" w:rsidP="0010525A">
      <w:pPr>
        <w:ind w:firstLine="0"/>
      </w:pPr>
    </w:p>
    <w:p w14:paraId="241E9761" w14:textId="4BBEFE3A" w:rsidR="00C45596" w:rsidRDefault="00C45596">
      <w:pPr>
        <w:spacing w:line="240" w:lineRule="auto"/>
        <w:ind w:firstLine="0"/>
        <w:jc w:val="left"/>
      </w:pPr>
      <w:r>
        <w:br w:type="page"/>
      </w:r>
    </w:p>
    <w:p w14:paraId="07AD6E99" w14:textId="77777777" w:rsidR="00C45596" w:rsidRDefault="00C45596" w:rsidP="00C45596">
      <w:pPr>
        <w:spacing w:before="60" w:after="120" w:line="240" w:lineRule="auto"/>
        <w:ind w:firstLine="0"/>
        <w:jc w:val="left"/>
        <w:rPr>
          <w:rFonts w:ascii="Arial" w:eastAsia="Calibri" w:hAnsi="Arial" w:cs="Arial"/>
        </w:rPr>
      </w:pPr>
      <w:r>
        <w:rPr>
          <w:rFonts w:ascii="Arial" w:eastAsia="Calibri" w:hAnsi="Arial" w:cs="Arial"/>
        </w:rPr>
        <w:lastRenderedPageBreak/>
        <w:t>Vision-related side effects of the interventions</w:t>
      </w:r>
    </w:p>
    <w:p w14:paraId="792BDE2B" w14:textId="67069CD2" w:rsidR="00C45596" w:rsidRDefault="00C45596" w:rsidP="0010525A">
      <w:pPr>
        <w:ind w:firstLine="0"/>
      </w:pPr>
      <w:r w:rsidRPr="00552D3F">
        <w:rPr>
          <w:rFonts w:eastAsia="Calibri" w:cs="Times New Roman"/>
        </w:rPr>
        <w:t xml:space="preserve">When examining reported side effects per intervention day between DRL and BL, Wilcoxon signed-rank test revealed significantly more severe overexertion on day </w:t>
      </w:r>
      <w:r>
        <w:rPr>
          <w:rFonts w:eastAsia="Calibri" w:cs="Times New Roman"/>
        </w:rPr>
        <w:t>1</w:t>
      </w:r>
      <w:r w:rsidRPr="00552D3F">
        <w:rPr>
          <w:rFonts w:eastAsia="Calibri" w:cs="Times New Roman"/>
        </w:rPr>
        <w:t xml:space="preserve"> (Saturday; DRL, 0.7 ± 1.0; BL, 1.2 ± 1.1,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2.301, </w:t>
      </w:r>
      <w:r w:rsidRPr="00552D3F">
        <w:rPr>
          <w:rFonts w:eastAsia="Calibri" w:cs="Times New Roman"/>
          <w:i/>
          <w:iCs/>
        </w:rPr>
        <w:t>p</w:t>
      </w:r>
      <w:r w:rsidRPr="00552D3F">
        <w:rPr>
          <w:rFonts w:eastAsia="Calibri" w:cs="Times New Roman"/>
        </w:rPr>
        <w:t xml:space="preserve"> = 0.021, Cohen’s </w:t>
      </w:r>
      <w:r w:rsidRPr="00552D3F">
        <w:rPr>
          <w:rFonts w:eastAsia="Calibri" w:cs="Times New Roman"/>
          <w:i/>
          <w:iCs/>
        </w:rPr>
        <w:t>d</w:t>
      </w:r>
      <w:r w:rsidRPr="00552D3F">
        <w:rPr>
          <w:rFonts w:eastAsia="Calibri" w:cs="Times New Roman"/>
        </w:rPr>
        <w:t xml:space="preserve"> = 0.51) and day </w:t>
      </w:r>
      <w:r>
        <w:rPr>
          <w:rFonts w:eastAsia="Calibri" w:cs="Times New Roman"/>
        </w:rPr>
        <w:t>2</w:t>
      </w:r>
      <w:r w:rsidRPr="00552D3F">
        <w:rPr>
          <w:rFonts w:eastAsia="Calibri" w:cs="Times New Roman"/>
        </w:rPr>
        <w:t xml:space="preserve"> (Sunday; DRL, 0.6 ± 0.8; BL, 1.0 ± 1.0,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2.138, </w:t>
      </w:r>
      <w:r w:rsidRPr="00552D3F">
        <w:rPr>
          <w:rFonts w:eastAsia="Calibri" w:cs="Times New Roman"/>
          <w:i/>
          <w:iCs/>
        </w:rPr>
        <w:t>p</w:t>
      </w:r>
      <w:r w:rsidRPr="00552D3F">
        <w:rPr>
          <w:rFonts w:eastAsia="Calibri" w:cs="Times New Roman"/>
        </w:rPr>
        <w:t xml:space="preserve"> = 0.033, Cohen’s </w:t>
      </w:r>
      <w:r w:rsidRPr="00552D3F">
        <w:rPr>
          <w:rFonts w:eastAsia="Calibri" w:cs="Times New Roman"/>
          <w:i/>
          <w:iCs/>
        </w:rPr>
        <w:t>d</w:t>
      </w:r>
      <w:r w:rsidRPr="00552D3F">
        <w:rPr>
          <w:rFonts w:eastAsia="Calibri" w:cs="Times New Roman"/>
        </w:rPr>
        <w:t xml:space="preserve"> = 0.48), significantly more severe stinging eyes on day </w:t>
      </w:r>
      <w:r>
        <w:rPr>
          <w:rFonts w:eastAsia="Calibri" w:cs="Times New Roman"/>
        </w:rPr>
        <w:t xml:space="preserve">3 </w:t>
      </w:r>
      <w:r w:rsidRPr="00552D3F">
        <w:rPr>
          <w:rFonts w:eastAsia="Calibri" w:cs="Times New Roman"/>
        </w:rPr>
        <w:t xml:space="preserve">(Monday; DRL, 0.3 ± 0.6; BL, 0.5 ± 0.7;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2.000, </w:t>
      </w:r>
      <w:r w:rsidRPr="00552D3F">
        <w:rPr>
          <w:rFonts w:eastAsia="Calibri" w:cs="Times New Roman"/>
          <w:i/>
          <w:iCs/>
        </w:rPr>
        <w:t>p</w:t>
      </w:r>
      <w:r w:rsidRPr="00552D3F">
        <w:rPr>
          <w:rFonts w:eastAsia="Calibri" w:cs="Times New Roman"/>
        </w:rPr>
        <w:t xml:space="preserve"> = 0.046, Cohen’s </w:t>
      </w:r>
      <w:r w:rsidRPr="00552D3F">
        <w:rPr>
          <w:rFonts w:eastAsia="Calibri" w:cs="Times New Roman"/>
          <w:i/>
          <w:iCs/>
        </w:rPr>
        <w:t>d</w:t>
      </w:r>
      <w:r w:rsidRPr="00552D3F">
        <w:rPr>
          <w:rFonts w:eastAsia="Calibri" w:cs="Times New Roman"/>
        </w:rPr>
        <w:t xml:space="preserve"> = 0.44), and significantly more severe glare on day </w:t>
      </w:r>
      <w:r>
        <w:rPr>
          <w:rFonts w:eastAsia="Calibri" w:cs="Times New Roman"/>
        </w:rPr>
        <w:t>1</w:t>
      </w:r>
      <w:r w:rsidRPr="00552D3F">
        <w:rPr>
          <w:rFonts w:eastAsia="Calibri" w:cs="Times New Roman"/>
        </w:rPr>
        <w:t xml:space="preserve"> (Saturday, DRL, 0.7 ± 1.2; BL, 1.7 ± 1.4;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2.293; </w:t>
      </w:r>
      <w:r w:rsidRPr="00552D3F">
        <w:rPr>
          <w:rFonts w:eastAsia="Calibri" w:cs="Times New Roman"/>
          <w:i/>
          <w:iCs/>
        </w:rPr>
        <w:t>p</w:t>
      </w:r>
      <w:r w:rsidRPr="00552D3F">
        <w:rPr>
          <w:rFonts w:eastAsia="Calibri" w:cs="Times New Roman"/>
        </w:rPr>
        <w:t xml:space="preserve"> = 0.022, Cohen’s </w:t>
      </w:r>
      <w:r w:rsidRPr="00552D3F">
        <w:rPr>
          <w:rFonts w:eastAsia="Calibri" w:cs="Times New Roman"/>
          <w:i/>
          <w:iCs/>
        </w:rPr>
        <w:t>d</w:t>
      </w:r>
      <w:r w:rsidRPr="00552D3F">
        <w:rPr>
          <w:rFonts w:eastAsia="Calibri" w:cs="Times New Roman"/>
        </w:rPr>
        <w:t xml:space="preserve"> = 0.51), day </w:t>
      </w:r>
      <w:r>
        <w:rPr>
          <w:rFonts w:eastAsia="Calibri" w:cs="Times New Roman"/>
        </w:rPr>
        <w:t>4</w:t>
      </w:r>
      <w:r w:rsidRPr="00552D3F">
        <w:rPr>
          <w:rFonts w:eastAsia="Calibri" w:cs="Times New Roman"/>
        </w:rPr>
        <w:t xml:space="preserve"> (Tuesday; DRL, 0.6 ± 0.9; BL, 1.4 ± 1.1;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2.801, </w:t>
      </w:r>
      <w:r w:rsidRPr="00552D3F">
        <w:rPr>
          <w:rFonts w:eastAsia="Calibri" w:cs="Times New Roman"/>
          <w:i/>
          <w:iCs/>
        </w:rPr>
        <w:t>p</w:t>
      </w:r>
      <w:r w:rsidRPr="00552D3F">
        <w:rPr>
          <w:rFonts w:eastAsia="Calibri" w:cs="Times New Roman"/>
        </w:rPr>
        <w:t xml:space="preserve"> = 0.005, Cohen’s </w:t>
      </w:r>
      <w:r w:rsidRPr="00552D3F">
        <w:rPr>
          <w:rFonts w:eastAsia="Calibri" w:cs="Times New Roman"/>
          <w:i/>
          <w:iCs/>
        </w:rPr>
        <w:t>d</w:t>
      </w:r>
      <w:r w:rsidRPr="00552D3F">
        <w:rPr>
          <w:rFonts w:eastAsia="Calibri" w:cs="Times New Roman"/>
        </w:rPr>
        <w:t xml:space="preserve"> = 0.63), day </w:t>
      </w:r>
      <w:r>
        <w:rPr>
          <w:rFonts w:eastAsia="Calibri" w:cs="Times New Roman"/>
        </w:rPr>
        <w:t>5</w:t>
      </w:r>
      <w:r w:rsidRPr="00552D3F">
        <w:rPr>
          <w:rFonts w:eastAsia="Calibri" w:cs="Times New Roman"/>
        </w:rPr>
        <w:t xml:space="preserve"> (Wednesday; DRL, 0.7 ± 0.9; BL, 1.4 ± 1.2;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2.041, </w:t>
      </w:r>
      <w:r w:rsidRPr="00552D3F">
        <w:rPr>
          <w:rFonts w:eastAsia="Calibri" w:cs="Times New Roman"/>
          <w:i/>
          <w:iCs/>
        </w:rPr>
        <w:t>p</w:t>
      </w:r>
      <w:r w:rsidRPr="00552D3F">
        <w:rPr>
          <w:rFonts w:eastAsia="Calibri" w:cs="Times New Roman"/>
        </w:rPr>
        <w:t xml:space="preserve"> = 0.041, Cohen’s </w:t>
      </w:r>
      <w:r w:rsidRPr="00552D3F">
        <w:rPr>
          <w:rFonts w:eastAsia="Calibri" w:cs="Times New Roman"/>
          <w:i/>
          <w:iCs/>
        </w:rPr>
        <w:t>d</w:t>
      </w:r>
      <w:r w:rsidRPr="00552D3F">
        <w:rPr>
          <w:rFonts w:eastAsia="Calibri" w:cs="Times New Roman"/>
        </w:rPr>
        <w:t xml:space="preserve"> = 0.46), and day </w:t>
      </w:r>
      <w:r>
        <w:rPr>
          <w:rFonts w:eastAsia="Calibri" w:cs="Times New Roman"/>
        </w:rPr>
        <w:t>6</w:t>
      </w:r>
      <w:r w:rsidRPr="00552D3F">
        <w:rPr>
          <w:rFonts w:eastAsia="Calibri" w:cs="Times New Roman"/>
        </w:rPr>
        <w:t xml:space="preserve"> (Thursday; DRL, 0.9 ± 1.0; BL, 1.5 ± 1.1; </w:t>
      </w:r>
      <w:r w:rsidRPr="00552D3F">
        <w:rPr>
          <w:rFonts w:eastAsia="Calibri" w:cs="Times New Roman"/>
          <w:i/>
          <w:iCs/>
        </w:rPr>
        <w:t>z</w:t>
      </w:r>
      <w:r w:rsidRPr="00552D3F">
        <w:rPr>
          <w:rFonts w:eastAsia="Calibri" w:cs="Times New Roman"/>
        </w:rPr>
        <w:t xml:space="preserve"> = </w:t>
      </w:r>
      <w:r>
        <w:rPr>
          <w:rFonts w:eastAsia="Calibri" w:cs="Times New Roman"/>
        </w:rPr>
        <w:t>–</w:t>
      </w:r>
      <w:r w:rsidRPr="00552D3F">
        <w:rPr>
          <w:rFonts w:eastAsia="Calibri" w:cs="Times New Roman"/>
        </w:rPr>
        <w:t xml:space="preserve">2.209, </w:t>
      </w:r>
      <w:r w:rsidRPr="00552D3F">
        <w:rPr>
          <w:rFonts w:eastAsia="Calibri" w:cs="Times New Roman"/>
          <w:i/>
          <w:iCs/>
        </w:rPr>
        <w:t>p</w:t>
      </w:r>
      <w:r w:rsidRPr="00552D3F">
        <w:rPr>
          <w:rFonts w:eastAsia="Calibri" w:cs="Times New Roman"/>
        </w:rPr>
        <w:t xml:space="preserve"> = 0.027, Cohen’s </w:t>
      </w:r>
      <w:r w:rsidRPr="00552D3F">
        <w:rPr>
          <w:rFonts w:eastAsia="Calibri" w:cs="Times New Roman"/>
          <w:i/>
          <w:iCs/>
        </w:rPr>
        <w:t>d</w:t>
      </w:r>
      <w:r w:rsidRPr="00552D3F">
        <w:rPr>
          <w:rFonts w:eastAsia="Calibri" w:cs="Times New Roman"/>
        </w:rPr>
        <w:t xml:space="preserve"> = 0.49)</w:t>
      </w:r>
      <w:r>
        <w:rPr>
          <w:rFonts w:eastAsia="Calibri" w:cs="Times New Roman"/>
        </w:rPr>
        <w:t xml:space="preserve"> when using BL than with DRL</w:t>
      </w:r>
      <w:r w:rsidRPr="00552D3F">
        <w:rPr>
          <w:rFonts w:eastAsia="Calibri" w:cs="Times New Roman"/>
        </w:rPr>
        <w:t>. No differences were found on any other intervention day regarding these side effects, nor on any intervention day at all regarding headache, watering eyes, itchy eyes, blurred vision, pain in and around the eyes, and dizziness</w:t>
      </w:r>
      <w:r>
        <w:rPr>
          <w:rFonts w:eastAsia="Calibri" w:cs="Times New Roman"/>
        </w:rPr>
        <w:t xml:space="preserve"> (</w:t>
      </w:r>
      <w:r w:rsidRPr="00552D3F">
        <w:rPr>
          <w:rFonts w:eastAsia="Calibri" w:cs="Times New Roman"/>
          <w:i/>
          <w:iCs/>
        </w:rPr>
        <w:t>p</w:t>
      </w:r>
      <w:r w:rsidRPr="00552D3F">
        <w:rPr>
          <w:rFonts w:eastAsia="Calibri" w:cs="Times New Roman"/>
        </w:rPr>
        <w:t xml:space="preserve"> &gt; 0.05</w:t>
      </w:r>
      <w:r>
        <w:rPr>
          <w:rFonts w:eastAsia="Calibri" w:cs="Times New Roman"/>
        </w:rPr>
        <w:t>). Table S2 shows the results of the Wilcoxon signed-rank test for all items and intervention days, and Figure S1 depicts the distribution of side effects severity in both study interventions.</w:t>
      </w:r>
    </w:p>
    <w:p w14:paraId="7A504AFD" w14:textId="77777777" w:rsidR="00A9140C" w:rsidRDefault="00A9140C" w:rsidP="00003C49">
      <w:pPr>
        <w:spacing w:after="240" w:line="240" w:lineRule="auto"/>
        <w:ind w:firstLine="0"/>
        <w:jc w:val="left"/>
        <w:rPr>
          <w:rFonts w:ascii="Arial" w:eastAsia="Calibri" w:hAnsi="Arial" w:cs="Arial"/>
          <w:lang w:val="en-US"/>
        </w:rPr>
      </w:pPr>
    </w:p>
    <w:p w14:paraId="443412C0" w14:textId="77777777" w:rsidR="002D79F3" w:rsidRDefault="002D79F3" w:rsidP="00003C49">
      <w:pPr>
        <w:spacing w:after="240" w:line="240" w:lineRule="auto"/>
        <w:ind w:firstLine="0"/>
        <w:jc w:val="left"/>
        <w:rPr>
          <w:rFonts w:ascii="Arial" w:eastAsia="Calibri" w:hAnsi="Arial" w:cs="Arial"/>
          <w:lang w:val="en-US"/>
        </w:rPr>
        <w:sectPr w:rsidR="002D79F3" w:rsidSect="000D33A7">
          <w:pgSz w:w="11906" w:h="16838"/>
          <w:pgMar w:top="1134" w:right="1418" w:bottom="1418" w:left="1418" w:header="709" w:footer="709" w:gutter="0"/>
          <w:cols w:space="708"/>
          <w:docGrid w:linePitch="360"/>
        </w:sectPr>
      </w:pPr>
    </w:p>
    <w:p w14:paraId="330F541E" w14:textId="722CBD0A" w:rsidR="00C45596" w:rsidRDefault="00C45596" w:rsidP="00293EA3">
      <w:pPr>
        <w:spacing w:before="60" w:after="120" w:line="240" w:lineRule="auto"/>
        <w:ind w:firstLine="0"/>
        <w:jc w:val="left"/>
        <w:rPr>
          <w:rFonts w:ascii="Arial" w:eastAsia="Calibri" w:hAnsi="Arial" w:cs="Arial"/>
        </w:rPr>
      </w:pPr>
    </w:p>
    <w:p w14:paraId="5647A5A4" w14:textId="15217025" w:rsidR="002D79F3" w:rsidRPr="002D79F3" w:rsidRDefault="002D79F3" w:rsidP="0010525A">
      <w:pPr>
        <w:ind w:firstLine="0"/>
        <w:jc w:val="left"/>
        <w:rPr>
          <w:rFonts w:ascii="Arial" w:hAnsi="Arial" w:cs="Arial"/>
          <w:kern w:val="2"/>
          <w:sz w:val="20"/>
          <w:szCs w:val="20"/>
          <w:u w:val="single"/>
          <w14:ligatures w14:val="standardContextual"/>
        </w:rPr>
      </w:pPr>
      <w:r w:rsidRPr="002D79F3">
        <w:rPr>
          <w:rFonts w:ascii="Arial" w:hAnsi="Arial" w:cs="Arial"/>
          <w:b/>
          <w:bCs/>
          <w:kern w:val="2"/>
          <w:sz w:val="20"/>
          <w:szCs w:val="20"/>
          <w:u w:val="single"/>
          <w14:ligatures w14:val="standardContextual"/>
        </w:rPr>
        <w:t xml:space="preserve">Table </w:t>
      </w:r>
      <w:r w:rsidR="005F383A">
        <w:rPr>
          <w:rFonts w:ascii="Arial" w:hAnsi="Arial" w:cs="Arial"/>
          <w:b/>
          <w:bCs/>
          <w:kern w:val="2"/>
          <w:sz w:val="20"/>
          <w:szCs w:val="20"/>
          <w:u w:val="single"/>
          <w14:ligatures w14:val="standardContextual"/>
        </w:rPr>
        <w:t>S</w:t>
      </w:r>
      <w:r w:rsidRPr="002D79F3">
        <w:rPr>
          <w:rFonts w:ascii="Arial" w:hAnsi="Arial" w:cs="Arial"/>
          <w:b/>
          <w:bCs/>
          <w:kern w:val="2"/>
          <w:sz w:val="20"/>
          <w:szCs w:val="20"/>
          <w:u w:val="single"/>
          <w14:ligatures w14:val="standardContextual"/>
        </w:rPr>
        <w:t xml:space="preserve">2 </w:t>
      </w:r>
      <w:r w:rsidRPr="002D79F3">
        <w:rPr>
          <w:rFonts w:ascii="Arial" w:hAnsi="Arial" w:cs="Arial"/>
          <w:kern w:val="2"/>
          <w:sz w:val="20"/>
          <w:szCs w:val="20"/>
          <w:u w:val="single"/>
          <w14:ligatures w14:val="standardContextual"/>
        </w:rPr>
        <w:t>Results from the Wilcoxon signed-rank test comparing side effects between the DRL and BL condition for each intervention day</w:t>
      </w:r>
    </w:p>
    <w:tbl>
      <w:tblPr>
        <w:tblW w:w="13525" w:type="dxa"/>
        <w:tblCellMar>
          <w:left w:w="70" w:type="dxa"/>
          <w:right w:w="70" w:type="dxa"/>
        </w:tblCellMar>
        <w:tblLook w:val="04A0" w:firstRow="1" w:lastRow="0" w:firstColumn="1" w:lastColumn="0" w:noHBand="0" w:noVBand="1"/>
      </w:tblPr>
      <w:tblGrid>
        <w:gridCol w:w="2409"/>
        <w:gridCol w:w="794"/>
        <w:gridCol w:w="794"/>
        <w:gridCol w:w="794"/>
        <w:gridCol w:w="794"/>
        <w:gridCol w:w="794"/>
        <w:gridCol w:w="794"/>
        <w:gridCol w:w="794"/>
        <w:gridCol w:w="794"/>
        <w:gridCol w:w="794"/>
        <w:gridCol w:w="794"/>
        <w:gridCol w:w="794"/>
        <w:gridCol w:w="794"/>
        <w:gridCol w:w="794"/>
        <w:gridCol w:w="794"/>
      </w:tblGrid>
      <w:tr w:rsidR="002D79F3" w:rsidRPr="002D79F3" w14:paraId="091CBDAF" w14:textId="77777777" w:rsidTr="004F1030">
        <w:trPr>
          <w:gridAfter w:val="1"/>
          <w:wAfter w:w="794" w:type="dxa"/>
          <w:trHeight w:val="320"/>
        </w:trPr>
        <w:tc>
          <w:tcPr>
            <w:tcW w:w="2409" w:type="dxa"/>
            <w:tcBorders>
              <w:top w:val="nil"/>
              <w:left w:val="nil"/>
              <w:bottom w:val="nil"/>
              <w:right w:val="nil"/>
            </w:tcBorders>
            <w:noWrap/>
            <w:vAlign w:val="bottom"/>
            <w:hideMark/>
          </w:tcPr>
          <w:p w14:paraId="15AA5714" w14:textId="77777777" w:rsidR="002D79F3" w:rsidRPr="002D79F3" w:rsidRDefault="002D79F3" w:rsidP="002D79F3">
            <w:pPr>
              <w:spacing w:line="240" w:lineRule="auto"/>
              <w:ind w:firstLine="0"/>
              <w:jc w:val="left"/>
              <w:rPr>
                <w:rFonts w:ascii="Arial" w:eastAsia="Times New Roman" w:hAnsi="Arial" w:cs="Arial"/>
                <w:b/>
                <w:bCs/>
                <w:sz w:val="18"/>
                <w:szCs w:val="18"/>
                <w:lang w:val="en-US" w:eastAsia="de-DE"/>
              </w:rPr>
            </w:pPr>
          </w:p>
        </w:tc>
        <w:tc>
          <w:tcPr>
            <w:tcW w:w="794" w:type="dxa"/>
            <w:tcBorders>
              <w:top w:val="nil"/>
              <w:left w:val="nil"/>
              <w:bottom w:val="nil"/>
              <w:right w:val="nil"/>
            </w:tcBorders>
            <w:noWrap/>
            <w:vAlign w:val="bottom"/>
            <w:hideMark/>
          </w:tcPr>
          <w:p w14:paraId="42DB4D38"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1</w:t>
            </w:r>
          </w:p>
        </w:tc>
        <w:tc>
          <w:tcPr>
            <w:tcW w:w="794" w:type="dxa"/>
            <w:tcBorders>
              <w:top w:val="nil"/>
              <w:left w:val="nil"/>
              <w:bottom w:val="nil"/>
              <w:right w:val="nil"/>
            </w:tcBorders>
            <w:noWrap/>
            <w:vAlign w:val="bottom"/>
            <w:hideMark/>
          </w:tcPr>
          <w:p w14:paraId="722E2499"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p>
        </w:tc>
        <w:tc>
          <w:tcPr>
            <w:tcW w:w="794" w:type="dxa"/>
            <w:tcBorders>
              <w:top w:val="nil"/>
              <w:left w:val="nil"/>
              <w:bottom w:val="nil"/>
              <w:right w:val="nil"/>
            </w:tcBorders>
            <w:noWrap/>
            <w:vAlign w:val="bottom"/>
            <w:hideMark/>
          </w:tcPr>
          <w:p w14:paraId="6F3EF7D1"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2</w:t>
            </w:r>
          </w:p>
        </w:tc>
        <w:tc>
          <w:tcPr>
            <w:tcW w:w="794" w:type="dxa"/>
            <w:tcBorders>
              <w:top w:val="nil"/>
              <w:left w:val="nil"/>
              <w:bottom w:val="nil"/>
              <w:right w:val="nil"/>
            </w:tcBorders>
            <w:noWrap/>
            <w:vAlign w:val="bottom"/>
            <w:hideMark/>
          </w:tcPr>
          <w:p w14:paraId="5DB5FEE4"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p>
        </w:tc>
        <w:tc>
          <w:tcPr>
            <w:tcW w:w="794" w:type="dxa"/>
            <w:tcBorders>
              <w:top w:val="nil"/>
              <w:left w:val="nil"/>
              <w:bottom w:val="nil"/>
              <w:right w:val="nil"/>
            </w:tcBorders>
            <w:noWrap/>
            <w:vAlign w:val="bottom"/>
            <w:hideMark/>
          </w:tcPr>
          <w:p w14:paraId="2A00554F"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3</w:t>
            </w:r>
          </w:p>
        </w:tc>
        <w:tc>
          <w:tcPr>
            <w:tcW w:w="794" w:type="dxa"/>
            <w:tcBorders>
              <w:top w:val="nil"/>
              <w:left w:val="nil"/>
              <w:bottom w:val="nil"/>
              <w:right w:val="nil"/>
            </w:tcBorders>
            <w:noWrap/>
            <w:vAlign w:val="bottom"/>
            <w:hideMark/>
          </w:tcPr>
          <w:p w14:paraId="69D5816D"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p>
        </w:tc>
        <w:tc>
          <w:tcPr>
            <w:tcW w:w="794" w:type="dxa"/>
            <w:tcBorders>
              <w:top w:val="nil"/>
              <w:left w:val="nil"/>
              <w:bottom w:val="nil"/>
              <w:right w:val="nil"/>
            </w:tcBorders>
            <w:noWrap/>
            <w:vAlign w:val="bottom"/>
            <w:hideMark/>
          </w:tcPr>
          <w:p w14:paraId="3ED3289C"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4</w:t>
            </w:r>
          </w:p>
        </w:tc>
        <w:tc>
          <w:tcPr>
            <w:tcW w:w="794" w:type="dxa"/>
            <w:tcBorders>
              <w:top w:val="nil"/>
              <w:left w:val="nil"/>
              <w:bottom w:val="nil"/>
              <w:right w:val="nil"/>
            </w:tcBorders>
            <w:noWrap/>
            <w:vAlign w:val="bottom"/>
            <w:hideMark/>
          </w:tcPr>
          <w:p w14:paraId="45C9C5BC"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p>
        </w:tc>
        <w:tc>
          <w:tcPr>
            <w:tcW w:w="794" w:type="dxa"/>
            <w:tcBorders>
              <w:top w:val="nil"/>
              <w:left w:val="nil"/>
              <w:bottom w:val="nil"/>
              <w:right w:val="nil"/>
            </w:tcBorders>
            <w:noWrap/>
            <w:vAlign w:val="bottom"/>
            <w:hideMark/>
          </w:tcPr>
          <w:p w14:paraId="68B387B3"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5</w:t>
            </w:r>
          </w:p>
        </w:tc>
        <w:tc>
          <w:tcPr>
            <w:tcW w:w="794" w:type="dxa"/>
            <w:tcBorders>
              <w:top w:val="nil"/>
              <w:left w:val="nil"/>
              <w:bottom w:val="nil"/>
              <w:right w:val="nil"/>
            </w:tcBorders>
            <w:noWrap/>
            <w:vAlign w:val="bottom"/>
            <w:hideMark/>
          </w:tcPr>
          <w:p w14:paraId="4A69C607"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p>
        </w:tc>
        <w:tc>
          <w:tcPr>
            <w:tcW w:w="794" w:type="dxa"/>
            <w:tcBorders>
              <w:top w:val="nil"/>
              <w:left w:val="nil"/>
              <w:bottom w:val="nil"/>
              <w:right w:val="nil"/>
            </w:tcBorders>
            <w:noWrap/>
            <w:vAlign w:val="bottom"/>
            <w:hideMark/>
          </w:tcPr>
          <w:p w14:paraId="56DED8E0"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6</w:t>
            </w:r>
          </w:p>
        </w:tc>
        <w:tc>
          <w:tcPr>
            <w:tcW w:w="794" w:type="dxa"/>
            <w:tcBorders>
              <w:top w:val="nil"/>
              <w:left w:val="nil"/>
              <w:bottom w:val="nil"/>
              <w:right w:val="nil"/>
            </w:tcBorders>
            <w:noWrap/>
            <w:vAlign w:val="bottom"/>
            <w:hideMark/>
          </w:tcPr>
          <w:p w14:paraId="3E32FD84"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p>
        </w:tc>
        <w:tc>
          <w:tcPr>
            <w:tcW w:w="794" w:type="dxa"/>
            <w:tcBorders>
              <w:top w:val="nil"/>
              <w:left w:val="nil"/>
              <w:bottom w:val="nil"/>
            </w:tcBorders>
            <w:noWrap/>
            <w:vAlign w:val="bottom"/>
            <w:hideMark/>
          </w:tcPr>
          <w:p w14:paraId="45347942" w14:textId="77777777" w:rsidR="002D79F3" w:rsidRPr="002D79F3" w:rsidRDefault="002D79F3" w:rsidP="002D79F3">
            <w:pPr>
              <w:spacing w:line="240" w:lineRule="auto"/>
              <w:ind w:firstLine="0"/>
              <w:jc w:val="right"/>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Day 7</w:t>
            </w:r>
          </w:p>
        </w:tc>
      </w:tr>
      <w:tr w:rsidR="002D79F3" w:rsidRPr="002D79F3" w14:paraId="2514171B" w14:textId="77777777" w:rsidTr="004F1030">
        <w:trPr>
          <w:trHeight w:val="320"/>
        </w:trPr>
        <w:tc>
          <w:tcPr>
            <w:tcW w:w="2409" w:type="dxa"/>
            <w:tcBorders>
              <w:top w:val="nil"/>
              <w:left w:val="nil"/>
              <w:bottom w:val="single" w:sz="4" w:space="0" w:color="auto"/>
              <w:right w:val="nil"/>
            </w:tcBorders>
            <w:noWrap/>
            <w:vAlign w:val="bottom"/>
            <w:hideMark/>
          </w:tcPr>
          <w:p w14:paraId="2EA59AD9" w14:textId="77777777" w:rsidR="002D79F3" w:rsidRPr="002D79F3" w:rsidRDefault="002D79F3" w:rsidP="002D79F3">
            <w:pPr>
              <w:spacing w:line="240" w:lineRule="auto"/>
              <w:ind w:firstLine="0"/>
              <w:jc w:val="left"/>
              <w:rPr>
                <w:rFonts w:ascii="Arial" w:eastAsia="Times New Roman" w:hAnsi="Arial" w:cs="Arial"/>
                <w:i/>
                <w:iCs/>
                <w:color w:val="000000"/>
                <w:sz w:val="18"/>
                <w:szCs w:val="18"/>
                <w:lang w:val="de-DE" w:eastAsia="de-DE"/>
              </w:rPr>
            </w:pPr>
          </w:p>
        </w:tc>
        <w:tc>
          <w:tcPr>
            <w:tcW w:w="794" w:type="dxa"/>
            <w:tcBorders>
              <w:top w:val="nil"/>
              <w:left w:val="nil"/>
              <w:bottom w:val="single" w:sz="4" w:space="0" w:color="auto"/>
              <w:right w:val="nil"/>
            </w:tcBorders>
            <w:noWrap/>
            <w:vAlign w:val="bottom"/>
            <w:hideMark/>
          </w:tcPr>
          <w:p w14:paraId="22323A1F"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7BEC6F14"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c>
          <w:tcPr>
            <w:tcW w:w="794" w:type="dxa"/>
            <w:tcBorders>
              <w:top w:val="nil"/>
              <w:left w:val="nil"/>
              <w:bottom w:val="single" w:sz="4" w:space="0" w:color="auto"/>
              <w:right w:val="nil"/>
            </w:tcBorders>
            <w:noWrap/>
            <w:vAlign w:val="bottom"/>
            <w:hideMark/>
          </w:tcPr>
          <w:p w14:paraId="386E5ED5"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7D38E1EC"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c>
          <w:tcPr>
            <w:tcW w:w="794" w:type="dxa"/>
            <w:tcBorders>
              <w:top w:val="nil"/>
              <w:left w:val="nil"/>
              <w:bottom w:val="single" w:sz="4" w:space="0" w:color="auto"/>
              <w:right w:val="nil"/>
            </w:tcBorders>
            <w:noWrap/>
            <w:vAlign w:val="bottom"/>
            <w:hideMark/>
          </w:tcPr>
          <w:p w14:paraId="0A40250E"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59DA4966"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c>
          <w:tcPr>
            <w:tcW w:w="794" w:type="dxa"/>
            <w:tcBorders>
              <w:top w:val="nil"/>
              <w:left w:val="nil"/>
              <w:bottom w:val="single" w:sz="4" w:space="0" w:color="auto"/>
              <w:right w:val="nil"/>
            </w:tcBorders>
            <w:noWrap/>
            <w:vAlign w:val="bottom"/>
            <w:hideMark/>
          </w:tcPr>
          <w:p w14:paraId="263EBA8E"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4F878DA9"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c>
          <w:tcPr>
            <w:tcW w:w="794" w:type="dxa"/>
            <w:tcBorders>
              <w:top w:val="nil"/>
              <w:left w:val="nil"/>
              <w:bottom w:val="single" w:sz="4" w:space="0" w:color="auto"/>
              <w:right w:val="nil"/>
            </w:tcBorders>
            <w:noWrap/>
            <w:vAlign w:val="bottom"/>
            <w:hideMark/>
          </w:tcPr>
          <w:p w14:paraId="1E526F74"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5B8A6D8F"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c>
          <w:tcPr>
            <w:tcW w:w="794" w:type="dxa"/>
            <w:tcBorders>
              <w:top w:val="nil"/>
              <w:left w:val="nil"/>
              <w:bottom w:val="single" w:sz="4" w:space="0" w:color="auto"/>
              <w:right w:val="nil"/>
            </w:tcBorders>
            <w:noWrap/>
            <w:vAlign w:val="bottom"/>
            <w:hideMark/>
          </w:tcPr>
          <w:p w14:paraId="6899FE88"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76C6A3B6"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c>
          <w:tcPr>
            <w:tcW w:w="794" w:type="dxa"/>
            <w:tcBorders>
              <w:top w:val="nil"/>
              <w:left w:val="nil"/>
              <w:bottom w:val="single" w:sz="4" w:space="0" w:color="auto"/>
              <w:right w:val="nil"/>
            </w:tcBorders>
            <w:noWrap/>
            <w:vAlign w:val="bottom"/>
            <w:hideMark/>
          </w:tcPr>
          <w:p w14:paraId="3D836412" w14:textId="77777777" w:rsidR="002D79F3" w:rsidRPr="002D79F3" w:rsidRDefault="002D79F3" w:rsidP="002D79F3">
            <w:pPr>
              <w:spacing w:line="240" w:lineRule="auto"/>
              <w:ind w:firstLine="0"/>
              <w:jc w:val="right"/>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z</w:t>
            </w:r>
          </w:p>
        </w:tc>
        <w:tc>
          <w:tcPr>
            <w:tcW w:w="794" w:type="dxa"/>
            <w:tcBorders>
              <w:top w:val="nil"/>
              <w:left w:val="nil"/>
              <w:bottom w:val="single" w:sz="4" w:space="0" w:color="auto"/>
              <w:right w:val="nil"/>
            </w:tcBorders>
            <w:noWrap/>
            <w:vAlign w:val="bottom"/>
            <w:hideMark/>
          </w:tcPr>
          <w:p w14:paraId="74A2D00A" w14:textId="77777777" w:rsidR="002D79F3" w:rsidRPr="002D79F3" w:rsidRDefault="002D79F3" w:rsidP="002D79F3">
            <w:pPr>
              <w:spacing w:line="240" w:lineRule="auto"/>
              <w:ind w:firstLine="0"/>
              <w:jc w:val="center"/>
              <w:rPr>
                <w:rFonts w:ascii="Arial" w:eastAsia="Times New Roman" w:hAnsi="Arial" w:cs="Arial"/>
                <w:i/>
                <w:iCs/>
                <w:color w:val="000000"/>
                <w:sz w:val="18"/>
                <w:szCs w:val="18"/>
                <w:lang w:val="de-DE" w:eastAsia="de-DE"/>
              </w:rPr>
            </w:pPr>
            <w:r w:rsidRPr="002D79F3">
              <w:rPr>
                <w:rFonts w:ascii="Arial" w:eastAsia="Times New Roman" w:hAnsi="Arial" w:cs="Arial"/>
                <w:i/>
                <w:iCs/>
                <w:color w:val="000000"/>
                <w:sz w:val="18"/>
                <w:szCs w:val="18"/>
                <w:lang w:val="de-DE" w:eastAsia="de-DE"/>
              </w:rPr>
              <w:t>p</w:t>
            </w:r>
          </w:p>
        </w:tc>
      </w:tr>
      <w:tr w:rsidR="002D79F3" w:rsidRPr="002D79F3" w14:paraId="4EDC8BC3" w14:textId="77777777" w:rsidTr="004F1030">
        <w:trPr>
          <w:trHeight w:val="340"/>
        </w:trPr>
        <w:tc>
          <w:tcPr>
            <w:tcW w:w="2409" w:type="dxa"/>
            <w:tcBorders>
              <w:top w:val="single" w:sz="4" w:space="0" w:color="auto"/>
              <w:left w:val="nil"/>
              <w:bottom w:val="nil"/>
              <w:right w:val="nil"/>
            </w:tcBorders>
            <w:noWrap/>
            <w:vAlign w:val="bottom"/>
            <w:hideMark/>
          </w:tcPr>
          <w:p w14:paraId="0EC729DF"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Overexcertion of the eyes</w:t>
            </w:r>
          </w:p>
        </w:tc>
        <w:tc>
          <w:tcPr>
            <w:tcW w:w="794" w:type="dxa"/>
            <w:tcBorders>
              <w:top w:val="single" w:sz="4" w:space="0" w:color="auto"/>
              <w:left w:val="nil"/>
              <w:bottom w:val="nil"/>
              <w:right w:val="nil"/>
            </w:tcBorders>
            <w:noWrap/>
            <w:vAlign w:val="bottom"/>
            <w:hideMark/>
          </w:tcPr>
          <w:p w14:paraId="099E194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-2.301</w:t>
            </w:r>
          </w:p>
        </w:tc>
        <w:tc>
          <w:tcPr>
            <w:tcW w:w="794" w:type="dxa"/>
            <w:tcBorders>
              <w:top w:val="single" w:sz="4" w:space="0" w:color="auto"/>
              <w:left w:val="nil"/>
              <w:bottom w:val="nil"/>
              <w:right w:val="nil"/>
            </w:tcBorders>
            <w:noWrap/>
            <w:vAlign w:val="bottom"/>
            <w:hideMark/>
          </w:tcPr>
          <w:p w14:paraId="113D1E74"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.021</w:t>
            </w:r>
          </w:p>
        </w:tc>
        <w:tc>
          <w:tcPr>
            <w:tcW w:w="794" w:type="dxa"/>
            <w:tcBorders>
              <w:top w:val="single" w:sz="4" w:space="0" w:color="auto"/>
              <w:left w:val="nil"/>
              <w:bottom w:val="nil"/>
              <w:right w:val="nil"/>
            </w:tcBorders>
            <w:noWrap/>
            <w:vAlign w:val="bottom"/>
            <w:hideMark/>
          </w:tcPr>
          <w:p w14:paraId="70C5F133"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-2.138</w:t>
            </w:r>
          </w:p>
        </w:tc>
        <w:tc>
          <w:tcPr>
            <w:tcW w:w="794" w:type="dxa"/>
            <w:tcBorders>
              <w:top w:val="single" w:sz="4" w:space="0" w:color="auto"/>
              <w:left w:val="nil"/>
              <w:bottom w:val="nil"/>
              <w:right w:val="nil"/>
            </w:tcBorders>
            <w:noWrap/>
            <w:vAlign w:val="bottom"/>
            <w:hideMark/>
          </w:tcPr>
          <w:p w14:paraId="74C3200B"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.033</w:t>
            </w:r>
          </w:p>
        </w:tc>
        <w:tc>
          <w:tcPr>
            <w:tcW w:w="794" w:type="dxa"/>
            <w:tcBorders>
              <w:top w:val="single" w:sz="4" w:space="0" w:color="auto"/>
              <w:left w:val="nil"/>
              <w:bottom w:val="nil"/>
              <w:right w:val="nil"/>
            </w:tcBorders>
            <w:noWrap/>
            <w:vAlign w:val="bottom"/>
            <w:hideMark/>
          </w:tcPr>
          <w:p w14:paraId="7CB14333"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-1.897</w:t>
            </w:r>
          </w:p>
        </w:tc>
        <w:tc>
          <w:tcPr>
            <w:tcW w:w="794" w:type="dxa"/>
            <w:tcBorders>
              <w:top w:val="single" w:sz="4" w:space="0" w:color="auto"/>
              <w:left w:val="nil"/>
              <w:bottom w:val="nil"/>
              <w:right w:val="nil"/>
            </w:tcBorders>
            <w:noWrap/>
            <w:vAlign w:val="bottom"/>
            <w:hideMark/>
          </w:tcPr>
          <w:p w14:paraId="376BE973"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.058</w:t>
            </w:r>
          </w:p>
        </w:tc>
        <w:tc>
          <w:tcPr>
            <w:tcW w:w="794" w:type="dxa"/>
            <w:tcBorders>
              <w:top w:val="single" w:sz="4" w:space="0" w:color="auto"/>
              <w:left w:val="nil"/>
              <w:bottom w:val="nil"/>
              <w:right w:val="nil"/>
            </w:tcBorders>
            <w:noWrap/>
            <w:vAlign w:val="bottom"/>
            <w:hideMark/>
          </w:tcPr>
          <w:p w14:paraId="41E7A63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-0.378</w:t>
            </w:r>
          </w:p>
        </w:tc>
        <w:tc>
          <w:tcPr>
            <w:tcW w:w="794" w:type="dxa"/>
            <w:tcBorders>
              <w:top w:val="single" w:sz="4" w:space="0" w:color="auto"/>
              <w:left w:val="nil"/>
              <w:bottom w:val="nil"/>
              <w:right w:val="nil"/>
            </w:tcBorders>
            <w:noWrap/>
            <w:vAlign w:val="bottom"/>
            <w:hideMark/>
          </w:tcPr>
          <w:p w14:paraId="6EE1343F"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.705</w:t>
            </w:r>
          </w:p>
        </w:tc>
        <w:tc>
          <w:tcPr>
            <w:tcW w:w="794" w:type="dxa"/>
            <w:tcBorders>
              <w:top w:val="single" w:sz="4" w:space="0" w:color="auto"/>
              <w:left w:val="nil"/>
              <w:bottom w:val="nil"/>
              <w:right w:val="nil"/>
            </w:tcBorders>
            <w:noWrap/>
            <w:vAlign w:val="bottom"/>
            <w:hideMark/>
          </w:tcPr>
          <w:p w14:paraId="509E36AB"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-1.081</w:t>
            </w:r>
          </w:p>
        </w:tc>
        <w:tc>
          <w:tcPr>
            <w:tcW w:w="794" w:type="dxa"/>
            <w:tcBorders>
              <w:top w:val="single" w:sz="4" w:space="0" w:color="auto"/>
              <w:left w:val="nil"/>
              <w:bottom w:val="nil"/>
              <w:right w:val="nil"/>
            </w:tcBorders>
            <w:noWrap/>
            <w:vAlign w:val="bottom"/>
            <w:hideMark/>
          </w:tcPr>
          <w:p w14:paraId="60A4199B"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.279</w:t>
            </w:r>
          </w:p>
        </w:tc>
        <w:tc>
          <w:tcPr>
            <w:tcW w:w="794" w:type="dxa"/>
            <w:tcBorders>
              <w:top w:val="single" w:sz="4" w:space="0" w:color="auto"/>
              <w:left w:val="nil"/>
              <w:bottom w:val="nil"/>
              <w:right w:val="nil"/>
            </w:tcBorders>
            <w:noWrap/>
            <w:vAlign w:val="bottom"/>
            <w:hideMark/>
          </w:tcPr>
          <w:p w14:paraId="1277473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-0.586</w:t>
            </w:r>
          </w:p>
        </w:tc>
        <w:tc>
          <w:tcPr>
            <w:tcW w:w="794" w:type="dxa"/>
            <w:tcBorders>
              <w:top w:val="single" w:sz="4" w:space="0" w:color="auto"/>
              <w:left w:val="nil"/>
              <w:bottom w:val="nil"/>
              <w:right w:val="nil"/>
            </w:tcBorders>
            <w:noWrap/>
            <w:vAlign w:val="bottom"/>
            <w:hideMark/>
          </w:tcPr>
          <w:p w14:paraId="04F3149F"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.558</w:t>
            </w:r>
          </w:p>
        </w:tc>
        <w:tc>
          <w:tcPr>
            <w:tcW w:w="794" w:type="dxa"/>
            <w:tcBorders>
              <w:top w:val="single" w:sz="4" w:space="0" w:color="auto"/>
              <w:left w:val="nil"/>
              <w:bottom w:val="nil"/>
              <w:right w:val="nil"/>
            </w:tcBorders>
            <w:noWrap/>
            <w:vAlign w:val="bottom"/>
            <w:hideMark/>
          </w:tcPr>
          <w:p w14:paraId="7C6AC7DD"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-0.725</w:t>
            </w:r>
          </w:p>
        </w:tc>
        <w:tc>
          <w:tcPr>
            <w:tcW w:w="794" w:type="dxa"/>
            <w:tcBorders>
              <w:top w:val="single" w:sz="4" w:space="0" w:color="auto"/>
              <w:left w:val="nil"/>
              <w:bottom w:val="nil"/>
              <w:right w:val="nil"/>
            </w:tcBorders>
            <w:noWrap/>
            <w:vAlign w:val="bottom"/>
            <w:hideMark/>
          </w:tcPr>
          <w:p w14:paraId="27825AA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.468</w:t>
            </w:r>
          </w:p>
        </w:tc>
      </w:tr>
      <w:tr w:rsidR="002D79F3" w:rsidRPr="002D79F3" w14:paraId="05E3303A" w14:textId="77777777" w:rsidTr="004F1030">
        <w:trPr>
          <w:trHeight w:val="340"/>
        </w:trPr>
        <w:tc>
          <w:tcPr>
            <w:tcW w:w="2409" w:type="dxa"/>
            <w:tcBorders>
              <w:top w:val="nil"/>
              <w:left w:val="nil"/>
              <w:bottom w:val="nil"/>
              <w:right w:val="nil"/>
            </w:tcBorders>
            <w:noWrap/>
            <w:vAlign w:val="bottom"/>
            <w:hideMark/>
          </w:tcPr>
          <w:p w14:paraId="7DEAA289"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Headache</w:t>
            </w:r>
          </w:p>
        </w:tc>
        <w:tc>
          <w:tcPr>
            <w:tcW w:w="794" w:type="dxa"/>
            <w:tcBorders>
              <w:top w:val="nil"/>
              <w:left w:val="nil"/>
              <w:bottom w:val="nil"/>
              <w:right w:val="nil"/>
            </w:tcBorders>
            <w:noWrap/>
            <w:vAlign w:val="bottom"/>
            <w:hideMark/>
          </w:tcPr>
          <w:p w14:paraId="2D6A54C9"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-0.526</w:t>
            </w:r>
          </w:p>
        </w:tc>
        <w:tc>
          <w:tcPr>
            <w:tcW w:w="794" w:type="dxa"/>
            <w:tcBorders>
              <w:top w:val="nil"/>
              <w:left w:val="nil"/>
              <w:bottom w:val="nil"/>
              <w:right w:val="nil"/>
            </w:tcBorders>
            <w:noWrap/>
            <w:vAlign w:val="bottom"/>
            <w:hideMark/>
          </w:tcPr>
          <w:p w14:paraId="634375F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.599</w:t>
            </w:r>
          </w:p>
        </w:tc>
        <w:tc>
          <w:tcPr>
            <w:tcW w:w="794" w:type="dxa"/>
            <w:tcBorders>
              <w:top w:val="nil"/>
              <w:left w:val="nil"/>
              <w:bottom w:val="nil"/>
              <w:right w:val="nil"/>
            </w:tcBorders>
            <w:noWrap/>
            <w:vAlign w:val="bottom"/>
            <w:hideMark/>
          </w:tcPr>
          <w:p w14:paraId="2E11617E"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-1.414</w:t>
            </w:r>
          </w:p>
        </w:tc>
        <w:tc>
          <w:tcPr>
            <w:tcW w:w="794" w:type="dxa"/>
            <w:tcBorders>
              <w:top w:val="nil"/>
              <w:left w:val="nil"/>
              <w:bottom w:val="nil"/>
              <w:right w:val="nil"/>
            </w:tcBorders>
            <w:noWrap/>
            <w:vAlign w:val="bottom"/>
            <w:hideMark/>
          </w:tcPr>
          <w:p w14:paraId="6BD5F3AA"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.157</w:t>
            </w:r>
          </w:p>
        </w:tc>
        <w:tc>
          <w:tcPr>
            <w:tcW w:w="794" w:type="dxa"/>
            <w:tcBorders>
              <w:top w:val="nil"/>
              <w:left w:val="nil"/>
              <w:bottom w:val="nil"/>
              <w:right w:val="nil"/>
            </w:tcBorders>
            <w:noWrap/>
            <w:vAlign w:val="bottom"/>
            <w:hideMark/>
          </w:tcPr>
          <w:p w14:paraId="09F1B93F"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-0.368</w:t>
            </w:r>
          </w:p>
        </w:tc>
        <w:tc>
          <w:tcPr>
            <w:tcW w:w="794" w:type="dxa"/>
            <w:tcBorders>
              <w:top w:val="nil"/>
              <w:left w:val="nil"/>
              <w:bottom w:val="nil"/>
              <w:right w:val="nil"/>
            </w:tcBorders>
            <w:noWrap/>
            <w:vAlign w:val="bottom"/>
            <w:hideMark/>
          </w:tcPr>
          <w:p w14:paraId="195C5C5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.713</w:t>
            </w:r>
          </w:p>
        </w:tc>
        <w:tc>
          <w:tcPr>
            <w:tcW w:w="794" w:type="dxa"/>
            <w:tcBorders>
              <w:top w:val="nil"/>
              <w:left w:val="nil"/>
              <w:bottom w:val="nil"/>
              <w:right w:val="nil"/>
            </w:tcBorders>
            <w:noWrap/>
            <w:vAlign w:val="bottom"/>
            <w:hideMark/>
          </w:tcPr>
          <w:p w14:paraId="0750114A"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-0.707</w:t>
            </w:r>
          </w:p>
        </w:tc>
        <w:tc>
          <w:tcPr>
            <w:tcW w:w="794" w:type="dxa"/>
            <w:tcBorders>
              <w:top w:val="nil"/>
              <w:left w:val="nil"/>
              <w:bottom w:val="nil"/>
              <w:right w:val="nil"/>
            </w:tcBorders>
            <w:noWrap/>
            <w:vAlign w:val="bottom"/>
            <w:hideMark/>
          </w:tcPr>
          <w:p w14:paraId="25B3EB86"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.480</w:t>
            </w:r>
          </w:p>
        </w:tc>
        <w:tc>
          <w:tcPr>
            <w:tcW w:w="794" w:type="dxa"/>
            <w:tcBorders>
              <w:top w:val="nil"/>
              <w:left w:val="nil"/>
              <w:bottom w:val="nil"/>
              <w:right w:val="nil"/>
            </w:tcBorders>
            <w:noWrap/>
            <w:vAlign w:val="bottom"/>
            <w:hideMark/>
          </w:tcPr>
          <w:p w14:paraId="025F2A88"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-0.756</w:t>
            </w:r>
          </w:p>
        </w:tc>
        <w:tc>
          <w:tcPr>
            <w:tcW w:w="794" w:type="dxa"/>
            <w:tcBorders>
              <w:top w:val="nil"/>
              <w:left w:val="nil"/>
              <w:bottom w:val="nil"/>
              <w:right w:val="nil"/>
            </w:tcBorders>
            <w:noWrap/>
            <w:vAlign w:val="bottom"/>
            <w:hideMark/>
          </w:tcPr>
          <w:p w14:paraId="17EF5563"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.450</w:t>
            </w:r>
          </w:p>
        </w:tc>
        <w:tc>
          <w:tcPr>
            <w:tcW w:w="794" w:type="dxa"/>
            <w:tcBorders>
              <w:top w:val="nil"/>
              <w:left w:val="nil"/>
              <w:bottom w:val="nil"/>
              <w:right w:val="nil"/>
            </w:tcBorders>
            <w:noWrap/>
            <w:vAlign w:val="bottom"/>
            <w:hideMark/>
          </w:tcPr>
          <w:p w14:paraId="53AB705D"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-0.587</w:t>
            </w:r>
          </w:p>
        </w:tc>
        <w:tc>
          <w:tcPr>
            <w:tcW w:w="794" w:type="dxa"/>
            <w:tcBorders>
              <w:top w:val="nil"/>
              <w:left w:val="nil"/>
              <w:bottom w:val="nil"/>
              <w:right w:val="nil"/>
            </w:tcBorders>
            <w:noWrap/>
            <w:vAlign w:val="bottom"/>
            <w:hideMark/>
          </w:tcPr>
          <w:p w14:paraId="73026F82"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.557</w:t>
            </w:r>
          </w:p>
        </w:tc>
        <w:tc>
          <w:tcPr>
            <w:tcW w:w="794" w:type="dxa"/>
            <w:tcBorders>
              <w:top w:val="nil"/>
              <w:left w:val="nil"/>
              <w:bottom w:val="nil"/>
              <w:right w:val="nil"/>
            </w:tcBorders>
            <w:noWrap/>
            <w:vAlign w:val="bottom"/>
            <w:hideMark/>
          </w:tcPr>
          <w:p w14:paraId="3F7CB24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nil"/>
              <w:right w:val="nil"/>
            </w:tcBorders>
            <w:noWrap/>
            <w:vAlign w:val="bottom"/>
            <w:hideMark/>
          </w:tcPr>
          <w:p w14:paraId="2DCF5456"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r>
      <w:tr w:rsidR="002D79F3" w:rsidRPr="002D79F3" w14:paraId="0F7CE16F" w14:textId="77777777" w:rsidTr="004F1030">
        <w:trPr>
          <w:trHeight w:val="340"/>
        </w:trPr>
        <w:tc>
          <w:tcPr>
            <w:tcW w:w="2409" w:type="dxa"/>
            <w:tcBorders>
              <w:top w:val="nil"/>
              <w:left w:val="nil"/>
              <w:bottom w:val="nil"/>
              <w:right w:val="nil"/>
            </w:tcBorders>
            <w:noWrap/>
            <w:vAlign w:val="bottom"/>
            <w:hideMark/>
          </w:tcPr>
          <w:p w14:paraId="77BDD165"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Watery eyes</w:t>
            </w:r>
          </w:p>
        </w:tc>
        <w:tc>
          <w:tcPr>
            <w:tcW w:w="794" w:type="dxa"/>
            <w:tcBorders>
              <w:top w:val="nil"/>
              <w:left w:val="nil"/>
              <w:bottom w:val="nil"/>
              <w:right w:val="nil"/>
            </w:tcBorders>
            <w:noWrap/>
            <w:vAlign w:val="bottom"/>
            <w:hideMark/>
          </w:tcPr>
          <w:p w14:paraId="481715F6"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-1.328</w:t>
            </w:r>
          </w:p>
        </w:tc>
        <w:tc>
          <w:tcPr>
            <w:tcW w:w="794" w:type="dxa"/>
            <w:tcBorders>
              <w:top w:val="nil"/>
              <w:left w:val="nil"/>
              <w:bottom w:val="nil"/>
              <w:right w:val="nil"/>
            </w:tcBorders>
            <w:noWrap/>
            <w:vAlign w:val="bottom"/>
            <w:hideMark/>
          </w:tcPr>
          <w:p w14:paraId="38B26B63"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.167</w:t>
            </w:r>
          </w:p>
        </w:tc>
        <w:tc>
          <w:tcPr>
            <w:tcW w:w="794" w:type="dxa"/>
            <w:tcBorders>
              <w:top w:val="nil"/>
              <w:left w:val="nil"/>
              <w:bottom w:val="nil"/>
              <w:right w:val="nil"/>
            </w:tcBorders>
            <w:noWrap/>
            <w:vAlign w:val="bottom"/>
            <w:hideMark/>
          </w:tcPr>
          <w:p w14:paraId="2FCE99D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-0.378</w:t>
            </w:r>
          </w:p>
        </w:tc>
        <w:tc>
          <w:tcPr>
            <w:tcW w:w="794" w:type="dxa"/>
            <w:tcBorders>
              <w:top w:val="nil"/>
              <w:left w:val="nil"/>
              <w:bottom w:val="nil"/>
              <w:right w:val="nil"/>
            </w:tcBorders>
            <w:noWrap/>
            <w:vAlign w:val="bottom"/>
            <w:hideMark/>
          </w:tcPr>
          <w:p w14:paraId="23EFD380"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.705</w:t>
            </w:r>
          </w:p>
        </w:tc>
        <w:tc>
          <w:tcPr>
            <w:tcW w:w="794" w:type="dxa"/>
            <w:tcBorders>
              <w:top w:val="nil"/>
              <w:left w:val="nil"/>
              <w:bottom w:val="nil"/>
              <w:right w:val="nil"/>
            </w:tcBorders>
            <w:noWrap/>
            <w:vAlign w:val="bottom"/>
            <w:hideMark/>
          </w:tcPr>
          <w:p w14:paraId="4291908B"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-0.090</w:t>
            </w:r>
          </w:p>
        </w:tc>
        <w:tc>
          <w:tcPr>
            <w:tcW w:w="794" w:type="dxa"/>
            <w:tcBorders>
              <w:top w:val="nil"/>
              <w:left w:val="nil"/>
              <w:bottom w:val="nil"/>
              <w:right w:val="nil"/>
            </w:tcBorders>
            <w:noWrap/>
            <w:vAlign w:val="bottom"/>
            <w:hideMark/>
          </w:tcPr>
          <w:p w14:paraId="6563036E"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.928</w:t>
            </w:r>
          </w:p>
        </w:tc>
        <w:tc>
          <w:tcPr>
            <w:tcW w:w="794" w:type="dxa"/>
            <w:tcBorders>
              <w:top w:val="nil"/>
              <w:left w:val="nil"/>
              <w:bottom w:val="nil"/>
              <w:right w:val="nil"/>
            </w:tcBorders>
            <w:noWrap/>
            <w:vAlign w:val="bottom"/>
            <w:hideMark/>
          </w:tcPr>
          <w:p w14:paraId="2287721F"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-1.324</w:t>
            </w:r>
          </w:p>
        </w:tc>
        <w:tc>
          <w:tcPr>
            <w:tcW w:w="794" w:type="dxa"/>
            <w:tcBorders>
              <w:top w:val="nil"/>
              <w:left w:val="nil"/>
              <w:bottom w:val="nil"/>
              <w:right w:val="nil"/>
            </w:tcBorders>
            <w:noWrap/>
            <w:vAlign w:val="bottom"/>
            <w:hideMark/>
          </w:tcPr>
          <w:p w14:paraId="4131DCF6"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.180</w:t>
            </w:r>
          </w:p>
        </w:tc>
        <w:tc>
          <w:tcPr>
            <w:tcW w:w="794" w:type="dxa"/>
            <w:tcBorders>
              <w:top w:val="nil"/>
              <w:left w:val="nil"/>
              <w:bottom w:val="nil"/>
              <w:right w:val="nil"/>
            </w:tcBorders>
            <w:noWrap/>
            <w:vAlign w:val="bottom"/>
            <w:hideMark/>
          </w:tcPr>
          <w:p w14:paraId="30F6B11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-0.333</w:t>
            </w:r>
          </w:p>
        </w:tc>
        <w:tc>
          <w:tcPr>
            <w:tcW w:w="794" w:type="dxa"/>
            <w:tcBorders>
              <w:top w:val="nil"/>
              <w:left w:val="nil"/>
              <w:bottom w:val="nil"/>
              <w:right w:val="nil"/>
            </w:tcBorders>
            <w:noWrap/>
            <w:vAlign w:val="bottom"/>
            <w:hideMark/>
          </w:tcPr>
          <w:p w14:paraId="02F3C201"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.739</w:t>
            </w:r>
          </w:p>
        </w:tc>
        <w:tc>
          <w:tcPr>
            <w:tcW w:w="794" w:type="dxa"/>
            <w:tcBorders>
              <w:top w:val="nil"/>
              <w:left w:val="nil"/>
              <w:bottom w:val="nil"/>
              <w:right w:val="nil"/>
            </w:tcBorders>
            <w:noWrap/>
            <w:vAlign w:val="bottom"/>
            <w:hideMark/>
          </w:tcPr>
          <w:p w14:paraId="5C66584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-0.712</w:t>
            </w:r>
          </w:p>
        </w:tc>
        <w:tc>
          <w:tcPr>
            <w:tcW w:w="794" w:type="dxa"/>
            <w:tcBorders>
              <w:top w:val="nil"/>
              <w:left w:val="nil"/>
              <w:bottom w:val="nil"/>
              <w:right w:val="nil"/>
            </w:tcBorders>
            <w:noWrap/>
            <w:vAlign w:val="bottom"/>
            <w:hideMark/>
          </w:tcPr>
          <w:p w14:paraId="5D54C926"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.476</w:t>
            </w:r>
          </w:p>
        </w:tc>
        <w:tc>
          <w:tcPr>
            <w:tcW w:w="794" w:type="dxa"/>
            <w:tcBorders>
              <w:top w:val="nil"/>
              <w:left w:val="nil"/>
              <w:bottom w:val="nil"/>
              <w:right w:val="nil"/>
            </w:tcBorders>
            <w:noWrap/>
            <w:vAlign w:val="bottom"/>
            <w:hideMark/>
          </w:tcPr>
          <w:p w14:paraId="18B59A3D"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-0.137</w:t>
            </w:r>
          </w:p>
        </w:tc>
        <w:tc>
          <w:tcPr>
            <w:tcW w:w="794" w:type="dxa"/>
            <w:tcBorders>
              <w:top w:val="nil"/>
              <w:left w:val="nil"/>
              <w:bottom w:val="nil"/>
              <w:right w:val="nil"/>
            </w:tcBorders>
            <w:noWrap/>
            <w:vAlign w:val="bottom"/>
            <w:hideMark/>
          </w:tcPr>
          <w:p w14:paraId="09EACB10"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.891</w:t>
            </w:r>
          </w:p>
        </w:tc>
      </w:tr>
      <w:tr w:rsidR="002D79F3" w:rsidRPr="002D79F3" w14:paraId="7FC10C49" w14:textId="77777777" w:rsidTr="004F1030">
        <w:trPr>
          <w:trHeight w:val="340"/>
        </w:trPr>
        <w:tc>
          <w:tcPr>
            <w:tcW w:w="2409" w:type="dxa"/>
            <w:tcBorders>
              <w:top w:val="nil"/>
              <w:left w:val="nil"/>
              <w:bottom w:val="nil"/>
              <w:right w:val="nil"/>
            </w:tcBorders>
            <w:noWrap/>
            <w:vAlign w:val="bottom"/>
            <w:hideMark/>
          </w:tcPr>
          <w:p w14:paraId="44E110C7"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Itchy eyes</w:t>
            </w:r>
          </w:p>
        </w:tc>
        <w:tc>
          <w:tcPr>
            <w:tcW w:w="794" w:type="dxa"/>
            <w:tcBorders>
              <w:top w:val="nil"/>
              <w:left w:val="nil"/>
              <w:bottom w:val="nil"/>
              <w:right w:val="nil"/>
            </w:tcBorders>
            <w:noWrap/>
            <w:vAlign w:val="bottom"/>
            <w:hideMark/>
          </w:tcPr>
          <w:p w14:paraId="094D77A4"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-1.414</w:t>
            </w:r>
          </w:p>
        </w:tc>
        <w:tc>
          <w:tcPr>
            <w:tcW w:w="794" w:type="dxa"/>
            <w:tcBorders>
              <w:top w:val="nil"/>
              <w:left w:val="nil"/>
              <w:bottom w:val="nil"/>
              <w:right w:val="nil"/>
            </w:tcBorders>
            <w:noWrap/>
            <w:vAlign w:val="bottom"/>
            <w:hideMark/>
          </w:tcPr>
          <w:p w14:paraId="7BF37DC8"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.157</w:t>
            </w:r>
          </w:p>
        </w:tc>
        <w:tc>
          <w:tcPr>
            <w:tcW w:w="794" w:type="dxa"/>
            <w:tcBorders>
              <w:top w:val="nil"/>
              <w:left w:val="nil"/>
              <w:bottom w:val="nil"/>
              <w:right w:val="nil"/>
            </w:tcBorders>
            <w:noWrap/>
            <w:vAlign w:val="bottom"/>
            <w:hideMark/>
          </w:tcPr>
          <w:p w14:paraId="472D4C21"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nil"/>
              <w:right w:val="nil"/>
            </w:tcBorders>
            <w:noWrap/>
            <w:vAlign w:val="bottom"/>
            <w:hideMark/>
          </w:tcPr>
          <w:p w14:paraId="2FCE6C2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c>
          <w:tcPr>
            <w:tcW w:w="794" w:type="dxa"/>
            <w:tcBorders>
              <w:top w:val="nil"/>
              <w:left w:val="nil"/>
              <w:bottom w:val="nil"/>
              <w:right w:val="nil"/>
            </w:tcBorders>
            <w:noWrap/>
            <w:vAlign w:val="bottom"/>
            <w:hideMark/>
          </w:tcPr>
          <w:p w14:paraId="1D18BA30"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-1.236</w:t>
            </w:r>
          </w:p>
        </w:tc>
        <w:tc>
          <w:tcPr>
            <w:tcW w:w="794" w:type="dxa"/>
            <w:tcBorders>
              <w:top w:val="nil"/>
              <w:left w:val="nil"/>
              <w:bottom w:val="nil"/>
              <w:right w:val="nil"/>
            </w:tcBorders>
            <w:noWrap/>
            <w:vAlign w:val="bottom"/>
            <w:hideMark/>
          </w:tcPr>
          <w:p w14:paraId="58AB93FC"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.216</w:t>
            </w:r>
          </w:p>
        </w:tc>
        <w:tc>
          <w:tcPr>
            <w:tcW w:w="794" w:type="dxa"/>
            <w:tcBorders>
              <w:top w:val="nil"/>
              <w:left w:val="nil"/>
              <w:bottom w:val="nil"/>
              <w:right w:val="nil"/>
            </w:tcBorders>
            <w:noWrap/>
            <w:vAlign w:val="bottom"/>
            <w:hideMark/>
          </w:tcPr>
          <w:p w14:paraId="49590E80"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nil"/>
              <w:right w:val="nil"/>
            </w:tcBorders>
            <w:noWrap/>
            <w:vAlign w:val="bottom"/>
            <w:hideMark/>
          </w:tcPr>
          <w:p w14:paraId="788E2A2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c>
          <w:tcPr>
            <w:tcW w:w="794" w:type="dxa"/>
            <w:tcBorders>
              <w:top w:val="nil"/>
              <w:left w:val="nil"/>
              <w:bottom w:val="nil"/>
              <w:right w:val="nil"/>
            </w:tcBorders>
            <w:noWrap/>
            <w:vAlign w:val="bottom"/>
            <w:hideMark/>
          </w:tcPr>
          <w:p w14:paraId="00F4ECD9"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-1.414</w:t>
            </w:r>
          </w:p>
        </w:tc>
        <w:tc>
          <w:tcPr>
            <w:tcW w:w="794" w:type="dxa"/>
            <w:tcBorders>
              <w:top w:val="nil"/>
              <w:left w:val="nil"/>
              <w:bottom w:val="nil"/>
              <w:right w:val="nil"/>
            </w:tcBorders>
            <w:noWrap/>
            <w:vAlign w:val="bottom"/>
            <w:hideMark/>
          </w:tcPr>
          <w:p w14:paraId="4F2EF4E8"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.157</w:t>
            </w:r>
          </w:p>
        </w:tc>
        <w:tc>
          <w:tcPr>
            <w:tcW w:w="794" w:type="dxa"/>
            <w:tcBorders>
              <w:top w:val="nil"/>
              <w:left w:val="nil"/>
              <w:bottom w:val="nil"/>
              <w:right w:val="nil"/>
            </w:tcBorders>
            <w:noWrap/>
            <w:vAlign w:val="bottom"/>
            <w:hideMark/>
          </w:tcPr>
          <w:p w14:paraId="57764B56"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-0.730</w:t>
            </w:r>
          </w:p>
        </w:tc>
        <w:tc>
          <w:tcPr>
            <w:tcW w:w="794" w:type="dxa"/>
            <w:tcBorders>
              <w:top w:val="nil"/>
              <w:left w:val="nil"/>
              <w:bottom w:val="nil"/>
              <w:right w:val="nil"/>
            </w:tcBorders>
            <w:noWrap/>
            <w:vAlign w:val="bottom"/>
            <w:hideMark/>
          </w:tcPr>
          <w:p w14:paraId="70350C7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.465</w:t>
            </w:r>
          </w:p>
        </w:tc>
        <w:tc>
          <w:tcPr>
            <w:tcW w:w="794" w:type="dxa"/>
            <w:tcBorders>
              <w:top w:val="nil"/>
              <w:left w:val="nil"/>
              <w:bottom w:val="nil"/>
              <w:right w:val="nil"/>
            </w:tcBorders>
            <w:noWrap/>
            <w:vAlign w:val="bottom"/>
            <w:hideMark/>
          </w:tcPr>
          <w:p w14:paraId="3E2D06FB"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-0.707</w:t>
            </w:r>
          </w:p>
        </w:tc>
        <w:tc>
          <w:tcPr>
            <w:tcW w:w="794" w:type="dxa"/>
            <w:tcBorders>
              <w:top w:val="nil"/>
              <w:left w:val="nil"/>
              <w:bottom w:val="nil"/>
              <w:right w:val="nil"/>
            </w:tcBorders>
            <w:noWrap/>
            <w:vAlign w:val="bottom"/>
            <w:hideMark/>
          </w:tcPr>
          <w:p w14:paraId="6071907E"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.480</w:t>
            </w:r>
          </w:p>
        </w:tc>
      </w:tr>
      <w:tr w:rsidR="002D79F3" w:rsidRPr="002D79F3" w14:paraId="003754ED" w14:textId="77777777" w:rsidTr="004F1030">
        <w:trPr>
          <w:trHeight w:val="340"/>
        </w:trPr>
        <w:tc>
          <w:tcPr>
            <w:tcW w:w="2409" w:type="dxa"/>
            <w:tcBorders>
              <w:top w:val="nil"/>
              <w:left w:val="nil"/>
              <w:bottom w:val="nil"/>
              <w:right w:val="nil"/>
            </w:tcBorders>
            <w:noWrap/>
            <w:vAlign w:val="bottom"/>
            <w:hideMark/>
          </w:tcPr>
          <w:p w14:paraId="2C01368B"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Stinging eyes</w:t>
            </w:r>
          </w:p>
        </w:tc>
        <w:tc>
          <w:tcPr>
            <w:tcW w:w="794" w:type="dxa"/>
            <w:tcBorders>
              <w:top w:val="nil"/>
              <w:left w:val="nil"/>
              <w:bottom w:val="nil"/>
              <w:right w:val="nil"/>
            </w:tcBorders>
            <w:noWrap/>
            <w:vAlign w:val="bottom"/>
            <w:hideMark/>
          </w:tcPr>
          <w:p w14:paraId="45964D3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-0.756</w:t>
            </w:r>
          </w:p>
        </w:tc>
        <w:tc>
          <w:tcPr>
            <w:tcW w:w="794" w:type="dxa"/>
            <w:tcBorders>
              <w:top w:val="nil"/>
              <w:left w:val="nil"/>
              <w:bottom w:val="nil"/>
              <w:right w:val="nil"/>
            </w:tcBorders>
            <w:noWrap/>
            <w:vAlign w:val="bottom"/>
            <w:hideMark/>
          </w:tcPr>
          <w:p w14:paraId="321DCF5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.450</w:t>
            </w:r>
          </w:p>
        </w:tc>
        <w:tc>
          <w:tcPr>
            <w:tcW w:w="794" w:type="dxa"/>
            <w:tcBorders>
              <w:top w:val="nil"/>
              <w:left w:val="nil"/>
              <w:bottom w:val="nil"/>
              <w:right w:val="nil"/>
            </w:tcBorders>
            <w:noWrap/>
            <w:vAlign w:val="bottom"/>
            <w:hideMark/>
          </w:tcPr>
          <w:p w14:paraId="3CA8F116"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-1.134</w:t>
            </w:r>
          </w:p>
        </w:tc>
        <w:tc>
          <w:tcPr>
            <w:tcW w:w="794" w:type="dxa"/>
            <w:tcBorders>
              <w:top w:val="nil"/>
              <w:left w:val="nil"/>
              <w:bottom w:val="nil"/>
              <w:right w:val="nil"/>
            </w:tcBorders>
            <w:noWrap/>
            <w:vAlign w:val="bottom"/>
            <w:hideMark/>
          </w:tcPr>
          <w:p w14:paraId="3835ABB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.257</w:t>
            </w:r>
          </w:p>
        </w:tc>
        <w:tc>
          <w:tcPr>
            <w:tcW w:w="794" w:type="dxa"/>
            <w:tcBorders>
              <w:top w:val="nil"/>
              <w:left w:val="nil"/>
              <w:bottom w:val="nil"/>
              <w:right w:val="nil"/>
            </w:tcBorders>
            <w:noWrap/>
            <w:vAlign w:val="bottom"/>
            <w:hideMark/>
          </w:tcPr>
          <w:p w14:paraId="7E095355"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-2.000</w:t>
            </w:r>
          </w:p>
        </w:tc>
        <w:tc>
          <w:tcPr>
            <w:tcW w:w="794" w:type="dxa"/>
            <w:tcBorders>
              <w:top w:val="nil"/>
              <w:left w:val="nil"/>
              <w:bottom w:val="nil"/>
              <w:right w:val="nil"/>
            </w:tcBorders>
            <w:noWrap/>
            <w:vAlign w:val="bottom"/>
            <w:hideMark/>
          </w:tcPr>
          <w:p w14:paraId="46CEEB80"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.046</w:t>
            </w:r>
          </w:p>
        </w:tc>
        <w:tc>
          <w:tcPr>
            <w:tcW w:w="794" w:type="dxa"/>
            <w:tcBorders>
              <w:top w:val="nil"/>
              <w:left w:val="nil"/>
              <w:bottom w:val="nil"/>
              <w:right w:val="nil"/>
            </w:tcBorders>
            <w:noWrap/>
            <w:vAlign w:val="bottom"/>
            <w:hideMark/>
          </w:tcPr>
          <w:p w14:paraId="0B2D5E80"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-0.216</w:t>
            </w:r>
          </w:p>
        </w:tc>
        <w:tc>
          <w:tcPr>
            <w:tcW w:w="794" w:type="dxa"/>
            <w:tcBorders>
              <w:top w:val="nil"/>
              <w:left w:val="nil"/>
              <w:bottom w:val="nil"/>
              <w:right w:val="nil"/>
            </w:tcBorders>
            <w:noWrap/>
            <w:vAlign w:val="bottom"/>
            <w:hideMark/>
          </w:tcPr>
          <w:p w14:paraId="668F1589"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.829</w:t>
            </w:r>
          </w:p>
        </w:tc>
        <w:tc>
          <w:tcPr>
            <w:tcW w:w="794" w:type="dxa"/>
            <w:tcBorders>
              <w:top w:val="nil"/>
              <w:left w:val="nil"/>
              <w:bottom w:val="nil"/>
              <w:right w:val="nil"/>
            </w:tcBorders>
            <w:noWrap/>
            <w:vAlign w:val="bottom"/>
            <w:hideMark/>
          </w:tcPr>
          <w:p w14:paraId="1A3A1C16"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-1.236</w:t>
            </w:r>
          </w:p>
        </w:tc>
        <w:tc>
          <w:tcPr>
            <w:tcW w:w="794" w:type="dxa"/>
            <w:tcBorders>
              <w:top w:val="nil"/>
              <w:left w:val="nil"/>
              <w:bottom w:val="nil"/>
              <w:right w:val="nil"/>
            </w:tcBorders>
            <w:noWrap/>
            <w:vAlign w:val="bottom"/>
            <w:hideMark/>
          </w:tcPr>
          <w:p w14:paraId="42544060"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.216</w:t>
            </w:r>
          </w:p>
        </w:tc>
        <w:tc>
          <w:tcPr>
            <w:tcW w:w="794" w:type="dxa"/>
            <w:tcBorders>
              <w:top w:val="nil"/>
              <w:left w:val="nil"/>
              <w:bottom w:val="nil"/>
              <w:right w:val="nil"/>
            </w:tcBorders>
            <w:noWrap/>
            <w:vAlign w:val="bottom"/>
            <w:hideMark/>
          </w:tcPr>
          <w:p w14:paraId="3536682F"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-0.121</w:t>
            </w:r>
          </w:p>
        </w:tc>
        <w:tc>
          <w:tcPr>
            <w:tcW w:w="794" w:type="dxa"/>
            <w:tcBorders>
              <w:top w:val="nil"/>
              <w:left w:val="nil"/>
              <w:bottom w:val="nil"/>
              <w:right w:val="nil"/>
            </w:tcBorders>
            <w:noWrap/>
            <w:vAlign w:val="bottom"/>
            <w:hideMark/>
          </w:tcPr>
          <w:p w14:paraId="0347AD9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.904</w:t>
            </w:r>
          </w:p>
        </w:tc>
        <w:tc>
          <w:tcPr>
            <w:tcW w:w="794" w:type="dxa"/>
            <w:tcBorders>
              <w:top w:val="nil"/>
              <w:left w:val="nil"/>
              <w:bottom w:val="nil"/>
              <w:right w:val="nil"/>
            </w:tcBorders>
            <w:noWrap/>
            <w:vAlign w:val="bottom"/>
            <w:hideMark/>
          </w:tcPr>
          <w:p w14:paraId="6FDB3D83"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-2.000</w:t>
            </w:r>
          </w:p>
        </w:tc>
        <w:tc>
          <w:tcPr>
            <w:tcW w:w="794" w:type="dxa"/>
            <w:tcBorders>
              <w:top w:val="nil"/>
              <w:left w:val="nil"/>
              <w:bottom w:val="nil"/>
              <w:right w:val="nil"/>
            </w:tcBorders>
            <w:noWrap/>
            <w:vAlign w:val="bottom"/>
            <w:hideMark/>
          </w:tcPr>
          <w:p w14:paraId="48D3CB9E"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.046</w:t>
            </w:r>
          </w:p>
        </w:tc>
      </w:tr>
      <w:tr w:rsidR="002D79F3" w:rsidRPr="002D79F3" w14:paraId="48FCBD58" w14:textId="77777777" w:rsidTr="004F1030">
        <w:trPr>
          <w:trHeight w:val="340"/>
        </w:trPr>
        <w:tc>
          <w:tcPr>
            <w:tcW w:w="2409" w:type="dxa"/>
            <w:tcBorders>
              <w:top w:val="nil"/>
              <w:left w:val="nil"/>
              <w:bottom w:val="nil"/>
              <w:right w:val="nil"/>
            </w:tcBorders>
            <w:noWrap/>
            <w:vAlign w:val="bottom"/>
            <w:hideMark/>
          </w:tcPr>
          <w:p w14:paraId="65C1CA7B"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Blurred vision</w:t>
            </w:r>
          </w:p>
        </w:tc>
        <w:tc>
          <w:tcPr>
            <w:tcW w:w="794" w:type="dxa"/>
            <w:tcBorders>
              <w:top w:val="nil"/>
              <w:left w:val="nil"/>
              <w:bottom w:val="nil"/>
              <w:right w:val="nil"/>
            </w:tcBorders>
            <w:noWrap/>
            <w:vAlign w:val="bottom"/>
            <w:hideMark/>
          </w:tcPr>
          <w:p w14:paraId="5681CE57"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-1.754</w:t>
            </w:r>
          </w:p>
        </w:tc>
        <w:tc>
          <w:tcPr>
            <w:tcW w:w="794" w:type="dxa"/>
            <w:tcBorders>
              <w:top w:val="nil"/>
              <w:left w:val="nil"/>
              <w:bottom w:val="nil"/>
              <w:right w:val="nil"/>
            </w:tcBorders>
            <w:noWrap/>
            <w:vAlign w:val="bottom"/>
            <w:hideMark/>
          </w:tcPr>
          <w:p w14:paraId="4CD5B8EB"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.079</w:t>
            </w:r>
          </w:p>
        </w:tc>
        <w:tc>
          <w:tcPr>
            <w:tcW w:w="794" w:type="dxa"/>
            <w:tcBorders>
              <w:top w:val="nil"/>
              <w:left w:val="nil"/>
              <w:bottom w:val="nil"/>
              <w:right w:val="nil"/>
            </w:tcBorders>
            <w:noWrap/>
            <w:vAlign w:val="bottom"/>
            <w:hideMark/>
          </w:tcPr>
          <w:p w14:paraId="3E23FCFE"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-0.061</w:t>
            </w:r>
          </w:p>
        </w:tc>
        <w:tc>
          <w:tcPr>
            <w:tcW w:w="794" w:type="dxa"/>
            <w:tcBorders>
              <w:top w:val="nil"/>
              <w:left w:val="nil"/>
              <w:bottom w:val="nil"/>
              <w:right w:val="nil"/>
            </w:tcBorders>
            <w:noWrap/>
            <w:vAlign w:val="bottom"/>
            <w:hideMark/>
          </w:tcPr>
          <w:p w14:paraId="05AD6C2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.951</w:t>
            </w:r>
          </w:p>
        </w:tc>
        <w:tc>
          <w:tcPr>
            <w:tcW w:w="794" w:type="dxa"/>
            <w:tcBorders>
              <w:top w:val="nil"/>
              <w:left w:val="nil"/>
              <w:bottom w:val="nil"/>
              <w:right w:val="nil"/>
            </w:tcBorders>
            <w:noWrap/>
            <w:vAlign w:val="bottom"/>
            <w:hideMark/>
          </w:tcPr>
          <w:p w14:paraId="691AB968"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-1.754</w:t>
            </w:r>
          </w:p>
        </w:tc>
        <w:tc>
          <w:tcPr>
            <w:tcW w:w="794" w:type="dxa"/>
            <w:tcBorders>
              <w:top w:val="nil"/>
              <w:left w:val="nil"/>
              <w:bottom w:val="nil"/>
              <w:right w:val="nil"/>
            </w:tcBorders>
            <w:noWrap/>
            <w:vAlign w:val="bottom"/>
            <w:hideMark/>
          </w:tcPr>
          <w:p w14:paraId="4147AF2F"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.079</w:t>
            </w:r>
          </w:p>
        </w:tc>
        <w:tc>
          <w:tcPr>
            <w:tcW w:w="794" w:type="dxa"/>
            <w:tcBorders>
              <w:top w:val="nil"/>
              <w:left w:val="nil"/>
              <w:bottom w:val="nil"/>
              <w:right w:val="nil"/>
            </w:tcBorders>
            <w:noWrap/>
            <w:vAlign w:val="bottom"/>
            <w:hideMark/>
          </w:tcPr>
          <w:p w14:paraId="7618873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-1.300</w:t>
            </w:r>
          </w:p>
        </w:tc>
        <w:tc>
          <w:tcPr>
            <w:tcW w:w="794" w:type="dxa"/>
            <w:tcBorders>
              <w:top w:val="nil"/>
              <w:left w:val="nil"/>
              <w:bottom w:val="nil"/>
              <w:right w:val="nil"/>
            </w:tcBorders>
            <w:noWrap/>
            <w:vAlign w:val="bottom"/>
            <w:hideMark/>
          </w:tcPr>
          <w:p w14:paraId="2607834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.194</w:t>
            </w:r>
          </w:p>
        </w:tc>
        <w:tc>
          <w:tcPr>
            <w:tcW w:w="794" w:type="dxa"/>
            <w:tcBorders>
              <w:top w:val="nil"/>
              <w:left w:val="nil"/>
              <w:bottom w:val="nil"/>
              <w:right w:val="nil"/>
            </w:tcBorders>
            <w:noWrap/>
            <w:vAlign w:val="bottom"/>
            <w:hideMark/>
          </w:tcPr>
          <w:p w14:paraId="0944D74D"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-0.750</w:t>
            </w:r>
          </w:p>
        </w:tc>
        <w:tc>
          <w:tcPr>
            <w:tcW w:w="794" w:type="dxa"/>
            <w:tcBorders>
              <w:top w:val="nil"/>
              <w:left w:val="nil"/>
              <w:bottom w:val="nil"/>
              <w:right w:val="nil"/>
            </w:tcBorders>
            <w:noWrap/>
            <w:vAlign w:val="bottom"/>
            <w:hideMark/>
          </w:tcPr>
          <w:p w14:paraId="31044C89"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.453</w:t>
            </w:r>
          </w:p>
        </w:tc>
        <w:tc>
          <w:tcPr>
            <w:tcW w:w="794" w:type="dxa"/>
            <w:tcBorders>
              <w:top w:val="nil"/>
              <w:left w:val="nil"/>
              <w:bottom w:val="nil"/>
              <w:right w:val="nil"/>
            </w:tcBorders>
            <w:noWrap/>
            <w:vAlign w:val="bottom"/>
            <w:hideMark/>
          </w:tcPr>
          <w:p w14:paraId="0CF8FA04"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-1.035</w:t>
            </w:r>
          </w:p>
        </w:tc>
        <w:tc>
          <w:tcPr>
            <w:tcW w:w="794" w:type="dxa"/>
            <w:tcBorders>
              <w:top w:val="nil"/>
              <w:left w:val="nil"/>
              <w:bottom w:val="nil"/>
              <w:right w:val="nil"/>
            </w:tcBorders>
            <w:noWrap/>
            <w:vAlign w:val="bottom"/>
            <w:hideMark/>
          </w:tcPr>
          <w:p w14:paraId="469C218D"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.301</w:t>
            </w:r>
          </w:p>
        </w:tc>
        <w:tc>
          <w:tcPr>
            <w:tcW w:w="794" w:type="dxa"/>
            <w:tcBorders>
              <w:top w:val="nil"/>
              <w:left w:val="nil"/>
              <w:bottom w:val="nil"/>
              <w:right w:val="nil"/>
            </w:tcBorders>
            <w:noWrap/>
            <w:vAlign w:val="bottom"/>
            <w:hideMark/>
          </w:tcPr>
          <w:p w14:paraId="6EBFFD9B"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nil"/>
              <w:right w:val="nil"/>
            </w:tcBorders>
            <w:noWrap/>
            <w:vAlign w:val="bottom"/>
            <w:hideMark/>
          </w:tcPr>
          <w:p w14:paraId="567105EA"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r>
      <w:tr w:rsidR="002D79F3" w:rsidRPr="002D79F3" w14:paraId="7D4381D9" w14:textId="77777777" w:rsidTr="004F1030">
        <w:trPr>
          <w:trHeight w:val="340"/>
        </w:trPr>
        <w:tc>
          <w:tcPr>
            <w:tcW w:w="2409" w:type="dxa"/>
            <w:tcBorders>
              <w:top w:val="nil"/>
              <w:left w:val="nil"/>
              <w:bottom w:val="nil"/>
              <w:right w:val="nil"/>
            </w:tcBorders>
            <w:noWrap/>
            <w:vAlign w:val="bottom"/>
            <w:hideMark/>
          </w:tcPr>
          <w:p w14:paraId="22F8C2EB" w14:textId="77777777" w:rsidR="002D79F3" w:rsidRPr="002D79F3" w:rsidRDefault="002D79F3" w:rsidP="002D79F3">
            <w:pPr>
              <w:spacing w:line="240" w:lineRule="auto"/>
              <w:ind w:firstLine="0"/>
              <w:jc w:val="left"/>
              <w:rPr>
                <w:rFonts w:ascii="Arial" w:eastAsia="Times New Roman" w:hAnsi="Arial" w:cs="Arial"/>
                <w:color w:val="000000"/>
                <w:sz w:val="18"/>
                <w:szCs w:val="18"/>
                <w:lang w:val="en-US" w:eastAsia="de-DE"/>
              </w:rPr>
            </w:pPr>
            <w:r w:rsidRPr="002D79F3">
              <w:rPr>
                <w:rFonts w:ascii="Arial" w:eastAsia="Times New Roman" w:hAnsi="Arial" w:cs="Arial"/>
                <w:color w:val="000000"/>
                <w:sz w:val="18"/>
                <w:szCs w:val="18"/>
                <w:lang w:val="en-US" w:eastAsia="de-DE"/>
              </w:rPr>
              <w:t>Pain in/around the eyes</w:t>
            </w:r>
          </w:p>
        </w:tc>
        <w:tc>
          <w:tcPr>
            <w:tcW w:w="794" w:type="dxa"/>
            <w:tcBorders>
              <w:top w:val="nil"/>
              <w:left w:val="nil"/>
              <w:bottom w:val="nil"/>
              <w:right w:val="nil"/>
            </w:tcBorders>
            <w:noWrap/>
            <w:vAlign w:val="bottom"/>
            <w:hideMark/>
          </w:tcPr>
          <w:p w14:paraId="3C5A8511"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-0.816</w:t>
            </w:r>
          </w:p>
        </w:tc>
        <w:tc>
          <w:tcPr>
            <w:tcW w:w="794" w:type="dxa"/>
            <w:tcBorders>
              <w:top w:val="nil"/>
              <w:left w:val="nil"/>
              <w:bottom w:val="nil"/>
              <w:right w:val="nil"/>
            </w:tcBorders>
            <w:noWrap/>
            <w:vAlign w:val="bottom"/>
            <w:hideMark/>
          </w:tcPr>
          <w:p w14:paraId="77AFB2E4"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.414</w:t>
            </w:r>
          </w:p>
        </w:tc>
        <w:tc>
          <w:tcPr>
            <w:tcW w:w="794" w:type="dxa"/>
            <w:tcBorders>
              <w:top w:val="nil"/>
              <w:left w:val="nil"/>
              <w:bottom w:val="nil"/>
              <w:right w:val="nil"/>
            </w:tcBorders>
            <w:noWrap/>
            <w:vAlign w:val="bottom"/>
            <w:hideMark/>
          </w:tcPr>
          <w:p w14:paraId="2A6ECD3D"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-1.000</w:t>
            </w:r>
          </w:p>
        </w:tc>
        <w:tc>
          <w:tcPr>
            <w:tcW w:w="794" w:type="dxa"/>
            <w:tcBorders>
              <w:top w:val="nil"/>
              <w:left w:val="nil"/>
              <w:bottom w:val="nil"/>
              <w:right w:val="nil"/>
            </w:tcBorders>
            <w:noWrap/>
            <w:vAlign w:val="bottom"/>
            <w:hideMark/>
          </w:tcPr>
          <w:p w14:paraId="77C4731A"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.317</w:t>
            </w:r>
          </w:p>
        </w:tc>
        <w:tc>
          <w:tcPr>
            <w:tcW w:w="794" w:type="dxa"/>
            <w:tcBorders>
              <w:top w:val="nil"/>
              <w:left w:val="nil"/>
              <w:bottom w:val="nil"/>
              <w:right w:val="nil"/>
            </w:tcBorders>
            <w:noWrap/>
            <w:vAlign w:val="bottom"/>
            <w:hideMark/>
          </w:tcPr>
          <w:p w14:paraId="46809366"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-0.707</w:t>
            </w:r>
          </w:p>
        </w:tc>
        <w:tc>
          <w:tcPr>
            <w:tcW w:w="794" w:type="dxa"/>
            <w:tcBorders>
              <w:top w:val="nil"/>
              <w:left w:val="nil"/>
              <w:bottom w:val="nil"/>
              <w:right w:val="nil"/>
            </w:tcBorders>
            <w:noWrap/>
            <w:vAlign w:val="bottom"/>
            <w:hideMark/>
          </w:tcPr>
          <w:p w14:paraId="4DA3798F"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.480</w:t>
            </w:r>
          </w:p>
        </w:tc>
        <w:tc>
          <w:tcPr>
            <w:tcW w:w="794" w:type="dxa"/>
            <w:tcBorders>
              <w:top w:val="nil"/>
              <w:left w:val="nil"/>
              <w:bottom w:val="nil"/>
              <w:right w:val="nil"/>
            </w:tcBorders>
            <w:noWrap/>
            <w:vAlign w:val="bottom"/>
            <w:hideMark/>
          </w:tcPr>
          <w:p w14:paraId="137B440F"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-0.557</w:t>
            </w:r>
          </w:p>
        </w:tc>
        <w:tc>
          <w:tcPr>
            <w:tcW w:w="794" w:type="dxa"/>
            <w:tcBorders>
              <w:top w:val="nil"/>
              <w:left w:val="nil"/>
              <w:bottom w:val="nil"/>
              <w:right w:val="nil"/>
            </w:tcBorders>
            <w:noWrap/>
            <w:vAlign w:val="bottom"/>
            <w:hideMark/>
          </w:tcPr>
          <w:p w14:paraId="7AEEB682"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.577</w:t>
            </w:r>
          </w:p>
        </w:tc>
        <w:tc>
          <w:tcPr>
            <w:tcW w:w="794" w:type="dxa"/>
            <w:tcBorders>
              <w:top w:val="nil"/>
              <w:left w:val="nil"/>
              <w:bottom w:val="nil"/>
              <w:right w:val="nil"/>
            </w:tcBorders>
            <w:noWrap/>
            <w:vAlign w:val="bottom"/>
            <w:hideMark/>
          </w:tcPr>
          <w:p w14:paraId="32DC88DF"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nil"/>
              <w:right w:val="nil"/>
            </w:tcBorders>
            <w:noWrap/>
            <w:vAlign w:val="bottom"/>
            <w:hideMark/>
          </w:tcPr>
          <w:p w14:paraId="517B9F3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c>
          <w:tcPr>
            <w:tcW w:w="794" w:type="dxa"/>
            <w:tcBorders>
              <w:top w:val="nil"/>
              <w:left w:val="nil"/>
              <w:bottom w:val="nil"/>
              <w:right w:val="nil"/>
            </w:tcBorders>
            <w:noWrap/>
            <w:vAlign w:val="bottom"/>
            <w:hideMark/>
          </w:tcPr>
          <w:p w14:paraId="0E97D068"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-1.289</w:t>
            </w:r>
          </w:p>
        </w:tc>
        <w:tc>
          <w:tcPr>
            <w:tcW w:w="794" w:type="dxa"/>
            <w:tcBorders>
              <w:top w:val="nil"/>
              <w:left w:val="nil"/>
              <w:bottom w:val="nil"/>
              <w:right w:val="nil"/>
            </w:tcBorders>
            <w:noWrap/>
            <w:vAlign w:val="bottom"/>
            <w:hideMark/>
          </w:tcPr>
          <w:p w14:paraId="7122EDEF"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.197</w:t>
            </w:r>
          </w:p>
        </w:tc>
        <w:tc>
          <w:tcPr>
            <w:tcW w:w="794" w:type="dxa"/>
            <w:tcBorders>
              <w:top w:val="nil"/>
              <w:left w:val="nil"/>
              <w:bottom w:val="nil"/>
              <w:right w:val="nil"/>
            </w:tcBorders>
            <w:noWrap/>
            <w:vAlign w:val="bottom"/>
            <w:hideMark/>
          </w:tcPr>
          <w:p w14:paraId="640EE6F4"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nil"/>
              <w:right w:val="nil"/>
            </w:tcBorders>
            <w:noWrap/>
            <w:vAlign w:val="bottom"/>
            <w:hideMark/>
          </w:tcPr>
          <w:p w14:paraId="2ABF0585"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r>
      <w:tr w:rsidR="002D79F3" w:rsidRPr="002D79F3" w14:paraId="1BB5BA28" w14:textId="77777777" w:rsidTr="004F1030">
        <w:trPr>
          <w:trHeight w:val="340"/>
        </w:trPr>
        <w:tc>
          <w:tcPr>
            <w:tcW w:w="2409" w:type="dxa"/>
            <w:tcBorders>
              <w:top w:val="nil"/>
              <w:left w:val="nil"/>
              <w:right w:val="nil"/>
            </w:tcBorders>
            <w:noWrap/>
            <w:vAlign w:val="bottom"/>
            <w:hideMark/>
          </w:tcPr>
          <w:p w14:paraId="21D96D6D"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Glare</w:t>
            </w:r>
          </w:p>
        </w:tc>
        <w:tc>
          <w:tcPr>
            <w:tcW w:w="794" w:type="dxa"/>
            <w:tcBorders>
              <w:top w:val="nil"/>
              <w:left w:val="nil"/>
              <w:right w:val="nil"/>
            </w:tcBorders>
            <w:noWrap/>
            <w:vAlign w:val="bottom"/>
            <w:hideMark/>
          </w:tcPr>
          <w:p w14:paraId="2D47B15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-2.293</w:t>
            </w:r>
          </w:p>
        </w:tc>
        <w:tc>
          <w:tcPr>
            <w:tcW w:w="794" w:type="dxa"/>
            <w:tcBorders>
              <w:top w:val="nil"/>
              <w:left w:val="nil"/>
              <w:right w:val="nil"/>
            </w:tcBorders>
            <w:noWrap/>
            <w:vAlign w:val="bottom"/>
            <w:hideMark/>
          </w:tcPr>
          <w:p w14:paraId="326BEA31"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.022</w:t>
            </w:r>
          </w:p>
        </w:tc>
        <w:tc>
          <w:tcPr>
            <w:tcW w:w="794" w:type="dxa"/>
            <w:tcBorders>
              <w:top w:val="nil"/>
              <w:left w:val="nil"/>
              <w:right w:val="nil"/>
            </w:tcBorders>
            <w:noWrap/>
            <w:vAlign w:val="bottom"/>
            <w:hideMark/>
          </w:tcPr>
          <w:p w14:paraId="7104367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-1.567</w:t>
            </w:r>
          </w:p>
        </w:tc>
        <w:tc>
          <w:tcPr>
            <w:tcW w:w="794" w:type="dxa"/>
            <w:tcBorders>
              <w:top w:val="nil"/>
              <w:left w:val="nil"/>
              <w:right w:val="nil"/>
            </w:tcBorders>
            <w:noWrap/>
            <w:vAlign w:val="bottom"/>
            <w:hideMark/>
          </w:tcPr>
          <w:p w14:paraId="49AB2756"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.117</w:t>
            </w:r>
          </w:p>
        </w:tc>
        <w:tc>
          <w:tcPr>
            <w:tcW w:w="794" w:type="dxa"/>
            <w:tcBorders>
              <w:top w:val="nil"/>
              <w:left w:val="nil"/>
              <w:right w:val="nil"/>
            </w:tcBorders>
            <w:noWrap/>
            <w:vAlign w:val="bottom"/>
            <w:hideMark/>
          </w:tcPr>
          <w:p w14:paraId="4610E47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-1.917</w:t>
            </w:r>
          </w:p>
        </w:tc>
        <w:tc>
          <w:tcPr>
            <w:tcW w:w="794" w:type="dxa"/>
            <w:tcBorders>
              <w:top w:val="nil"/>
              <w:left w:val="nil"/>
              <w:right w:val="nil"/>
            </w:tcBorders>
            <w:noWrap/>
            <w:vAlign w:val="bottom"/>
            <w:hideMark/>
          </w:tcPr>
          <w:p w14:paraId="111A4583"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.055</w:t>
            </w:r>
          </w:p>
        </w:tc>
        <w:tc>
          <w:tcPr>
            <w:tcW w:w="794" w:type="dxa"/>
            <w:tcBorders>
              <w:top w:val="nil"/>
              <w:left w:val="nil"/>
              <w:right w:val="nil"/>
            </w:tcBorders>
            <w:noWrap/>
            <w:vAlign w:val="bottom"/>
            <w:hideMark/>
          </w:tcPr>
          <w:p w14:paraId="37E96B9C"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-2.801</w:t>
            </w:r>
          </w:p>
        </w:tc>
        <w:tc>
          <w:tcPr>
            <w:tcW w:w="794" w:type="dxa"/>
            <w:tcBorders>
              <w:top w:val="nil"/>
              <w:left w:val="nil"/>
              <w:right w:val="nil"/>
            </w:tcBorders>
            <w:noWrap/>
            <w:vAlign w:val="bottom"/>
            <w:hideMark/>
          </w:tcPr>
          <w:p w14:paraId="10D22248"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.005</w:t>
            </w:r>
          </w:p>
        </w:tc>
        <w:tc>
          <w:tcPr>
            <w:tcW w:w="794" w:type="dxa"/>
            <w:tcBorders>
              <w:top w:val="nil"/>
              <w:left w:val="nil"/>
              <w:right w:val="nil"/>
            </w:tcBorders>
            <w:noWrap/>
            <w:vAlign w:val="bottom"/>
            <w:hideMark/>
          </w:tcPr>
          <w:p w14:paraId="6879D921"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-2.041</w:t>
            </w:r>
          </w:p>
        </w:tc>
        <w:tc>
          <w:tcPr>
            <w:tcW w:w="794" w:type="dxa"/>
            <w:tcBorders>
              <w:top w:val="nil"/>
              <w:left w:val="nil"/>
              <w:right w:val="nil"/>
            </w:tcBorders>
            <w:noWrap/>
            <w:vAlign w:val="bottom"/>
            <w:hideMark/>
          </w:tcPr>
          <w:p w14:paraId="258BB0F0"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.041</w:t>
            </w:r>
          </w:p>
        </w:tc>
        <w:tc>
          <w:tcPr>
            <w:tcW w:w="794" w:type="dxa"/>
            <w:tcBorders>
              <w:top w:val="nil"/>
              <w:left w:val="nil"/>
              <w:right w:val="nil"/>
            </w:tcBorders>
            <w:noWrap/>
            <w:vAlign w:val="bottom"/>
            <w:hideMark/>
          </w:tcPr>
          <w:p w14:paraId="7B0FBAE1"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-2.209</w:t>
            </w:r>
          </w:p>
        </w:tc>
        <w:tc>
          <w:tcPr>
            <w:tcW w:w="794" w:type="dxa"/>
            <w:tcBorders>
              <w:top w:val="nil"/>
              <w:left w:val="nil"/>
              <w:right w:val="nil"/>
            </w:tcBorders>
            <w:noWrap/>
            <w:vAlign w:val="bottom"/>
            <w:hideMark/>
          </w:tcPr>
          <w:p w14:paraId="258145D2" w14:textId="77777777" w:rsidR="002D79F3" w:rsidRPr="002D79F3" w:rsidRDefault="002D79F3" w:rsidP="002D79F3">
            <w:pPr>
              <w:spacing w:line="240" w:lineRule="auto"/>
              <w:ind w:firstLine="0"/>
              <w:jc w:val="center"/>
              <w:rPr>
                <w:rFonts w:ascii="Arial" w:eastAsia="Times New Roman" w:hAnsi="Arial" w:cs="Arial"/>
                <w:b/>
                <w:bCs/>
                <w:color w:val="000000"/>
                <w:sz w:val="18"/>
                <w:szCs w:val="18"/>
                <w:lang w:val="de-DE" w:eastAsia="de-DE"/>
              </w:rPr>
            </w:pPr>
            <w:r w:rsidRPr="002D79F3">
              <w:rPr>
                <w:rFonts w:ascii="Arial" w:eastAsia="Times New Roman" w:hAnsi="Arial" w:cs="Arial"/>
                <w:b/>
                <w:bCs/>
                <w:color w:val="000000"/>
                <w:sz w:val="18"/>
                <w:szCs w:val="18"/>
                <w:lang w:val="de-DE" w:eastAsia="de-DE"/>
              </w:rPr>
              <w:t>.027</w:t>
            </w:r>
          </w:p>
        </w:tc>
        <w:tc>
          <w:tcPr>
            <w:tcW w:w="794" w:type="dxa"/>
            <w:tcBorders>
              <w:top w:val="nil"/>
              <w:left w:val="nil"/>
              <w:right w:val="nil"/>
            </w:tcBorders>
            <w:noWrap/>
            <w:vAlign w:val="bottom"/>
            <w:hideMark/>
          </w:tcPr>
          <w:p w14:paraId="6B605B55"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-0.956</w:t>
            </w:r>
          </w:p>
        </w:tc>
        <w:tc>
          <w:tcPr>
            <w:tcW w:w="794" w:type="dxa"/>
            <w:tcBorders>
              <w:top w:val="nil"/>
              <w:left w:val="nil"/>
              <w:right w:val="nil"/>
            </w:tcBorders>
            <w:noWrap/>
            <w:vAlign w:val="bottom"/>
            <w:hideMark/>
          </w:tcPr>
          <w:p w14:paraId="6A9CC81C"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.339</w:t>
            </w:r>
          </w:p>
        </w:tc>
      </w:tr>
      <w:tr w:rsidR="002D79F3" w:rsidRPr="002D79F3" w14:paraId="562FAAA3" w14:textId="77777777" w:rsidTr="004F1030">
        <w:trPr>
          <w:trHeight w:val="340"/>
        </w:trPr>
        <w:tc>
          <w:tcPr>
            <w:tcW w:w="2409" w:type="dxa"/>
            <w:tcBorders>
              <w:top w:val="nil"/>
              <w:left w:val="nil"/>
              <w:bottom w:val="single" w:sz="4" w:space="0" w:color="auto"/>
              <w:right w:val="nil"/>
            </w:tcBorders>
            <w:noWrap/>
            <w:vAlign w:val="bottom"/>
            <w:hideMark/>
          </w:tcPr>
          <w:p w14:paraId="25B35E29" w14:textId="77777777" w:rsidR="002D79F3" w:rsidRPr="002D79F3" w:rsidRDefault="002D79F3" w:rsidP="002D79F3">
            <w:pPr>
              <w:spacing w:line="240" w:lineRule="auto"/>
              <w:ind w:firstLine="0"/>
              <w:jc w:val="lef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Dizziness</w:t>
            </w:r>
          </w:p>
        </w:tc>
        <w:tc>
          <w:tcPr>
            <w:tcW w:w="794" w:type="dxa"/>
            <w:tcBorders>
              <w:top w:val="nil"/>
              <w:left w:val="nil"/>
              <w:bottom w:val="single" w:sz="4" w:space="0" w:color="auto"/>
              <w:right w:val="nil"/>
            </w:tcBorders>
            <w:noWrap/>
            <w:vAlign w:val="bottom"/>
            <w:hideMark/>
          </w:tcPr>
          <w:p w14:paraId="6D300543"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-1.414</w:t>
            </w:r>
          </w:p>
        </w:tc>
        <w:tc>
          <w:tcPr>
            <w:tcW w:w="794" w:type="dxa"/>
            <w:tcBorders>
              <w:top w:val="nil"/>
              <w:left w:val="nil"/>
              <w:bottom w:val="single" w:sz="4" w:space="0" w:color="auto"/>
              <w:right w:val="nil"/>
            </w:tcBorders>
            <w:noWrap/>
            <w:vAlign w:val="bottom"/>
            <w:hideMark/>
          </w:tcPr>
          <w:p w14:paraId="6646C849"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.157</w:t>
            </w:r>
          </w:p>
        </w:tc>
        <w:tc>
          <w:tcPr>
            <w:tcW w:w="794" w:type="dxa"/>
            <w:tcBorders>
              <w:top w:val="nil"/>
              <w:left w:val="nil"/>
              <w:bottom w:val="single" w:sz="4" w:space="0" w:color="auto"/>
              <w:right w:val="nil"/>
            </w:tcBorders>
            <w:noWrap/>
            <w:vAlign w:val="bottom"/>
            <w:hideMark/>
          </w:tcPr>
          <w:p w14:paraId="447E7668"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single" w:sz="4" w:space="0" w:color="auto"/>
              <w:right w:val="nil"/>
            </w:tcBorders>
            <w:noWrap/>
            <w:vAlign w:val="bottom"/>
            <w:hideMark/>
          </w:tcPr>
          <w:p w14:paraId="42913E1C"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c>
          <w:tcPr>
            <w:tcW w:w="794" w:type="dxa"/>
            <w:tcBorders>
              <w:top w:val="nil"/>
              <w:left w:val="nil"/>
              <w:bottom w:val="single" w:sz="4" w:space="0" w:color="auto"/>
              <w:right w:val="nil"/>
            </w:tcBorders>
            <w:noWrap/>
            <w:vAlign w:val="bottom"/>
            <w:hideMark/>
          </w:tcPr>
          <w:p w14:paraId="59089934"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-1.633</w:t>
            </w:r>
          </w:p>
        </w:tc>
        <w:tc>
          <w:tcPr>
            <w:tcW w:w="794" w:type="dxa"/>
            <w:tcBorders>
              <w:top w:val="nil"/>
              <w:left w:val="nil"/>
              <w:bottom w:val="single" w:sz="4" w:space="0" w:color="auto"/>
              <w:right w:val="nil"/>
            </w:tcBorders>
            <w:noWrap/>
            <w:vAlign w:val="bottom"/>
            <w:hideMark/>
          </w:tcPr>
          <w:p w14:paraId="39EA4259"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.102</w:t>
            </w:r>
          </w:p>
        </w:tc>
        <w:tc>
          <w:tcPr>
            <w:tcW w:w="794" w:type="dxa"/>
            <w:tcBorders>
              <w:top w:val="nil"/>
              <w:left w:val="nil"/>
              <w:bottom w:val="single" w:sz="4" w:space="0" w:color="auto"/>
              <w:right w:val="nil"/>
            </w:tcBorders>
            <w:noWrap/>
            <w:vAlign w:val="bottom"/>
            <w:hideMark/>
          </w:tcPr>
          <w:p w14:paraId="6B001DBB"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-1.000</w:t>
            </w:r>
          </w:p>
        </w:tc>
        <w:tc>
          <w:tcPr>
            <w:tcW w:w="794" w:type="dxa"/>
            <w:tcBorders>
              <w:top w:val="nil"/>
              <w:left w:val="nil"/>
              <w:bottom w:val="single" w:sz="4" w:space="0" w:color="auto"/>
              <w:right w:val="nil"/>
            </w:tcBorders>
            <w:noWrap/>
            <w:vAlign w:val="bottom"/>
            <w:hideMark/>
          </w:tcPr>
          <w:p w14:paraId="7E81811F"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.317</w:t>
            </w:r>
          </w:p>
        </w:tc>
        <w:tc>
          <w:tcPr>
            <w:tcW w:w="794" w:type="dxa"/>
            <w:tcBorders>
              <w:top w:val="nil"/>
              <w:left w:val="nil"/>
              <w:bottom w:val="single" w:sz="4" w:space="0" w:color="auto"/>
              <w:right w:val="nil"/>
            </w:tcBorders>
            <w:noWrap/>
            <w:vAlign w:val="bottom"/>
            <w:hideMark/>
          </w:tcPr>
          <w:p w14:paraId="49437B92"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0.000</w:t>
            </w:r>
          </w:p>
        </w:tc>
        <w:tc>
          <w:tcPr>
            <w:tcW w:w="794" w:type="dxa"/>
            <w:tcBorders>
              <w:top w:val="nil"/>
              <w:left w:val="nil"/>
              <w:bottom w:val="single" w:sz="4" w:space="0" w:color="auto"/>
              <w:right w:val="nil"/>
            </w:tcBorders>
            <w:noWrap/>
            <w:vAlign w:val="bottom"/>
            <w:hideMark/>
          </w:tcPr>
          <w:p w14:paraId="3CE86CE0"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&gt;.999</w:t>
            </w:r>
          </w:p>
        </w:tc>
        <w:tc>
          <w:tcPr>
            <w:tcW w:w="794" w:type="dxa"/>
            <w:tcBorders>
              <w:top w:val="nil"/>
              <w:left w:val="nil"/>
              <w:bottom w:val="single" w:sz="4" w:space="0" w:color="auto"/>
              <w:right w:val="nil"/>
            </w:tcBorders>
            <w:noWrap/>
            <w:vAlign w:val="bottom"/>
            <w:hideMark/>
          </w:tcPr>
          <w:p w14:paraId="3BA5A93D"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-0.447</w:t>
            </w:r>
          </w:p>
        </w:tc>
        <w:tc>
          <w:tcPr>
            <w:tcW w:w="794" w:type="dxa"/>
            <w:tcBorders>
              <w:top w:val="nil"/>
              <w:left w:val="nil"/>
              <w:bottom w:val="single" w:sz="4" w:space="0" w:color="auto"/>
              <w:right w:val="nil"/>
            </w:tcBorders>
            <w:noWrap/>
            <w:vAlign w:val="bottom"/>
            <w:hideMark/>
          </w:tcPr>
          <w:p w14:paraId="5D5A5729"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.655</w:t>
            </w:r>
          </w:p>
        </w:tc>
        <w:tc>
          <w:tcPr>
            <w:tcW w:w="794" w:type="dxa"/>
            <w:tcBorders>
              <w:top w:val="nil"/>
              <w:left w:val="nil"/>
              <w:bottom w:val="single" w:sz="4" w:space="0" w:color="auto"/>
              <w:right w:val="nil"/>
            </w:tcBorders>
            <w:noWrap/>
            <w:vAlign w:val="bottom"/>
            <w:hideMark/>
          </w:tcPr>
          <w:p w14:paraId="6DCE9D1A" w14:textId="77777777" w:rsidR="002D79F3" w:rsidRPr="002D79F3" w:rsidRDefault="002D79F3" w:rsidP="002D79F3">
            <w:pPr>
              <w:spacing w:line="240" w:lineRule="auto"/>
              <w:ind w:firstLine="0"/>
              <w:jc w:val="right"/>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-1.000</w:t>
            </w:r>
          </w:p>
        </w:tc>
        <w:tc>
          <w:tcPr>
            <w:tcW w:w="794" w:type="dxa"/>
            <w:tcBorders>
              <w:top w:val="nil"/>
              <w:left w:val="nil"/>
              <w:bottom w:val="single" w:sz="4" w:space="0" w:color="auto"/>
              <w:right w:val="nil"/>
            </w:tcBorders>
            <w:noWrap/>
            <w:vAlign w:val="bottom"/>
            <w:hideMark/>
          </w:tcPr>
          <w:p w14:paraId="2A6DED27" w14:textId="77777777" w:rsidR="002D79F3" w:rsidRPr="002D79F3" w:rsidRDefault="002D79F3" w:rsidP="002D79F3">
            <w:pPr>
              <w:spacing w:line="240" w:lineRule="auto"/>
              <w:ind w:firstLine="0"/>
              <w:jc w:val="center"/>
              <w:rPr>
                <w:rFonts w:ascii="Arial" w:eastAsia="Times New Roman" w:hAnsi="Arial" w:cs="Arial"/>
                <w:color w:val="000000"/>
                <w:sz w:val="18"/>
                <w:szCs w:val="18"/>
                <w:lang w:val="de-DE" w:eastAsia="de-DE"/>
              </w:rPr>
            </w:pPr>
            <w:r w:rsidRPr="002D79F3">
              <w:rPr>
                <w:rFonts w:ascii="Arial" w:eastAsia="Times New Roman" w:hAnsi="Arial" w:cs="Arial"/>
                <w:color w:val="000000"/>
                <w:sz w:val="18"/>
                <w:szCs w:val="18"/>
                <w:lang w:val="de-DE" w:eastAsia="de-DE"/>
              </w:rPr>
              <w:t>.317</w:t>
            </w:r>
          </w:p>
        </w:tc>
      </w:tr>
    </w:tbl>
    <w:p w14:paraId="7DB21544" w14:textId="77777777" w:rsidR="002D79F3" w:rsidRPr="002D79F3" w:rsidRDefault="002D79F3" w:rsidP="002D79F3">
      <w:pPr>
        <w:spacing w:line="240" w:lineRule="auto"/>
        <w:ind w:right="537" w:firstLine="0"/>
        <w:jc w:val="left"/>
        <w:rPr>
          <w:rFonts w:ascii="Arial" w:hAnsi="Arial" w:cs="Arial"/>
          <w:kern w:val="2"/>
          <w:sz w:val="18"/>
          <w:szCs w:val="18"/>
          <w14:ligatures w14:val="standardContextual"/>
        </w:rPr>
      </w:pPr>
      <w:r w:rsidRPr="002D79F3">
        <w:rPr>
          <w:rFonts w:ascii="Arial" w:hAnsi="Arial" w:cs="Arial"/>
          <w:b/>
          <w:bCs/>
          <w:kern w:val="2"/>
          <w:sz w:val="18"/>
          <w:szCs w:val="18"/>
          <w14:ligatures w14:val="standardContextual"/>
        </w:rPr>
        <w:t xml:space="preserve">Note: </w:t>
      </w:r>
      <w:r w:rsidRPr="002D79F3">
        <w:rPr>
          <w:rFonts w:ascii="Arial" w:hAnsi="Arial" w:cs="Arial"/>
          <w:kern w:val="2"/>
          <w:sz w:val="18"/>
          <w:szCs w:val="18"/>
          <w14:ligatures w14:val="standardContextual"/>
        </w:rPr>
        <w:t xml:space="preserve">DRL, dim red light; BL, blue-enriched light; Day 1, Saturday; Day 2, Sunday; Day 3, Monday; Day 4, Tuesday; Day 5, Wednesday; Day 6, Thursday; Day 7, Friday, follow-up. </w:t>
      </w:r>
    </w:p>
    <w:p w14:paraId="33E6BAAE" w14:textId="77777777" w:rsidR="002D79F3" w:rsidRDefault="002D79F3" w:rsidP="002D79F3">
      <w:pPr>
        <w:spacing w:line="240" w:lineRule="auto"/>
        <w:ind w:right="537" w:firstLine="0"/>
        <w:jc w:val="left"/>
        <w:rPr>
          <w:rFonts w:ascii="Arial" w:hAnsi="Arial" w:cs="Arial"/>
          <w:kern w:val="2"/>
          <w:sz w:val="18"/>
          <w:szCs w:val="18"/>
          <w14:ligatures w14:val="standardContextual"/>
        </w:rPr>
      </w:pPr>
      <w:r w:rsidRPr="002D79F3">
        <w:rPr>
          <w:rFonts w:ascii="Arial" w:hAnsi="Arial" w:cs="Arial"/>
          <w:kern w:val="2"/>
          <w:sz w:val="18"/>
          <w:szCs w:val="18"/>
          <w14:ligatures w14:val="standardContextual"/>
        </w:rPr>
        <w:t xml:space="preserve">Printed in bold are </w:t>
      </w:r>
      <w:r w:rsidRPr="002D79F3">
        <w:rPr>
          <w:rFonts w:ascii="Arial" w:hAnsi="Arial" w:cs="Arial"/>
          <w:i/>
          <w:iCs/>
          <w:kern w:val="2"/>
          <w:sz w:val="18"/>
          <w:szCs w:val="18"/>
          <w14:ligatures w14:val="standardContextual"/>
        </w:rPr>
        <w:t>p</w:t>
      </w:r>
      <w:r w:rsidRPr="002D79F3">
        <w:rPr>
          <w:rFonts w:ascii="Arial" w:hAnsi="Arial" w:cs="Arial"/>
          <w:kern w:val="2"/>
          <w:sz w:val="18"/>
          <w:szCs w:val="18"/>
          <w14:ligatures w14:val="standardContextual"/>
        </w:rPr>
        <w:t>-Values &lt; 0.05.</w:t>
      </w:r>
    </w:p>
    <w:p w14:paraId="4B5C4720" w14:textId="77777777" w:rsidR="002D79F3" w:rsidRPr="002D79F3" w:rsidRDefault="002D79F3" w:rsidP="002D79F3">
      <w:pPr>
        <w:spacing w:line="240" w:lineRule="auto"/>
        <w:ind w:right="537" w:firstLine="0"/>
        <w:jc w:val="left"/>
        <w:rPr>
          <w:rFonts w:ascii="Arial" w:hAnsi="Arial" w:cs="Arial"/>
          <w:kern w:val="2"/>
          <w:sz w:val="18"/>
          <w:szCs w:val="18"/>
          <w14:ligatures w14:val="standardContextual"/>
        </w:rPr>
      </w:pPr>
    </w:p>
    <w:p w14:paraId="6F8940EA" w14:textId="77777777" w:rsidR="00E90969" w:rsidRPr="00E90969" w:rsidRDefault="00E90969" w:rsidP="00E90969">
      <w:pPr>
        <w:spacing w:line="240" w:lineRule="auto"/>
        <w:ind w:firstLine="0"/>
        <w:jc w:val="left"/>
        <w:rPr>
          <w:rFonts w:ascii="Arial" w:hAnsi="Arial" w:cs="Arial"/>
          <w:kern w:val="2"/>
          <w:sz w:val="18"/>
          <w:szCs w:val="18"/>
          <w14:ligatures w14:val="standardContextual"/>
        </w:rPr>
      </w:pPr>
    </w:p>
    <w:p w14:paraId="72F4D077" w14:textId="77777777" w:rsidR="00E90969" w:rsidRDefault="00E90969" w:rsidP="00E90969">
      <w:pPr>
        <w:ind w:firstLine="0"/>
        <w:sectPr w:rsidR="00E90969" w:rsidSect="0010525A">
          <w:pgSz w:w="16838" w:h="11906" w:orient="landscape"/>
          <w:pgMar w:top="1418" w:right="1418" w:bottom="1418" w:left="1134" w:header="709" w:footer="709" w:gutter="0"/>
          <w:cols w:space="708"/>
          <w:docGrid w:linePitch="360"/>
        </w:sectPr>
      </w:pPr>
    </w:p>
    <w:p w14:paraId="56A28EA1" w14:textId="162ACF19" w:rsidR="00DF46FE" w:rsidRPr="00D1141B" w:rsidRDefault="00DF46FE" w:rsidP="00DF46FE">
      <w:pPr>
        <w:spacing w:line="276" w:lineRule="auto"/>
        <w:ind w:firstLine="0"/>
        <w:rPr>
          <w:rFonts w:ascii="Arial" w:hAnsi="Arial" w:cs="Arial"/>
          <w:sz w:val="18"/>
          <w:szCs w:val="18"/>
          <w:u w:val="single"/>
        </w:rPr>
      </w:pPr>
      <w:r w:rsidRPr="00D1141B">
        <w:rPr>
          <w:rFonts w:ascii="Arial" w:hAnsi="Arial" w:cs="Arial"/>
          <w:b/>
          <w:bCs/>
          <w:sz w:val="18"/>
          <w:szCs w:val="18"/>
          <w:u w:val="single"/>
        </w:rPr>
        <w:lastRenderedPageBreak/>
        <w:t>Fig. S</w:t>
      </w:r>
      <w:r w:rsidR="005F383A">
        <w:rPr>
          <w:rFonts w:ascii="Arial" w:hAnsi="Arial" w:cs="Arial"/>
          <w:b/>
          <w:bCs/>
          <w:sz w:val="18"/>
          <w:szCs w:val="18"/>
          <w:u w:val="single"/>
        </w:rPr>
        <w:t>1</w:t>
      </w:r>
      <w:r w:rsidRPr="00D1141B">
        <w:rPr>
          <w:rFonts w:ascii="Arial" w:hAnsi="Arial" w:cs="Arial"/>
          <w:b/>
          <w:bCs/>
          <w:sz w:val="18"/>
          <w:szCs w:val="18"/>
          <w:u w:val="single"/>
        </w:rPr>
        <w:t xml:space="preserve">. </w:t>
      </w:r>
      <w:r w:rsidRPr="00D1141B">
        <w:rPr>
          <w:rFonts w:ascii="Arial" w:hAnsi="Arial" w:cs="Arial"/>
          <w:sz w:val="18"/>
          <w:szCs w:val="18"/>
          <w:u w:val="single"/>
        </w:rPr>
        <w:t xml:space="preserve">Side effects during the intervention sessions. </w:t>
      </w:r>
    </w:p>
    <w:p w14:paraId="4011674A" w14:textId="2E9125FD" w:rsidR="00221CD8" w:rsidRDefault="00985F00" w:rsidP="00A841F1">
      <w:pPr>
        <w:spacing w:line="240" w:lineRule="auto"/>
        <w:ind w:firstLine="0"/>
      </w:pPr>
      <w:r>
        <w:rPr>
          <w:noProof/>
          <w:lang w:val="en-IN" w:eastAsia="en-IN"/>
          <w14:ligatures w14:val="standardContextual"/>
        </w:rPr>
        <mc:AlternateContent>
          <mc:Choice Requires="wps">
            <w:drawing>
              <wp:anchor distT="0" distB="0" distL="114300" distR="114300" simplePos="0" relativeHeight="251659264" behindDoc="0" locked="0" layoutInCell="1" allowOverlap="1" wp14:anchorId="0DB6D593" wp14:editId="540532C6">
                <wp:simplePos x="0" y="0"/>
                <wp:positionH relativeFrom="column">
                  <wp:posOffset>3175</wp:posOffset>
                </wp:positionH>
                <wp:positionV relativeFrom="paragraph">
                  <wp:posOffset>3444240</wp:posOffset>
                </wp:positionV>
                <wp:extent cx="892175" cy="271780"/>
                <wp:effectExtent l="0" t="0" r="0" b="0"/>
                <wp:wrapNone/>
                <wp:docPr id="2" name="Textfeld 1"/>
                <wp:cNvGraphicFramePr/>
                <a:graphic xmlns:a="http://schemas.openxmlformats.org/drawingml/2006/main">
                  <a:graphicData uri="http://schemas.microsoft.com/office/word/2010/wordprocessingShape">
                    <wps:wsp>
                      <wps:cNvSpPr txBox="1"/>
                      <wps:spPr>
                        <a:xfrm>
                          <a:off x="0" y="0"/>
                          <a:ext cx="892175" cy="271780"/>
                        </a:xfrm>
                        <a:prstGeom prst="rect">
                          <a:avLst/>
                        </a:prstGeom>
                      </wps:spPr>
                      <wps:txbx>
                        <w:txbxContent>
                          <w:p w14:paraId="5A73046D" w14:textId="51D10EFC" w:rsidR="00A841F1" w:rsidRDefault="00A841F1" w:rsidP="00A841F1">
                            <w:pPr>
                              <w:ind w:firstLine="0"/>
                              <w:rPr>
                                <w:rFonts w:ascii="Arial" w:hAnsi="Arial" w:cs="Arial"/>
                                <w:b/>
                                <w:bCs/>
                                <w:kern w:val="24"/>
                                <w:sz w:val="18"/>
                                <w:szCs w:val="18"/>
                              </w:rPr>
                            </w:pPr>
                            <w:r>
                              <w:rPr>
                                <w:rFonts w:ascii="Arial" w:hAnsi="Arial" w:cs="Arial"/>
                                <w:b/>
                                <w:bCs/>
                                <w:kern w:val="24"/>
                                <w:sz w:val="18"/>
                                <w:szCs w:val="18"/>
                              </w:rPr>
                              <w:t>(b)</w:t>
                            </w:r>
                          </w:p>
                        </w:txbxContent>
                      </wps:txbx>
                      <wps:bodyPr vertOverflow="clip" wrap="square" rtlCol="0"/>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B6D593" id="_x0000_t202" coordsize="21600,21600" o:spt="202" path="m,l,21600r21600,l21600,xe">
                <v:stroke joinstyle="miter"/>
                <v:path gradientshapeok="t" o:connecttype="rect"/>
              </v:shapetype>
              <v:shape id="Textfeld 1" o:spid="_x0000_s1026" type="#_x0000_t202" style="position:absolute;left:0;text-align:left;margin-left:.25pt;margin-top:271.2pt;width:70.25pt;height:21.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" filled="f" stroked="f">
                <v:textbox>
                  <w:txbxContent>
                    <w:p w14:paraId="5A73046D" w14:textId="51D10EFC" w:rsidR="00A841F1" w:rsidRDefault="00A841F1" w:rsidP="00A841F1">
                      <w:pPr>
                        <w:ind w:firstLine="0"/>
                        <w:rPr>
                          <w:rFonts w:ascii="Arial" w:hAnsi="Arial" w:cs="Arial"/>
                          <w:b/>
                          <w:bCs/>
                          <w:kern w:val="24"/>
                          <w:sz w:val="18"/>
                          <w:szCs w:val="18"/>
                        </w:rPr>
                      </w:pPr>
                      <w:r>
                        <w:rPr>
                          <w:rFonts w:ascii="Arial" w:hAnsi="Arial" w:cs="Arial"/>
                          <w:b/>
                          <w:bCs/>
                          <w:kern w:val="24"/>
                          <w:sz w:val="18"/>
                          <w:szCs w:val="18"/>
                        </w:rPr>
                        <w:t>(b)</w:t>
                      </w:r>
                    </w:p>
                  </w:txbxContent>
                </v:textbox>
              </v:shape>
            </w:pict>
          </mc:Fallback>
        </mc:AlternateContent>
      </w:r>
      <w:r w:rsidR="00A841F1">
        <w:rPr>
          <w:noProof/>
          <w:lang w:val="en-IN" w:eastAsia="en-IN"/>
          <w14:ligatures w14:val="standardContextual"/>
        </w:rPr>
        <mc:AlternateContent>
          <mc:Choice Requires="wps">
            <w:drawing>
              <wp:anchor distT="0" distB="0" distL="114300" distR="114300" simplePos="0" relativeHeight="251661312" behindDoc="0" locked="0" layoutInCell="1" allowOverlap="1" wp14:anchorId="1C8B772D" wp14:editId="0A522C7C">
                <wp:simplePos x="0" y="0"/>
                <wp:positionH relativeFrom="column">
                  <wp:posOffset>57604</wp:posOffset>
                </wp:positionH>
                <wp:positionV relativeFrom="paragraph">
                  <wp:posOffset>3175</wp:posOffset>
                </wp:positionV>
                <wp:extent cx="892175" cy="271780"/>
                <wp:effectExtent l="0" t="0" r="0" b="0"/>
                <wp:wrapNone/>
                <wp:docPr id="533642157" name="Textfeld 1"/>
                <wp:cNvGraphicFramePr/>
                <a:graphic xmlns:a="http://schemas.openxmlformats.org/drawingml/2006/main">
                  <a:graphicData uri="http://schemas.microsoft.com/office/word/2010/wordprocessingShape">
                    <wps:wsp>
                      <wps:cNvSpPr txBox="1"/>
                      <wps:spPr>
                        <a:xfrm>
                          <a:off x="0" y="0"/>
                          <a:ext cx="892175" cy="271780"/>
                        </a:xfrm>
                        <a:prstGeom prst="rect">
                          <a:avLst/>
                        </a:prstGeom>
                      </wps:spPr>
                      <wps:txbx>
                        <w:txbxContent>
                          <w:p w14:paraId="52EF6133" w14:textId="00FD3E08" w:rsidR="00A841F1" w:rsidRDefault="00A841F1" w:rsidP="00A841F1">
                            <w:pPr>
                              <w:ind w:firstLine="0"/>
                              <w:rPr>
                                <w:rFonts w:ascii="Arial" w:hAnsi="Arial" w:cs="Arial"/>
                                <w:b/>
                                <w:bCs/>
                                <w:kern w:val="24"/>
                                <w:sz w:val="18"/>
                                <w:szCs w:val="18"/>
                              </w:rPr>
                            </w:pPr>
                            <w:r>
                              <w:rPr>
                                <w:rFonts w:ascii="Arial" w:hAnsi="Arial" w:cs="Arial"/>
                                <w:b/>
                                <w:bCs/>
                                <w:kern w:val="24"/>
                                <w:sz w:val="18"/>
                                <w:szCs w:val="18"/>
                              </w:rPr>
                              <w:t>(a)</w:t>
                            </w:r>
                          </w:p>
                        </w:txbxContent>
                      </wps:txbx>
                      <wps:bodyPr vertOverflow="clip" wrap="square" rtlCol="0"/>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8B772D" id="_x0000_s1027" type="#_x0000_t202" style="position:absolute;left:0;text-align:left;margin-left:4.55pt;margin-top:.25pt;width:70.25pt;height:21.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" filled="f" stroked="f">
                <v:textbox>
                  <w:txbxContent>
                    <w:p w14:paraId="52EF6133" w14:textId="00FD3E08" w:rsidR="00A841F1" w:rsidRDefault="00A841F1" w:rsidP="00A841F1">
                      <w:pPr>
                        <w:ind w:firstLine="0"/>
                        <w:rPr>
                          <w:rFonts w:ascii="Arial" w:hAnsi="Arial" w:cs="Arial"/>
                          <w:b/>
                          <w:bCs/>
                          <w:kern w:val="24"/>
                          <w:sz w:val="18"/>
                          <w:szCs w:val="18"/>
                        </w:rPr>
                      </w:pPr>
                      <w:r>
                        <w:rPr>
                          <w:rFonts w:ascii="Arial" w:hAnsi="Arial" w:cs="Arial"/>
                          <w:b/>
                          <w:bCs/>
                          <w:kern w:val="24"/>
                          <w:sz w:val="18"/>
                          <w:szCs w:val="18"/>
                        </w:rPr>
                        <w:t>(a)</w:t>
                      </w:r>
                    </w:p>
                  </w:txbxContent>
                </v:textbox>
              </v:shape>
            </w:pict>
          </mc:Fallback>
        </mc:AlternateContent>
      </w:r>
      <w:r w:rsidR="00A841F1">
        <w:rPr>
          <w:noProof/>
          <w:lang w:val="en-IN" w:eastAsia="en-IN"/>
          <w14:ligatures w14:val="standardContextual"/>
        </w:rPr>
        <w:drawing>
          <wp:inline distT="0" distB="0" distL="0" distR="0" wp14:anchorId="5B445695" wp14:editId="557B6AA5">
            <wp:extent cx="5422605" cy="3437544"/>
            <wp:effectExtent l="0" t="0" r="635" b="4445"/>
            <wp:docPr id="1562632449" name="Diagram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CDC611D-76A0-5548-A056-DBA2A2FC99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D19FB3" w14:textId="517C7494" w:rsidR="00A841F1" w:rsidRDefault="00A841F1" w:rsidP="00E90969">
      <w:pPr>
        <w:ind w:firstLine="0"/>
      </w:pPr>
      <w:r>
        <w:rPr>
          <w:noProof/>
          <w:lang w:val="en-IN" w:eastAsia="en-IN"/>
          <w14:ligatures w14:val="standardContextual"/>
        </w:rPr>
        <w:drawing>
          <wp:inline distT="0" distB="0" distL="0" distR="0" wp14:anchorId="52AAFC5C" wp14:editId="081DDF2C">
            <wp:extent cx="5348177" cy="4413979"/>
            <wp:effectExtent l="0" t="0" r="0" b="5715"/>
            <wp:docPr id="704911390" name="Diagram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29BEC46-66FF-AE41-B3E0-0714739389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91F9B2" w14:textId="25618AD9" w:rsidR="00E90969" w:rsidRDefault="00DF46FE" w:rsidP="00A841F1">
      <w:pPr>
        <w:spacing w:line="276" w:lineRule="auto"/>
        <w:ind w:firstLine="0"/>
        <w:rPr>
          <w:rFonts w:ascii="Arial" w:hAnsi="Arial" w:cs="Arial"/>
          <w:sz w:val="18"/>
          <w:szCs w:val="18"/>
        </w:rPr>
      </w:pPr>
      <w:r w:rsidRPr="00DF46FE">
        <w:rPr>
          <w:rFonts w:ascii="Arial" w:hAnsi="Arial" w:cs="Arial"/>
          <w:b/>
          <w:bCs/>
          <w:sz w:val="18"/>
          <w:szCs w:val="18"/>
        </w:rPr>
        <w:t xml:space="preserve">Note: </w:t>
      </w:r>
      <w:r w:rsidR="00E90969">
        <w:rPr>
          <w:rFonts w:ascii="Arial" w:hAnsi="Arial" w:cs="Arial"/>
          <w:sz w:val="18"/>
          <w:szCs w:val="18"/>
        </w:rPr>
        <w:t xml:space="preserve">Reported side effects severity during </w:t>
      </w:r>
      <w:r w:rsidR="00E90969" w:rsidRPr="00E90969">
        <w:rPr>
          <w:rFonts w:ascii="Arial" w:hAnsi="Arial" w:cs="Arial"/>
          <w:b/>
          <w:bCs/>
          <w:sz w:val="18"/>
          <w:szCs w:val="18"/>
        </w:rPr>
        <w:t>(a) dim red light intervention</w:t>
      </w:r>
      <w:r w:rsidR="00E90969">
        <w:rPr>
          <w:rFonts w:ascii="Arial" w:hAnsi="Arial" w:cs="Arial"/>
          <w:sz w:val="18"/>
          <w:szCs w:val="18"/>
        </w:rPr>
        <w:t xml:space="preserve"> sessions and </w:t>
      </w:r>
      <w:r w:rsidR="00E90969" w:rsidRPr="00E90969">
        <w:rPr>
          <w:rFonts w:ascii="Arial" w:hAnsi="Arial" w:cs="Arial"/>
          <w:b/>
          <w:bCs/>
          <w:sz w:val="18"/>
          <w:szCs w:val="18"/>
        </w:rPr>
        <w:t>(b) blue-enriched light intervention</w:t>
      </w:r>
      <w:r w:rsidR="00E90969">
        <w:rPr>
          <w:rFonts w:ascii="Arial" w:hAnsi="Arial" w:cs="Arial"/>
          <w:sz w:val="18"/>
          <w:szCs w:val="18"/>
        </w:rPr>
        <w:t xml:space="preserve"> sessions with ratings </w:t>
      </w:r>
      <w:r w:rsidR="007749B0">
        <w:rPr>
          <w:rFonts w:ascii="Arial" w:hAnsi="Arial" w:cs="Arial"/>
          <w:sz w:val="18"/>
          <w:szCs w:val="18"/>
        </w:rPr>
        <w:t>‘</w:t>
      </w:r>
      <w:r w:rsidR="00E90969">
        <w:rPr>
          <w:rFonts w:ascii="Arial" w:hAnsi="Arial" w:cs="Arial"/>
          <w:sz w:val="18"/>
          <w:szCs w:val="18"/>
        </w:rPr>
        <w:t>not at all</w:t>
      </w:r>
      <w:r w:rsidR="007749B0">
        <w:rPr>
          <w:rFonts w:ascii="Arial" w:hAnsi="Arial" w:cs="Arial"/>
          <w:sz w:val="18"/>
          <w:szCs w:val="18"/>
        </w:rPr>
        <w:t>’</w:t>
      </w:r>
      <w:r w:rsidR="00E90969">
        <w:rPr>
          <w:rFonts w:ascii="Arial" w:hAnsi="Arial" w:cs="Arial"/>
          <w:sz w:val="18"/>
          <w:szCs w:val="18"/>
        </w:rPr>
        <w:t xml:space="preserve"> (green), </w:t>
      </w:r>
      <w:r w:rsidR="007749B0">
        <w:rPr>
          <w:rFonts w:ascii="Arial" w:hAnsi="Arial" w:cs="Arial"/>
          <w:sz w:val="18"/>
          <w:szCs w:val="18"/>
        </w:rPr>
        <w:t>‘</w:t>
      </w:r>
      <w:r w:rsidR="00E90969">
        <w:rPr>
          <w:rFonts w:ascii="Arial" w:hAnsi="Arial" w:cs="Arial"/>
          <w:sz w:val="18"/>
          <w:szCs w:val="18"/>
        </w:rPr>
        <w:t>hardly</w:t>
      </w:r>
      <w:r w:rsidR="007749B0">
        <w:rPr>
          <w:rFonts w:ascii="Arial" w:hAnsi="Arial" w:cs="Arial"/>
          <w:sz w:val="18"/>
          <w:szCs w:val="18"/>
        </w:rPr>
        <w:t>’</w:t>
      </w:r>
      <w:r w:rsidR="00E90969">
        <w:rPr>
          <w:rFonts w:ascii="Arial" w:hAnsi="Arial" w:cs="Arial"/>
          <w:sz w:val="18"/>
          <w:szCs w:val="18"/>
        </w:rPr>
        <w:t xml:space="preserve"> (yellow), </w:t>
      </w:r>
      <w:r w:rsidR="007749B0">
        <w:rPr>
          <w:rFonts w:ascii="Arial" w:hAnsi="Arial" w:cs="Arial"/>
          <w:sz w:val="18"/>
          <w:szCs w:val="18"/>
        </w:rPr>
        <w:t>‘</w:t>
      </w:r>
      <w:r w:rsidR="00E90969">
        <w:rPr>
          <w:rFonts w:ascii="Arial" w:hAnsi="Arial" w:cs="Arial"/>
          <w:sz w:val="18"/>
          <w:szCs w:val="18"/>
        </w:rPr>
        <w:t>a little</w:t>
      </w:r>
      <w:r w:rsidR="007749B0">
        <w:rPr>
          <w:rFonts w:ascii="Arial" w:hAnsi="Arial" w:cs="Arial"/>
          <w:sz w:val="18"/>
          <w:szCs w:val="18"/>
        </w:rPr>
        <w:t>’</w:t>
      </w:r>
      <w:r w:rsidR="00E90969">
        <w:rPr>
          <w:rFonts w:ascii="Arial" w:hAnsi="Arial" w:cs="Arial"/>
          <w:sz w:val="18"/>
          <w:szCs w:val="18"/>
        </w:rPr>
        <w:t xml:space="preserve"> (light orange), </w:t>
      </w:r>
      <w:r w:rsidR="007749B0">
        <w:rPr>
          <w:rFonts w:ascii="Arial" w:hAnsi="Arial" w:cs="Arial"/>
          <w:sz w:val="18"/>
          <w:szCs w:val="18"/>
        </w:rPr>
        <w:t>‘</w:t>
      </w:r>
      <w:r w:rsidR="00E90969">
        <w:rPr>
          <w:rFonts w:ascii="Arial" w:hAnsi="Arial" w:cs="Arial"/>
          <w:sz w:val="18"/>
          <w:szCs w:val="18"/>
        </w:rPr>
        <w:t>noticeable</w:t>
      </w:r>
      <w:r w:rsidR="007749B0">
        <w:rPr>
          <w:rFonts w:ascii="Arial" w:hAnsi="Arial" w:cs="Arial"/>
          <w:sz w:val="18"/>
          <w:szCs w:val="18"/>
        </w:rPr>
        <w:t>’</w:t>
      </w:r>
      <w:r w:rsidR="00E90969">
        <w:rPr>
          <w:rFonts w:ascii="Arial" w:hAnsi="Arial" w:cs="Arial"/>
          <w:sz w:val="18"/>
          <w:szCs w:val="18"/>
        </w:rPr>
        <w:t xml:space="preserve"> (dark orange), </w:t>
      </w:r>
      <w:r w:rsidR="007749B0">
        <w:rPr>
          <w:rFonts w:ascii="Arial" w:hAnsi="Arial" w:cs="Arial"/>
          <w:sz w:val="18"/>
          <w:szCs w:val="18"/>
        </w:rPr>
        <w:t>‘</w:t>
      </w:r>
      <w:r w:rsidR="00E90969">
        <w:rPr>
          <w:rFonts w:ascii="Arial" w:hAnsi="Arial" w:cs="Arial"/>
          <w:sz w:val="18"/>
          <w:szCs w:val="18"/>
        </w:rPr>
        <w:t>strong</w:t>
      </w:r>
      <w:r w:rsidR="007749B0">
        <w:rPr>
          <w:rFonts w:ascii="Arial" w:hAnsi="Arial" w:cs="Arial"/>
          <w:sz w:val="18"/>
          <w:szCs w:val="18"/>
        </w:rPr>
        <w:t>’</w:t>
      </w:r>
      <w:r w:rsidR="00E90969">
        <w:rPr>
          <w:rFonts w:ascii="Arial" w:hAnsi="Arial" w:cs="Arial"/>
          <w:sz w:val="18"/>
          <w:szCs w:val="18"/>
        </w:rPr>
        <w:t xml:space="preserve"> (bright red), and </w:t>
      </w:r>
      <w:r w:rsidR="007749B0">
        <w:rPr>
          <w:rFonts w:ascii="Arial" w:hAnsi="Arial" w:cs="Arial"/>
          <w:sz w:val="18"/>
          <w:szCs w:val="18"/>
        </w:rPr>
        <w:t>‘</w:t>
      </w:r>
      <w:r w:rsidR="00E90969">
        <w:rPr>
          <w:rFonts w:ascii="Arial" w:hAnsi="Arial" w:cs="Arial"/>
          <w:sz w:val="18"/>
          <w:szCs w:val="18"/>
        </w:rPr>
        <w:t>very strong</w:t>
      </w:r>
      <w:r w:rsidR="007749B0">
        <w:rPr>
          <w:rFonts w:ascii="Arial" w:hAnsi="Arial" w:cs="Arial"/>
          <w:sz w:val="18"/>
          <w:szCs w:val="18"/>
        </w:rPr>
        <w:t>’</w:t>
      </w:r>
      <w:r w:rsidR="00E90969">
        <w:rPr>
          <w:rFonts w:ascii="Arial" w:hAnsi="Arial" w:cs="Arial"/>
          <w:sz w:val="18"/>
          <w:szCs w:val="18"/>
        </w:rPr>
        <w:t xml:space="preserve"> (dark red) noticeable. </w:t>
      </w:r>
    </w:p>
    <w:bookmarkEnd w:id="1"/>
    <w:p w14:paraId="4CE7A9A3" w14:textId="6C619068" w:rsidR="00153A6F" w:rsidRDefault="00153A6F">
      <w:pPr>
        <w:spacing w:line="240" w:lineRule="auto"/>
        <w:ind w:firstLine="0"/>
        <w:jc w:val="left"/>
        <w:rPr>
          <w:rFonts w:ascii="Arial" w:hAnsi="Arial" w:cs="Arial"/>
          <w:sz w:val="18"/>
          <w:szCs w:val="18"/>
        </w:rPr>
      </w:pPr>
      <w:r>
        <w:rPr>
          <w:rFonts w:ascii="Arial" w:hAnsi="Arial" w:cs="Arial"/>
          <w:sz w:val="18"/>
          <w:szCs w:val="18"/>
        </w:rPr>
        <w:br w:type="page"/>
      </w:r>
    </w:p>
    <w:p w14:paraId="75EDE77B" w14:textId="79669EE4" w:rsidR="00153A6F" w:rsidRDefault="00153A6F" w:rsidP="00153A6F">
      <w:pPr>
        <w:spacing w:after="240" w:line="240" w:lineRule="auto"/>
        <w:ind w:firstLine="0"/>
        <w:jc w:val="left"/>
        <w:rPr>
          <w:rFonts w:ascii="Arial" w:eastAsia="Calibri" w:hAnsi="Arial" w:cs="Arial"/>
        </w:rPr>
      </w:pPr>
      <w:r w:rsidRPr="00153A6F">
        <w:rPr>
          <w:rFonts w:ascii="Arial" w:eastAsia="Calibri" w:hAnsi="Arial" w:cs="Arial"/>
        </w:rPr>
        <w:lastRenderedPageBreak/>
        <w:t xml:space="preserve">References </w:t>
      </w:r>
    </w:p>
    <w:p w14:paraId="0A3A5306" w14:textId="6C61FF92" w:rsidR="00FC6618" w:rsidRPr="00FC6618" w:rsidRDefault="00FC6618" w:rsidP="00FC6618">
      <w:pPr>
        <w:pStyle w:val="Literaturverzeichnis1"/>
        <w:rPr>
          <w:lang w:val="en-US"/>
        </w:rPr>
      </w:pPr>
      <w:r w:rsidRPr="00FC6618">
        <w:rPr>
          <w:lang w:val="en-US"/>
        </w:rPr>
        <w:t>1.</w:t>
      </w:r>
      <w:r w:rsidRPr="00FC6618">
        <w:rPr>
          <w:lang w:val="en-US"/>
        </w:rPr>
        <w:tab/>
        <w:t xml:space="preserve">Netzer, N. C., Stoohs, R. A., Netzer, C. M., Clark, K. &amp; Strohl, K. P. Using the Berlin Questionnaire To Identify Patients at Risk for the Sleep Apnea Syndrome. </w:t>
      </w:r>
      <w:r w:rsidRPr="00FC6618">
        <w:rPr>
          <w:i/>
          <w:iCs/>
          <w:lang w:val="en-US"/>
        </w:rPr>
        <w:t>Ann. Intern. Med.</w:t>
      </w:r>
      <w:r w:rsidRPr="00FC6618">
        <w:rPr>
          <w:lang w:val="en-US"/>
        </w:rPr>
        <w:t xml:space="preserve"> </w:t>
      </w:r>
      <w:r w:rsidRPr="00FC6618">
        <w:rPr>
          <w:b/>
          <w:bCs/>
          <w:lang w:val="en-US"/>
        </w:rPr>
        <w:t>131</w:t>
      </w:r>
      <w:r w:rsidRPr="00FC6618">
        <w:rPr>
          <w:lang w:val="en-US"/>
        </w:rPr>
        <w:t>, 485–491 (1999).</w:t>
      </w:r>
    </w:p>
    <w:p w14:paraId="7A8FB1F7" w14:textId="77777777" w:rsidR="00FC6618" w:rsidRPr="00FC6618" w:rsidRDefault="00FC6618" w:rsidP="00FC6618">
      <w:pPr>
        <w:pStyle w:val="Literaturverzeichnis1"/>
        <w:rPr>
          <w:lang w:val="en-US"/>
        </w:rPr>
      </w:pPr>
      <w:r w:rsidRPr="00FC6618">
        <w:rPr>
          <w:lang w:val="en-US"/>
        </w:rPr>
        <w:t>2.</w:t>
      </w:r>
      <w:r w:rsidRPr="00FC6618">
        <w:rPr>
          <w:lang w:val="en-US"/>
        </w:rPr>
        <w:tab/>
        <w:t xml:space="preserve">Allen, R. P. </w:t>
      </w:r>
      <w:r w:rsidRPr="00FC6618">
        <w:rPr>
          <w:i/>
          <w:iCs/>
          <w:lang w:val="en-US"/>
        </w:rPr>
        <w:t>et al.</w:t>
      </w:r>
      <w:r w:rsidRPr="00FC6618">
        <w:rPr>
          <w:lang w:val="en-US"/>
        </w:rPr>
        <w:t xml:space="preserve"> Restless legs syndrome/Willis-Ekbom disease diagnostic criteria: updated International Restless Legs Syndrome Study Group (IRLSSG) consensus criteria--history, rationale, description, and significance. </w:t>
      </w:r>
      <w:r w:rsidRPr="00FC6618">
        <w:rPr>
          <w:i/>
          <w:iCs/>
          <w:lang w:val="en-US"/>
        </w:rPr>
        <w:t>Sleep Med.</w:t>
      </w:r>
      <w:r w:rsidRPr="00FC6618">
        <w:rPr>
          <w:lang w:val="en-US"/>
        </w:rPr>
        <w:t xml:space="preserve"> </w:t>
      </w:r>
      <w:r w:rsidRPr="00FC6618">
        <w:rPr>
          <w:b/>
          <w:bCs/>
          <w:lang w:val="en-US"/>
        </w:rPr>
        <w:t>15</w:t>
      </w:r>
      <w:r w:rsidRPr="00FC6618">
        <w:rPr>
          <w:lang w:val="en-US"/>
        </w:rPr>
        <w:t>, 860–873 (2014).</w:t>
      </w:r>
    </w:p>
    <w:p w14:paraId="75AB580C" w14:textId="77777777" w:rsidR="00FC6618" w:rsidRPr="00FC6618" w:rsidRDefault="00FC6618" w:rsidP="00FC6618">
      <w:pPr>
        <w:pStyle w:val="Literaturverzeichnis1"/>
        <w:rPr>
          <w:lang w:val="en-US"/>
        </w:rPr>
      </w:pPr>
      <w:r w:rsidRPr="00FC6618">
        <w:rPr>
          <w:lang w:val="en-US"/>
        </w:rPr>
        <w:t>3.</w:t>
      </w:r>
      <w:r w:rsidRPr="00FC6618">
        <w:rPr>
          <w:lang w:val="en-US"/>
        </w:rPr>
        <w:tab/>
        <w:t xml:space="preserve">Crönlein, T. </w:t>
      </w:r>
      <w:r w:rsidRPr="00FC6618">
        <w:rPr>
          <w:i/>
          <w:iCs/>
          <w:lang w:val="en-US"/>
        </w:rPr>
        <w:t>et al.</w:t>
      </w:r>
      <w:r w:rsidRPr="00FC6618">
        <w:rPr>
          <w:lang w:val="en-US"/>
        </w:rPr>
        <w:t xml:space="preserve"> Regensburg Insomnia Scale (RIS): a new short rating scale for the assessment of psychological symptoms and sleep in insomnia; Study design: development and validation of a new short self-rating scale in a sample of 218 patients suffering from insomnia and 94 healthy controls. </w:t>
      </w:r>
      <w:r w:rsidRPr="00FC6618">
        <w:rPr>
          <w:i/>
          <w:iCs/>
          <w:lang w:val="en-US"/>
        </w:rPr>
        <w:t>Health Qual. Life Outcomes</w:t>
      </w:r>
      <w:r w:rsidRPr="00FC6618">
        <w:rPr>
          <w:lang w:val="en-US"/>
        </w:rPr>
        <w:t xml:space="preserve"> </w:t>
      </w:r>
      <w:r w:rsidRPr="00FC6618">
        <w:rPr>
          <w:b/>
          <w:bCs/>
          <w:lang w:val="en-US"/>
        </w:rPr>
        <w:t>11</w:t>
      </w:r>
      <w:r w:rsidRPr="00FC6618">
        <w:rPr>
          <w:lang w:val="en-US"/>
        </w:rPr>
        <w:t>, 65 (2013).</w:t>
      </w:r>
    </w:p>
    <w:p w14:paraId="495DC636" w14:textId="77777777" w:rsidR="00FC6618" w:rsidRPr="00FC6618" w:rsidRDefault="00FC6618" w:rsidP="00FC6618">
      <w:pPr>
        <w:pStyle w:val="Literaturverzeichnis1"/>
        <w:rPr>
          <w:lang w:val="en-US"/>
        </w:rPr>
      </w:pPr>
      <w:r w:rsidRPr="00FC6618">
        <w:rPr>
          <w:lang w:val="en-US"/>
        </w:rPr>
        <w:t>4.</w:t>
      </w:r>
      <w:r w:rsidRPr="00FC6618">
        <w:rPr>
          <w:lang w:val="en-US"/>
        </w:rPr>
        <w:tab/>
        <w:t xml:space="preserve">Johns, M. W. A New Method for Measuring Daytime Sleepiness: The Epworth Sleepiness Scale. </w:t>
      </w:r>
      <w:r w:rsidRPr="00FC6618">
        <w:rPr>
          <w:i/>
          <w:iCs/>
          <w:lang w:val="en-US"/>
        </w:rPr>
        <w:t>Sleep</w:t>
      </w:r>
      <w:r w:rsidRPr="00FC6618">
        <w:rPr>
          <w:lang w:val="en-US"/>
        </w:rPr>
        <w:t xml:space="preserve"> </w:t>
      </w:r>
      <w:r w:rsidRPr="00FC6618">
        <w:rPr>
          <w:b/>
          <w:bCs/>
          <w:lang w:val="en-US"/>
        </w:rPr>
        <w:t>14</w:t>
      </w:r>
      <w:r w:rsidRPr="00FC6618">
        <w:rPr>
          <w:lang w:val="en-US"/>
        </w:rPr>
        <w:t>, 540–545 (1991).</w:t>
      </w:r>
    </w:p>
    <w:p w14:paraId="2D89D737" w14:textId="77777777" w:rsidR="00FC6618" w:rsidRPr="00FC6618" w:rsidRDefault="00FC6618" w:rsidP="00FC6618">
      <w:pPr>
        <w:pStyle w:val="Literaturverzeichnis1"/>
        <w:rPr>
          <w:lang w:val="en-US"/>
        </w:rPr>
      </w:pPr>
      <w:r w:rsidRPr="00FC6618">
        <w:rPr>
          <w:lang w:val="en-US"/>
        </w:rPr>
        <w:t>5.</w:t>
      </w:r>
      <w:r w:rsidRPr="00FC6618">
        <w:rPr>
          <w:lang w:val="en-US"/>
        </w:rPr>
        <w:tab/>
        <w:t xml:space="preserve">Johns, M. W. Reliability and Factor Analysis of the Epworth Sleepiness Scale. </w:t>
      </w:r>
      <w:r w:rsidRPr="00FC6618">
        <w:rPr>
          <w:i/>
          <w:iCs/>
          <w:lang w:val="en-US"/>
        </w:rPr>
        <w:t>Sleep</w:t>
      </w:r>
      <w:r w:rsidRPr="00FC6618">
        <w:rPr>
          <w:lang w:val="en-US"/>
        </w:rPr>
        <w:t xml:space="preserve"> </w:t>
      </w:r>
      <w:r w:rsidRPr="00FC6618">
        <w:rPr>
          <w:b/>
          <w:bCs/>
          <w:lang w:val="en-US"/>
        </w:rPr>
        <w:t>15</w:t>
      </w:r>
      <w:r w:rsidRPr="00FC6618">
        <w:rPr>
          <w:lang w:val="en-US"/>
        </w:rPr>
        <w:t>, 376–381 (1992).</w:t>
      </w:r>
    </w:p>
    <w:p w14:paraId="1C122B67" w14:textId="77777777" w:rsidR="00FC6618" w:rsidRPr="00FC6618" w:rsidRDefault="00FC6618" w:rsidP="00FC6618">
      <w:pPr>
        <w:pStyle w:val="Literaturverzeichnis1"/>
        <w:rPr>
          <w:lang w:val="en-US"/>
        </w:rPr>
      </w:pPr>
      <w:r w:rsidRPr="00FC6618">
        <w:rPr>
          <w:lang w:val="en-US"/>
        </w:rPr>
        <w:t>6.</w:t>
      </w:r>
      <w:r w:rsidRPr="00FC6618">
        <w:rPr>
          <w:lang w:val="en-US"/>
        </w:rPr>
        <w:tab/>
        <w:t xml:space="preserve">Sauter, C. </w:t>
      </w:r>
      <w:r w:rsidRPr="00FC6618">
        <w:rPr>
          <w:i/>
          <w:iCs/>
          <w:lang w:val="en-US"/>
        </w:rPr>
        <w:t>et al.</w:t>
      </w:r>
      <w:r w:rsidRPr="00FC6618">
        <w:rPr>
          <w:lang w:val="en-US"/>
        </w:rPr>
        <w:t xml:space="preserve"> Normative Values of the German Epworth Sleepiness Scale. </w:t>
      </w:r>
      <w:r w:rsidRPr="00FC6618">
        <w:rPr>
          <w:i/>
          <w:iCs/>
          <w:lang w:val="en-US"/>
        </w:rPr>
        <w:t>Somnologie - Schlafforschung Schlafmed.</w:t>
      </w:r>
      <w:r w:rsidRPr="00FC6618">
        <w:rPr>
          <w:lang w:val="en-US"/>
        </w:rPr>
        <w:t xml:space="preserve"> </w:t>
      </w:r>
      <w:r w:rsidRPr="00FC6618">
        <w:rPr>
          <w:b/>
          <w:bCs/>
          <w:lang w:val="en-US"/>
        </w:rPr>
        <w:t>11</w:t>
      </w:r>
      <w:r w:rsidRPr="00FC6618">
        <w:rPr>
          <w:lang w:val="en-US"/>
        </w:rPr>
        <w:t>, 272–278 (2007).</w:t>
      </w:r>
    </w:p>
    <w:p w14:paraId="0017E0C5" w14:textId="77777777" w:rsidR="00FC6618" w:rsidRPr="00FC6618" w:rsidRDefault="00FC6618" w:rsidP="00FC6618">
      <w:pPr>
        <w:pStyle w:val="Literaturverzeichnis1"/>
        <w:rPr>
          <w:lang w:val="en-US"/>
        </w:rPr>
      </w:pPr>
      <w:r w:rsidRPr="00FC6618">
        <w:rPr>
          <w:lang w:val="en-US"/>
        </w:rPr>
        <w:t>7.</w:t>
      </w:r>
      <w:r w:rsidRPr="00FC6618">
        <w:rPr>
          <w:lang w:val="en-US"/>
        </w:rPr>
        <w:tab/>
        <w:t xml:space="preserve">Krupp, L. B., LaRocca, N. G., Muir-Nash, J. &amp; Steinberg, A. D. The Fatigue Severity Scale: Application to Patients With Multiple Sclerosis and Systemic Lupus Erythematosus. </w:t>
      </w:r>
      <w:r w:rsidRPr="00FC6618">
        <w:rPr>
          <w:i/>
          <w:iCs/>
          <w:lang w:val="en-US"/>
        </w:rPr>
        <w:t>Arch. Neurol.</w:t>
      </w:r>
      <w:r w:rsidRPr="00FC6618">
        <w:rPr>
          <w:lang w:val="en-US"/>
        </w:rPr>
        <w:t xml:space="preserve"> </w:t>
      </w:r>
      <w:r w:rsidRPr="00FC6618">
        <w:rPr>
          <w:b/>
          <w:bCs/>
          <w:lang w:val="en-US"/>
        </w:rPr>
        <w:t>46</w:t>
      </w:r>
      <w:r w:rsidRPr="00FC6618">
        <w:rPr>
          <w:lang w:val="en-US"/>
        </w:rPr>
        <w:t>, 1121–1123 (1989).</w:t>
      </w:r>
    </w:p>
    <w:p w14:paraId="2F168A95" w14:textId="77777777" w:rsidR="00FC6618" w:rsidRPr="00FC6618" w:rsidRDefault="00FC6618" w:rsidP="00FC6618">
      <w:pPr>
        <w:pStyle w:val="Literaturverzeichnis1"/>
        <w:rPr>
          <w:lang w:val="en-US"/>
        </w:rPr>
      </w:pPr>
      <w:r w:rsidRPr="00FC6618">
        <w:rPr>
          <w:lang w:val="en-US"/>
        </w:rPr>
        <w:t>8.</w:t>
      </w:r>
      <w:r w:rsidRPr="00FC6618">
        <w:rPr>
          <w:lang w:val="en-US"/>
        </w:rPr>
        <w:tab/>
        <w:t xml:space="preserve">Andreasen, A., Stenager, E. &amp; Dalgas, U. The effect of exercise therapy on fatigue in multiple sclerosis. </w:t>
      </w:r>
      <w:r w:rsidRPr="00FC6618">
        <w:rPr>
          <w:i/>
          <w:iCs/>
          <w:lang w:val="en-US"/>
        </w:rPr>
        <w:t>Mult. Scler. J.</w:t>
      </w:r>
      <w:r w:rsidRPr="00FC6618">
        <w:rPr>
          <w:lang w:val="en-US"/>
        </w:rPr>
        <w:t xml:space="preserve"> </w:t>
      </w:r>
      <w:r w:rsidRPr="00FC6618">
        <w:rPr>
          <w:b/>
          <w:bCs/>
          <w:lang w:val="en-US"/>
        </w:rPr>
        <w:t>17</w:t>
      </w:r>
      <w:r w:rsidRPr="00FC6618">
        <w:rPr>
          <w:lang w:val="en-US"/>
        </w:rPr>
        <w:t>, 1041–1054 (2011).</w:t>
      </w:r>
    </w:p>
    <w:p w14:paraId="0ECF45A2" w14:textId="77777777" w:rsidR="00FC6618" w:rsidRPr="00FC6618" w:rsidRDefault="00FC6618" w:rsidP="00FC6618">
      <w:pPr>
        <w:pStyle w:val="Literaturverzeichnis1"/>
        <w:rPr>
          <w:lang w:val="en-US"/>
        </w:rPr>
      </w:pPr>
      <w:r w:rsidRPr="00FC6618">
        <w:rPr>
          <w:lang w:val="en-US"/>
        </w:rPr>
        <w:t>9.</w:t>
      </w:r>
      <w:r w:rsidRPr="00FC6618">
        <w:rPr>
          <w:lang w:val="en-US"/>
        </w:rPr>
        <w:tab/>
        <w:t xml:space="preserve">Learmonth, Y. C. </w:t>
      </w:r>
      <w:r w:rsidRPr="00FC6618">
        <w:rPr>
          <w:i/>
          <w:iCs/>
          <w:lang w:val="en-US"/>
        </w:rPr>
        <w:t>et al.</w:t>
      </w:r>
      <w:r w:rsidRPr="00FC6618">
        <w:rPr>
          <w:lang w:val="en-US"/>
        </w:rPr>
        <w:t xml:space="preserve"> Psychometric properties of the Fatigue Severity Scale and the Modified Fatigue Impact Scale. </w:t>
      </w:r>
      <w:r w:rsidRPr="00FC6618">
        <w:rPr>
          <w:i/>
          <w:iCs/>
          <w:lang w:val="en-US"/>
        </w:rPr>
        <w:t>J. Neurol. Sci.</w:t>
      </w:r>
      <w:r w:rsidRPr="00FC6618">
        <w:rPr>
          <w:lang w:val="en-US"/>
        </w:rPr>
        <w:t xml:space="preserve"> </w:t>
      </w:r>
      <w:r w:rsidRPr="00FC6618">
        <w:rPr>
          <w:b/>
          <w:bCs/>
          <w:lang w:val="en-US"/>
        </w:rPr>
        <w:t>331</w:t>
      </w:r>
      <w:r w:rsidRPr="00FC6618">
        <w:rPr>
          <w:lang w:val="en-US"/>
        </w:rPr>
        <w:t>, 102–107 (2013).</w:t>
      </w:r>
    </w:p>
    <w:p w14:paraId="40AF0E40" w14:textId="77777777" w:rsidR="00FC6618" w:rsidRPr="00FC6618" w:rsidRDefault="00FC6618" w:rsidP="00FC6618">
      <w:pPr>
        <w:pStyle w:val="Literaturverzeichnis1"/>
        <w:rPr>
          <w:lang w:val="de-DE"/>
        </w:rPr>
      </w:pPr>
      <w:r w:rsidRPr="00FC6618">
        <w:rPr>
          <w:lang w:val="en-US"/>
        </w:rPr>
        <w:t>10.</w:t>
      </w:r>
      <w:r w:rsidRPr="00FC6618">
        <w:rPr>
          <w:lang w:val="en-US"/>
        </w:rPr>
        <w:tab/>
        <w:t xml:space="preserve">Lerdal, A., Wahl, A., Rustøen, T., Hanestad, B. R. &amp; Moum, T. Fatigue in the general population: a translation and test of the psychometric properties of the Norwegian version of the fatigue severity scale. </w:t>
      </w:r>
      <w:r w:rsidRPr="00FC6618">
        <w:rPr>
          <w:i/>
          <w:iCs/>
          <w:lang w:val="de-DE"/>
        </w:rPr>
        <w:t>Scand. J. Public Health</w:t>
      </w:r>
      <w:r w:rsidRPr="00FC6618">
        <w:rPr>
          <w:lang w:val="de-DE"/>
        </w:rPr>
        <w:t xml:space="preserve"> </w:t>
      </w:r>
      <w:r w:rsidRPr="00FC6618">
        <w:rPr>
          <w:b/>
          <w:bCs/>
          <w:lang w:val="de-DE"/>
        </w:rPr>
        <w:t>33</w:t>
      </w:r>
      <w:r w:rsidRPr="00FC6618">
        <w:rPr>
          <w:lang w:val="de-DE"/>
        </w:rPr>
        <w:t>, 123–130 (2005).</w:t>
      </w:r>
    </w:p>
    <w:p w14:paraId="16C28226" w14:textId="77777777" w:rsidR="00FC6618" w:rsidRPr="00FC6618" w:rsidRDefault="00FC6618" w:rsidP="00FC6618">
      <w:pPr>
        <w:pStyle w:val="Literaturverzeichnis1"/>
        <w:rPr>
          <w:lang w:val="en-US"/>
        </w:rPr>
      </w:pPr>
      <w:r w:rsidRPr="00FC6618">
        <w:rPr>
          <w:lang w:val="de-DE"/>
        </w:rPr>
        <w:t>11.</w:t>
      </w:r>
      <w:r w:rsidRPr="00FC6618">
        <w:rPr>
          <w:lang w:val="de-DE"/>
        </w:rPr>
        <w:tab/>
        <w:t xml:space="preserve">Reske, D., Pukrop, R., Scheinig, K., Haupt, W. F. &amp; Petereit, H.-F. Messbarkeit von Fatigue bei multipler Sklerose mithilfe standardisierter Methoden im deutschsprachigen Raum. </w:t>
      </w:r>
      <w:r w:rsidRPr="00FC6618">
        <w:rPr>
          <w:i/>
          <w:iCs/>
          <w:lang w:val="en-US"/>
        </w:rPr>
        <w:t>Fortschritte Neurol. · Psychiatr.</w:t>
      </w:r>
      <w:r w:rsidRPr="00FC6618">
        <w:rPr>
          <w:lang w:val="en-US"/>
        </w:rPr>
        <w:t xml:space="preserve"> </w:t>
      </w:r>
      <w:r w:rsidRPr="00FC6618">
        <w:rPr>
          <w:b/>
          <w:bCs/>
          <w:lang w:val="en-US"/>
        </w:rPr>
        <w:t>74</w:t>
      </w:r>
      <w:r w:rsidRPr="00FC6618">
        <w:rPr>
          <w:lang w:val="en-US"/>
        </w:rPr>
        <w:t>, 497–502 (2006).</w:t>
      </w:r>
    </w:p>
    <w:p w14:paraId="3F079790" w14:textId="77777777" w:rsidR="00FC6618" w:rsidRPr="00FC6618" w:rsidRDefault="00FC6618" w:rsidP="00FC6618">
      <w:pPr>
        <w:pStyle w:val="Literaturverzeichnis1"/>
        <w:rPr>
          <w:lang w:val="en-US"/>
        </w:rPr>
      </w:pPr>
      <w:r w:rsidRPr="00FC6618">
        <w:rPr>
          <w:lang w:val="en-US"/>
        </w:rPr>
        <w:lastRenderedPageBreak/>
        <w:t>12.</w:t>
      </w:r>
      <w:r w:rsidRPr="00FC6618">
        <w:rPr>
          <w:lang w:val="en-US"/>
        </w:rPr>
        <w:tab/>
        <w:t xml:space="preserve">Fisk, J. D. &amp; Doble, S. E. Construction and validation of a fatigue impact scale for daily administration (D-FIS). </w:t>
      </w:r>
      <w:r w:rsidRPr="00FC6618">
        <w:rPr>
          <w:i/>
          <w:iCs/>
          <w:lang w:val="en-US"/>
        </w:rPr>
        <w:t>Qual. Life Res. Int. J. Qual. Life Asp. Treat. Care Rehabil.</w:t>
      </w:r>
      <w:r w:rsidRPr="00FC6618">
        <w:rPr>
          <w:lang w:val="en-US"/>
        </w:rPr>
        <w:t xml:space="preserve"> </w:t>
      </w:r>
      <w:r w:rsidRPr="00FC6618">
        <w:rPr>
          <w:b/>
          <w:bCs/>
          <w:lang w:val="en-US"/>
        </w:rPr>
        <w:t>11</w:t>
      </w:r>
      <w:r w:rsidRPr="00FC6618">
        <w:rPr>
          <w:lang w:val="en-US"/>
        </w:rPr>
        <w:t>, 263–272 (2002).</w:t>
      </w:r>
    </w:p>
    <w:p w14:paraId="214E4C27" w14:textId="77777777" w:rsidR="00FC6618" w:rsidRPr="00FC6618" w:rsidRDefault="00FC6618" w:rsidP="00FC6618">
      <w:pPr>
        <w:pStyle w:val="Literaturverzeichnis1"/>
        <w:rPr>
          <w:lang w:val="en-US"/>
        </w:rPr>
      </w:pPr>
      <w:r w:rsidRPr="00FC6618">
        <w:rPr>
          <w:lang w:val="en-US"/>
        </w:rPr>
        <w:t>13.</w:t>
      </w:r>
      <w:r w:rsidRPr="00FC6618">
        <w:rPr>
          <w:lang w:val="en-US"/>
        </w:rPr>
        <w:tab/>
        <w:t xml:space="preserve">Fisk, J. D. </w:t>
      </w:r>
      <w:r w:rsidRPr="00FC6618">
        <w:rPr>
          <w:i/>
          <w:iCs/>
          <w:lang w:val="en-US"/>
        </w:rPr>
        <w:t>et al.</w:t>
      </w:r>
      <w:r w:rsidRPr="00FC6618">
        <w:rPr>
          <w:lang w:val="en-US"/>
        </w:rPr>
        <w:t xml:space="preserve"> Measuring the functional impact of fatigue: initial validation of the fatigue impact scale. </w:t>
      </w:r>
      <w:r w:rsidRPr="00FC6618">
        <w:rPr>
          <w:i/>
          <w:iCs/>
          <w:lang w:val="en-US"/>
        </w:rPr>
        <w:t>Clin. Infect. Dis. Off. Publ. Infect. Dis. Soc. Am.</w:t>
      </w:r>
      <w:r w:rsidRPr="00FC6618">
        <w:rPr>
          <w:lang w:val="en-US"/>
        </w:rPr>
        <w:t xml:space="preserve"> </w:t>
      </w:r>
      <w:r w:rsidRPr="00FC6618">
        <w:rPr>
          <w:b/>
          <w:bCs/>
          <w:lang w:val="en-US"/>
        </w:rPr>
        <w:t>18 Suppl 1</w:t>
      </w:r>
      <w:r w:rsidRPr="00FC6618">
        <w:rPr>
          <w:lang w:val="en-US"/>
        </w:rPr>
        <w:t>, S79-83 (1994).</w:t>
      </w:r>
    </w:p>
    <w:p w14:paraId="53CC29AA" w14:textId="77777777" w:rsidR="00FC6618" w:rsidRPr="00FC6618" w:rsidRDefault="00FC6618" w:rsidP="00FC6618">
      <w:pPr>
        <w:pStyle w:val="Literaturverzeichnis1"/>
        <w:rPr>
          <w:lang w:val="en-US"/>
        </w:rPr>
      </w:pPr>
      <w:r w:rsidRPr="00FC6618">
        <w:rPr>
          <w:lang w:val="en-US"/>
        </w:rPr>
        <w:t>14.</w:t>
      </w:r>
      <w:r w:rsidRPr="00FC6618">
        <w:rPr>
          <w:lang w:val="en-US"/>
        </w:rPr>
        <w:tab/>
        <w:t xml:space="preserve">Buysse, D. J., Reynolds III., C. F., Monk, T. H., Berman, S. R. &amp; Kupfer, D. J. The Pittsburgh Sleep Quality Index: a new instrument for psychiatric practice and research. </w:t>
      </w:r>
      <w:r w:rsidRPr="00FC6618">
        <w:rPr>
          <w:i/>
          <w:iCs/>
          <w:lang w:val="en-US"/>
        </w:rPr>
        <w:t>Psychiatry Res.</w:t>
      </w:r>
      <w:r w:rsidRPr="00FC6618">
        <w:rPr>
          <w:lang w:val="en-US"/>
        </w:rPr>
        <w:t xml:space="preserve"> </w:t>
      </w:r>
      <w:r w:rsidRPr="00FC6618">
        <w:rPr>
          <w:b/>
          <w:bCs/>
          <w:lang w:val="en-US"/>
        </w:rPr>
        <w:t>28</w:t>
      </w:r>
      <w:r w:rsidRPr="00FC6618">
        <w:rPr>
          <w:lang w:val="en-US"/>
        </w:rPr>
        <w:t>, 193–213 (1989).</w:t>
      </w:r>
    </w:p>
    <w:p w14:paraId="5A67531F" w14:textId="77777777" w:rsidR="00FC6618" w:rsidRPr="00FC6618" w:rsidRDefault="00FC6618" w:rsidP="00FC6618">
      <w:pPr>
        <w:pStyle w:val="Literaturverzeichnis1"/>
        <w:rPr>
          <w:lang w:val="de-DE"/>
        </w:rPr>
      </w:pPr>
      <w:r w:rsidRPr="00FC6618">
        <w:rPr>
          <w:lang w:val="en-US"/>
        </w:rPr>
        <w:t>15.</w:t>
      </w:r>
      <w:r w:rsidRPr="00FC6618">
        <w:rPr>
          <w:lang w:val="en-US"/>
        </w:rPr>
        <w:tab/>
        <w:t xml:space="preserve">Backhaus, J., Junghanns, K., Broocks, A., Riemann, D. &amp; Hohagen, F. Test–retest reliability and validity of the Pittsburgh Sleep Quality Index in primary insomnia. </w:t>
      </w:r>
      <w:r w:rsidRPr="00FC6618">
        <w:rPr>
          <w:i/>
          <w:iCs/>
          <w:lang w:val="de-DE"/>
        </w:rPr>
        <w:t>J. Psychosom. Res.</w:t>
      </w:r>
      <w:r w:rsidRPr="00FC6618">
        <w:rPr>
          <w:lang w:val="de-DE"/>
        </w:rPr>
        <w:t xml:space="preserve"> </w:t>
      </w:r>
      <w:r w:rsidRPr="00FC6618">
        <w:rPr>
          <w:b/>
          <w:bCs/>
          <w:lang w:val="de-DE"/>
        </w:rPr>
        <w:t>53</w:t>
      </w:r>
      <w:r w:rsidRPr="00FC6618">
        <w:rPr>
          <w:lang w:val="de-DE"/>
        </w:rPr>
        <w:t>, 737–740 (2002).</w:t>
      </w:r>
    </w:p>
    <w:p w14:paraId="48ECA979" w14:textId="77777777" w:rsidR="00FC6618" w:rsidRPr="00FC6618" w:rsidRDefault="00FC6618" w:rsidP="00FC6618">
      <w:pPr>
        <w:pStyle w:val="Literaturverzeichnis1"/>
        <w:rPr>
          <w:lang w:val="en-US"/>
        </w:rPr>
      </w:pPr>
      <w:r w:rsidRPr="00FC6618">
        <w:rPr>
          <w:lang w:val="de-DE"/>
        </w:rPr>
        <w:t>16.</w:t>
      </w:r>
      <w:r w:rsidRPr="00FC6618">
        <w:rPr>
          <w:lang w:val="de-DE"/>
        </w:rPr>
        <w:tab/>
        <w:t xml:space="preserve">Griefahn, B., Künemund, C., Bröde, P. &amp; Mehnert, P. Zur Validität der deutschen Übersetzung des Morningness-Eveningness-Questionnaires von Horne und Östberg. </w:t>
      </w:r>
      <w:r w:rsidRPr="00FC6618">
        <w:rPr>
          <w:i/>
          <w:iCs/>
          <w:lang w:val="en-US"/>
        </w:rPr>
        <w:t>Somnologie</w:t>
      </w:r>
      <w:r w:rsidRPr="00FC6618">
        <w:rPr>
          <w:lang w:val="en-US"/>
        </w:rPr>
        <w:t xml:space="preserve"> </w:t>
      </w:r>
      <w:r w:rsidRPr="00FC6618">
        <w:rPr>
          <w:b/>
          <w:bCs/>
          <w:lang w:val="en-US"/>
        </w:rPr>
        <w:t>5</w:t>
      </w:r>
      <w:r w:rsidRPr="00FC6618">
        <w:rPr>
          <w:lang w:val="en-US"/>
        </w:rPr>
        <w:t>, 71–80 (2001).</w:t>
      </w:r>
    </w:p>
    <w:p w14:paraId="3A2E5F4C" w14:textId="77777777" w:rsidR="00FC6618" w:rsidRPr="00FC6618" w:rsidRDefault="00FC6618" w:rsidP="00FC6618">
      <w:pPr>
        <w:pStyle w:val="Literaturverzeichnis1"/>
        <w:rPr>
          <w:lang w:val="en-US"/>
        </w:rPr>
      </w:pPr>
      <w:r w:rsidRPr="00FC6618">
        <w:rPr>
          <w:lang w:val="en-US"/>
        </w:rPr>
        <w:t>17.</w:t>
      </w:r>
      <w:r w:rsidRPr="00FC6618">
        <w:rPr>
          <w:lang w:val="en-US"/>
        </w:rPr>
        <w:tab/>
        <w:t xml:space="preserve">Beck, A. T., Steer, R. A., Ball, R. &amp; Ranieri, W. Comparison of Beck Depression Inventories -IA and -II in psychiatric outpatients. </w:t>
      </w:r>
      <w:r w:rsidRPr="00FC6618">
        <w:rPr>
          <w:i/>
          <w:iCs/>
          <w:lang w:val="en-US"/>
        </w:rPr>
        <w:t>J. Pers. Assess.</w:t>
      </w:r>
      <w:r w:rsidRPr="00FC6618">
        <w:rPr>
          <w:lang w:val="en-US"/>
        </w:rPr>
        <w:t xml:space="preserve"> </w:t>
      </w:r>
      <w:r w:rsidRPr="00FC6618">
        <w:rPr>
          <w:b/>
          <w:bCs/>
          <w:lang w:val="en-US"/>
        </w:rPr>
        <w:t>67</w:t>
      </w:r>
      <w:r w:rsidRPr="00FC6618">
        <w:rPr>
          <w:lang w:val="en-US"/>
        </w:rPr>
        <w:t>, 588–597 (1996).</w:t>
      </w:r>
    </w:p>
    <w:p w14:paraId="200AC65F" w14:textId="77777777" w:rsidR="00FC6618" w:rsidRPr="00FC6618" w:rsidRDefault="00FC6618" w:rsidP="00FC6618">
      <w:pPr>
        <w:pStyle w:val="Literaturverzeichnis1"/>
        <w:rPr>
          <w:lang w:val="en-US"/>
        </w:rPr>
      </w:pPr>
      <w:r w:rsidRPr="00FC6618">
        <w:rPr>
          <w:lang w:val="en-US"/>
        </w:rPr>
        <w:t>18.</w:t>
      </w:r>
      <w:r w:rsidRPr="00FC6618">
        <w:rPr>
          <w:lang w:val="en-US"/>
        </w:rPr>
        <w:tab/>
        <w:t>Beck, A. T., Steer, R. A. &amp; Brown, G. Beck Depression Inventory–II. (1996) doi:10.1037/t00742-000.</w:t>
      </w:r>
    </w:p>
    <w:p w14:paraId="5868E33B" w14:textId="77777777" w:rsidR="00FC6618" w:rsidRPr="00FC6618" w:rsidRDefault="00FC6618" w:rsidP="00FC6618">
      <w:pPr>
        <w:pStyle w:val="Literaturverzeichnis1"/>
        <w:rPr>
          <w:lang w:val="en-US"/>
        </w:rPr>
      </w:pPr>
      <w:r w:rsidRPr="00FC6618">
        <w:rPr>
          <w:lang w:val="en-US"/>
        </w:rPr>
        <w:t>19.</w:t>
      </w:r>
      <w:r w:rsidRPr="00FC6618">
        <w:rPr>
          <w:lang w:val="en-US"/>
        </w:rPr>
        <w:tab/>
        <w:t xml:space="preserve">Smarr, K. L. &amp; Keefer, A. L. Measures of depression and depressive symptoms: Beck Depression Inventory-II (BDI-II), Center for Epidemiologic Studies Depression Scale (CES-D), Geriatric Depression Scale (GDS), Hospital Anxiety and Depression Scale (HADS), and Patient Health Questionnaire-9 (PHQ-9). </w:t>
      </w:r>
      <w:r w:rsidRPr="00FC6618">
        <w:rPr>
          <w:i/>
          <w:iCs/>
          <w:lang w:val="en-US"/>
        </w:rPr>
        <w:t>Arthritis Care Res.</w:t>
      </w:r>
      <w:r w:rsidRPr="00FC6618">
        <w:rPr>
          <w:lang w:val="en-US"/>
        </w:rPr>
        <w:t xml:space="preserve"> </w:t>
      </w:r>
      <w:r w:rsidRPr="00FC6618">
        <w:rPr>
          <w:b/>
          <w:bCs/>
          <w:lang w:val="en-US"/>
        </w:rPr>
        <w:t>63</w:t>
      </w:r>
      <w:r w:rsidRPr="00FC6618">
        <w:rPr>
          <w:lang w:val="en-US"/>
        </w:rPr>
        <w:t>, S454–S466 (2011).</w:t>
      </w:r>
    </w:p>
    <w:p w14:paraId="4AE23B87" w14:textId="77777777" w:rsidR="00FC6618" w:rsidRPr="00FC6618" w:rsidRDefault="00FC6618" w:rsidP="00FC6618">
      <w:pPr>
        <w:pStyle w:val="Literaturverzeichnis1"/>
        <w:rPr>
          <w:lang w:val="en-US"/>
        </w:rPr>
      </w:pPr>
      <w:r w:rsidRPr="00FC6618">
        <w:rPr>
          <w:lang w:val="en-US"/>
        </w:rPr>
        <w:t>20.</w:t>
      </w:r>
      <w:r w:rsidRPr="00FC6618">
        <w:rPr>
          <w:lang w:val="en-US"/>
        </w:rPr>
        <w:tab/>
        <w:t xml:space="preserve">Wang, Y.-P. &amp; Gorenstein, C. Psychometric properties of the Beck Depression Inventory-II: a comprehensive review. </w:t>
      </w:r>
      <w:r w:rsidRPr="00FC6618">
        <w:rPr>
          <w:i/>
          <w:iCs/>
          <w:lang w:val="en-US"/>
        </w:rPr>
        <w:t>Braz. J. Psychiatry</w:t>
      </w:r>
      <w:r w:rsidRPr="00FC6618">
        <w:rPr>
          <w:lang w:val="en-US"/>
        </w:rPr>
        <w:t xml:space="preserve"> </w:t>
      </w:r>
      <w:r w:rsidRPr="00FC6618">
        <w:rPr>
          <w:b/>
          <w:bCs/>
          <w:lang w:val="en-US"/>
        </w:rPr>
        <w:t>35</w:t>
      </w:r>
      <w:r w:rsidRPr="00FC6618">
        <w:rPr>
          <w:lang w:val="en-US"/>
        </w:rPr>
        <w:t>, 416–431 (2013).</w:t>
      </w:r>
    </w:p>
    <w:p w14:paraId="641295DD" w14:textId="77777777" w:rsidR="00FC6618" w:rsidRPr="00FC6618" w:rsidRDefault="00FC6618" w:rsidP="00FC6618">
      <w:pPr>
        <w:pStyle w:val="Literaturverzeichnis1"/>
        <w:rPr>
          <w:lang w:val="en-US"/>
        </w:rPr>
      </w:pPr>
      <w:r w:rsidRPr="00FC6618">
        <w:rPr>
          <w:lang w:val="en-US"/>
        </w:rPr>
        <w:t>21.</w:t>
      </w:r>
      <w:r w:rsidRPr="00FC6618">
        <w:rPr>
          <w:lang w:val="en-US"/>
        </w:rPr>
        <w:tab/>
        <w:t xml:space="preserve">Hautzinger, M., Keller, F. &amp; Kühner, C. </w:t>
      </w:r>
      <w:r w:rsidRPr="00FC6618">
        <w:rPr>
          <w:i/>
          <w:iCs/>
          <w:lang w:val="en-US"/>
        </w:rPr>
        <w:t>Beck Depressions-Inventar: BDI II.Revision</w:t>
      </w:r>
      <w:r w:rsidRPr="00FC6618">
        <w:rPr>
          <w:lang w:val="en-US"/>
        </w:rPr>
        <w:t>. (Harcourt Test Services, Frankfurt am Main, 2006).</w:t>
      </w:r>
    </w:p>
    <w:p w14:paraId="380C27BC" w14:textId="77777777" w:rsidR="00FC6618" w:rsidRPr="00FC6618" w:rsidRDefault="00FC6618" w:rsidP="00FC6618">
      <w:pPr>
        <w:pStyle w:val="Literaturverzeichnis1"/>
        <w:rPr>
          <w:lang w:val="en-US"/>
        </w:rPr>
      </w:pPr>
      <w:r w:rsidRPr="00FC6618">
        <w:rPr>
          <w:lang w:val="en-US"/>
        </w:rPr>
        <w:t>22.</w:t>
      </w:r>
      <w:r w:rsidRPr="00FC6618">
        <w:rPr>
          <w:lang w:val="en-US"/>
        </w:rPr>
        <w:tab/>
        <w:t xml:space="preserve">Mezzich, J. E., Cohen, N. L., Ruiperez, M. A., Banzato, C. E. M. &amp; Zapata-Vega, M. I. The Multicultural Quality of Life Index: presentation and validation. </w:t>
      </w:r>
      <w:r w:rsidRPr="00FC6618">
        <w:rPr>
          <w:i/>
          <w:iCs/>
          <w:lang w:val="en-US"/>
        </w:rPr>
        <w:t>J. Eval. Clin. Pract.</w:t>
      </w:r>
      <w:r w:rsidRPr="00FC6618">
        <w:rPr>
          <w:lang w:val="en-US"/>
        </w:rPr>
        <w:t xml:space="preserve"> </w:t>
      </w:r>
      <w:r w:rsidRPr="00FC6618">
        <w:rPr>
          <w:b/>
          <w:bCs/>
          <w:lang w:val="en-US"/>
        </w:rPr>
        <w:t>17</w:t>
      </w:r>
      <w:r w:rsidRPr="00FC6618">
        <w:rPr>
          <w:lang w:val="en-US"/>
        </w:rPr>
        <w:t>, 357–364 (2011).</w:t>
      </w:r>
    </w:p>
    <w:p w14:paraId="455D3914" w14:textId="77777777" w:rsidR="00FC6618" w:rsidRPr="00FC6618" w:rsidRDefault="00FC6618" w:rsidP="00FC6618">
      <w:pPr>
        <w:pStyle w:val="Literaturverzeichnis1"/>
        <w:rPr>
          <w:lang w:val="en-US"/>
        </w:rPr>
      </w:pPr>
      <w:r w:rsidRPr="00FC6618">
        <w:rPr>
          <w:lang w:val="en-US"/>
        </w:rPr>
        <w:t>23.</w:t>
      </w:r>
      <w:r w:rsidRPr="00FC6618">
        <w:rPr>
          <w:lang w:val="en-US"/>
        </w:rPr>
        <w:tab/>
        <w:t xml:space="preserve">Saletu, B. </w:t>
      </w:r>
      <w:r w:rsidRPr="00FC6618">
        <w:rPr>
          <w:i/>
          <w:iCs/>
          <w:lang w:val="en-US"/>
        </w:rPr>
        <w:t>et al.</w:t>
      </w:r>
      <w:r w:rsidRPr="00FC6618">
        <w:rPr>
          <w:lang w:val="en-US"/>
        </w:rPr>
        <w:t xml:space="preserve"> Quality of life in nonorganic and organic sleep disorders: I. Comparison with normative data. </w:t>
      </w:r>
      <w:r w:rsidRPr="00FC6618">
        <w:rPr>
          <w:i/>
          <w:iCs/>
          <w:lang w:val="en-US"/>
        </w:rPr>
        <w:t>Wien. Klin. Wochenschr.</w:t>
      </w:r>
      <w:r w:rsidRPr="00FC6618">
        <w:rPr>
          <w:lang w:val="en-US"/>
        </w:rPr>
        <w:t xml:space="preserve"> </w:t>
      </w:r>
      <w:r w:rsidRPr="00FC6618">
        <w:rPr>
          <w:b/>
          <w:bCs/>
          <w:lang w:val="en-US"/>
        </w:rPr>
        <w:t>115</w:t>
      </w:r>
      <w:r w:rsidRPr="00FC6618">
        <w:rPr>
          <w:lang w:val="en-US"/>
        </w:rPr>
        <w:t>, 246–254 (2003).</w:t>
      </w:r>
    </w:p>
    <w:p w14:paraId="24638FAE" w14:textId="77777777" w:rsidR="00FC6618" w:rsidRPr="00FC6618" w:rsidRDefault="00FC6618" w:rsidP="00FC6618">
      <w:pPr>
        <w:pStyle w:val="Literaturverzeichnis1"/>
        <w:rPr>
          <w:lang w:val="en-US"/>
        </w:rPr>
      </w:pPr>
      <w:r w:rsidRPr="00FC6618">
        <w:rPr>
          <w:lang w:val="en-US"/>
        </w:rPr>
        <w:lastRenderedPageBreak/>
        <w:t>24.</w:t>
      </w:r>
      <w:r w:rsidRPr="00FC6618">
        <w:rPr>
          <w:lang w:val="en-US"/>
        </w:rPr>
        <w:tab/>
        <w:t xml:space="preserve">Leichtfried, V. </w:t>
      </w:r>
      <w:r w:rsidRPr="00FC6618">
        <w:rPr>
          <w:i/>
          <w:iCs/>
          <w:lang w:val="en-US"/>
        </w:rPr>
        <w:t>et al.</w:t>
      </w:r>
      <w:r w:rsidRPr="00FC6618">
        <w:rPr>
          <w:lang w:val="en-US"/>
        </w:rPr>
        <w:t xml:space="preserve"> Bright light therapy: Minimizing light induced side effects with an innovative light setup. </w:t>
      </w:r>
      <w:r w:rsidRPr="00FC6618">
        <w:rPr>
          <w:i/>
          <w:iCs/>
          <w:lang w:val="en-US"/>
        </w:rPr>
        <w:t>Int. J. Psychiatry Clin. Pract.</w:t>
      </w:r>
      <w:r w:rsidRPr="00FC6618">
        <w:rPr>
          <w:lang w:val="en-US"/>
        </w:rPr>
        <w:t xml:space="preserve"> </w:t>
      </w:r>
      <w:r w:rsidRPr="00FC6618">
        <w:rPr>
          <w:b/>
          <w:bCs/>
          <w:lang w:val="en-US"/>
        </w:rPr>
        <w:t>14</w:t>
      </w:r>
      <w:r w:rsidRPr="00FC6618">
        <w:rPr>
          <w:lang w:val="en-US"/>
        </w:rPr>
        <w:t>, 309–312 (2010).</w:t>
      </w:r>
    </w:p>
    <w:p w14:paraId="1A8BD0C4" w14:textId="2ED520F9" w:rsidR="00FC6618" w:rsidRPr="00FC6618" w:rsidRDefault="00FC6618" w:rsidP="00FC6618">
      <w:pPr>
        <w:pStyle w:val="Literaturverzeichnis1"/>
        <w:rPr>
          <w:lang w:val="de-DE"/>
        </w:rPr>
      </w:pPr>
      <w:r w:rsidRPr="00FC6618">
        <w:rPr>
          <w:lang w:val="en-US"/>
        </w:rPr>
        <w:t>25.</w:t>
      </w:r>
      <w:r w:rsidRPr="00FC6618">
        <w:rPr>
          <w:lang w:val="en-US"/>
        </w:rPr>
        <w:tab/>
        <w:t xml:space="preserve">Terman, M. &amp; Terman, J. S. Bright light therapy: side effects and benefits across the symptom spectrum. </w:t>
      </w:r>
      <w:r w:rsidRPr="00FC6618">
        <w:rPr>
          <w:i/>
          <w:iCs/>
          <w:lang w:val="de-DE"/>
        </w:rPr>
        <w:t>J. Clin. Psychiatry</w:t>
      </w:r>
      <w:r w:rsidRPr="00FC6618">
        <w:rPr>
          <w:lang w:val="de-DE"/>
        </w:rPr>
        <w:t xml:space="preserve"> </w:t>
      </w:r>
      <w:r w:rsidRPr="00FC6618">
        <w:rPr>
          <w:b/>
          <w:bCs/>
          <w:lang w:val="de-DE"/>
        </w:rPr>
        <w:t>60</w:t>
      </w:r>
      <w:r w:rsidRPr="00FC6618">
        <w:rPr>
          <w:lang w:val="de-DE"/>
        </w:rPr>
        <w:t>, 799–808; quiz 809 (1999)</w:t>
      </w:r>
      <w:r w:rsidR="00F56F5C">
        <w:rPr>
          <w:lang w:val="de-DE"/>
        </w:rPr>
        <w:t>.</w:t>
      </w:r>
    </w:p>
    <w:bookmarkEnd w:id="0"/>
    <w:p w14:paraId="1C5751E3" w14:textId="4C5B79F1" w:rsidR="00153A6F" w:rsidRPr="00153A6F" w:rsidRDefault="00153A6F" w:rsidP="00FC6618">
      <w:pPr>
        <w:pStyle w:val="Literaturverzeichnis1"/>
      </w:pPr>
    </w:p>
    <w:sectPr w:rsidR="00153A6F" w:rsidRPr="00153A6F" w:rsidSect="00E9096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6354D9" w14:textId="77777777" w:rsidR="00297376" w:rsidRDefault="00297376" w:rsidP="00396F6F">
      <w:pPr>
        <w:spacing w:line="240" w:lineRule="auto"/>
      </w:pPr>
      <w:r>
        <w:separator/>
      </w:r>
    </w:p>
  </w:endnote>
  <w:endnote w:type="continuationSeparator" w:id="0">
    <w:p w14:paraId="58147E6D" w14:textId="77777777" w:rsidR="00297376" w:rsidRDefault="00297376" w:rsidP="00396F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06933005"/>
      <w:docPartObj>
        <w:docPartGallery w:val="Page Numbers (Bottom of Page)"/>
        <w:docPartUnique/>
      </w:docPartObj>
    </w:sdtPr>
    <w:sdtEndPr>
      <w:rPr>
        <w:rStyle w:val="PageNumber"/>
      </w:rPr>
    </w:sdtEndPr>
    <w:sdtContent>
      <w:p w14:paraId="6206B62D" w14:textId="1292B384" w:rsidR="00396F6F" w:rsidRDefault="00396F6F" w:rsidP="00EB58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250A3F" w14:textId="77777777" w:rsidR="00396F6F" w:rsidRDefault="00396F6F" w:rsidP="00396F6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72235477"/>
      <w:docPartObj>
        <w:docPartGallery w:val="Page Numbers (Bottom of Page)"/>
        <w:docPartUnique/>
      </w:docPartObj>
    </w:sdtPr>
    <w:sdtEndPr>
      <w:rPr>
        <w:rStyle w:val="PageNumber"/>
      </w:rPr>
    </w:sdtEndPr>
    <w:sdtContent>
      <w:p w14:paraId="0C9D7AED" w14:textId="711E19F5" w:rsidR="00396F6F" w:rsidRDefault="00396F6F" w:rsidP="00EB58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56F5C">
          <w:rPr>
            <w:rStyle w:val="PageNumber"/>
            <w:noProof/>
          </w:rPr>
          <w:t>13</w:t>
        </w:r>
        <w:r>
          <w:rPr>
            <w:rStyle w:val="PageNumber"/>
          </w:rPr>
          <w:fldChar w:fldCharType="end"/>
        </w:r>
      </w:p>
    </w:sdtContent>
  </w:sdt>
  <w:p w14:paraId="03591C40" w14:textId="77777777" w:rsidR="00396F6F" w:rsidRDefault="00396F6F" w:rsidP="00396F6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EC7D8A" w14:textId="77777777" w:rsidR="00297376" w:rsidRDefault="00297376" w:rsidP="00396F6F">
      <w:pPr>
        <w:spacing w:line="240" w:lineRule="auto"/>
      </w:pPr>
      <w:r>
        <w:separator/>
      </w:r>
    </w:p>
  </w:footnote>
  <w:footnote w:type="continuationSeparator" w:id="0">
    <w:p w14:paraId="69F3C005" w14:textId="77777777" w:rsidR="00297376" w:rsidRDefault="00297376" w:rsidP="00396F6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DF280F"/>
    <w:multiLevelType w:val="hybridMultilevel"/>
    <w:tmpl w:val="3B70C44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F885C68"/>
    <w:multiLevelType w:val="hybridMultilevel"/>
    <w:tmpl w:val="6404888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ACE262F"/>
    <w:multiLevelType w:val="hybridMultilevel"/>
    <w:tmpl w:val="D6B4700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65E46DB"/>
    <w:multiLevelType w:val="hybridMultilevel"/>
    <w:tmpl w:val="9622141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CF9"/>
    <w:rsid w:val="00003C49"/>
    <w:rsid w:val="00034293"/>
    <w:rsid w:val="00091235"/>
    <w:rsid w:val="000926CC"/>
    <w:rsid w:val="000961DB"/>
    <w:rsid w:val="000C7017"/>
    <w:rsid w:val="000D33A7"/>
    <w:rsid w:val="000F1E35"/>
    <w:rsid w:val="0010525A"/>
    <w:rsid w:val="0010560A"/>
    <w:rsid w:val="00153A6F"/>
    <w:rsid w:val="001922D6"/>
    <w:rsid w:val="001D6CC5"/>
    <w:rsid w:val="001E3500"/>
    <w:rsid w:val="0020279F"/>
    <w:rsid w:val="00212C8D"/>
    <w:rsid w:val="00221CD8"/>
    <w:rsid w:val="00293291"/>
    <w:rsid w:val="00293EA3"/>
    <w:rsid w:val="00297376"/>
    <w:rsid w:val="002A5E7A"/>
    <w:rsid w:val="002D1C64"/>
    <w:rsid w:val="002D596E"/>
    <w:rsid w:val="002D79F3"/>
    <w:rsid w:val="00307D5D"/>
    <w:rsid w:val="0032666B"/>
    <w:rsid w:val="00330F61"/>
    <w:rsid w:val="003438D4"/>
    <w:rsid w:val="00380160"/>
    <w:rsid w:val="00396F6F"/>
    <w:rsid w:val="003A153F"/>
    <w:rsid w:val="003A4740"/>
    <w:rsid w:val="003A5537"/>
    <w:rsid w:val="003B02AC"/>
    <w:rsid w:val="003F66AB"/>
    <w:rsid w:val="004233F9"/>
    <w:rsid w:val="00457B17"/>
    <w:rsid w:val="004F286F"/>
    <w:rsid w:val="005173B6"/>
    <w:rsid w:val="00537802"/>
    <w:rsid w:val="00552D3F"/>
    <w:rsid w:val="005B1042"/>
    <w:rsid w:val="005D35AF"/>
    <w:rsid w:val="005F383A"/>
    <w:rsid w:val="005F7E8A"/>
    <w:rsid w:val="006071E5"/>
    <w:rsid w:val="006D04BB"/>
    <w:rsid w:val="006D4E21"/>
    <w:rsid w:val="00700055"/>
    <w:rsid w:val="00702879"/>
    <w:rsid w:val="00724169"/>
    <w:rsid w:val="00754596"/>
    <w:rsid w:val="00764320"/>
    <w:rsid w:val="007749B0"/>
    <w:rsid w:val="007762D3"/>
    <w:rsid w:val="007C5943"/>
    <w:rsid w:val="007E5E6B"/>
    <w:rsid w:val="00862628"/>
    <w:rsid w:val="008728BB"/>
    <w:rsid w:val="00946E72"/>
    <w:rsid w:val="00984461"/>
    <w:rsid w:val="00985F00"/>
    <w:rsid w:val="009B76D6"/>
    <w:rsid w:val="009F1562"/>
    <w:rsid w:val="00A145DD"/>
    <w:rsid w:val="00A26F07"/>
    <w:rsid w:val="00A352C4"/>
    <w:rsid w:val="00A762C8"/>
    <w:rsid w:val="00A77ED4"/>
    <w:rsid w:val="00A841F1"/>
    <w:rsid w:val="00A84D6B"/>
    <w:rsid w:val="00A85A7B"/>
    <w:rsid w:val="00A9140C"/>
    <w:rsid w:val="00AE7F6F"/>
    <w:rsid w:val="00AF2C37"/>
    <w:rsid w:val="00B30A45"/>
    <w:rsid w:val="00B9237D"/>
    <w:rsid w:val="00B960CC"/>
    <w:rsid w:val="00BC41BB"/>
    <w:rsid w:val="00BD72BB"/>
    <w:rsid w:val="00BF10F1"/>
    <w:rsid w:val="00C13457"/>
    <w:rsid w:val="00C310DE"/>
    <w:rsid w:val="00C346EC"/>
    <w:rsid w:val="00C45596"/>
    <w:rsid w:val="00C55F66"/>
    <w:rsid w:val="00C63BDA"/>
    <w:rsid w:val="00CA4283"/>
    <w:rsid w:val="00CE464F"/>
    <w:rsid w:val="00CF1074"/>
    <w:rsid w:val="00D1141B"/>
    <w:rsid w:val="00D23540"/>
    <w:rsid w:val="00D2390A"/>
    <w:rsid w:val="00D47718"/>
    <w:rsid w:val="00DA0905"/>
    <w:rsid w:val="00DC6691"/>
    <w:rsid w:val="00DF46FE"/>
    <w:rsid w:val="00E06DEC"/>
    <w:rsid w:val="00E075A9"/>
    <w:rsid w:val="00E44F3F"/>
    <w:rsid w:val="00E457B6"/>
    <w:rsid w:val="00E82328"/>
    <w:rsid w:val="00E90969"/>
    <w:rsid w:val="00E91CF9"/>
    <w:rsid w:val="00E95FD3"/>
    <w:rsid w:val="00EB1A0E"/>
    <w:rsid w:val="00ED6191"/>
    <w:rsid w:val="00EF2BA7"/>
    <w:rsid w:val="00EF791A"/>
    <w:rsid w:val="00F5678A"/>
    <w:rsid w:val="00F56F5C"/>
    <w:rsid w:val="00F57828"/>
    <w:rsid w:val="00FA0347"/>
    <w:rsid w:val="00FA03B8"/>
    <w:rsid w:val="00FA7E59"/>
    <w:rsid w:val="00FB352F"/>
    <w:rsid w:val="00FB3D9B"/>
    <w:rsid w:val="00FB4778"/>
    <w:rsid w:val="00FC558E"/>
    <w:rsid w:val="00FC6618"/>
    <w:rsid w:val="00FF6D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620E"/>
  <w15:chartTrackingRefBased/>
  <w15:docId w15:val="{53FA4E10-2A86-8840-A49A-2BA9B884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CF9"/>
    <w:pPr>
      <w:spacing w:line="480" w:lineRule="auto"/>
      <w:ind w:firstLine="284"/>
      <w:jc w:val="both"/>
    </w:pPr>
    <w:rPr>
      <w:rFonts w:ascii="Times New Roman" w:hAnsi="Times New Roman"/>
      <w:kern w:val="0"/>
      <w:lang w:val="en-GB"/>
      <w14:ligatures w14:val="none"/>
    </w:rPr>
  </w:style>
  <w:style w:type="paragraph" w:styleId="Heading1">
    <w:name w:val="heading 1"/>
    <w:basedOn w:val="Normal"/>
    <w:next w:val="Normal"/>
    <w:link w:val="Heading1Char"/>
    <w:uiPriority w:val="9"/>
    <w:qFormat/>
    <w:rsid w:val="00E91C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C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91C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C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C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C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C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C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C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91C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C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C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C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C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C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CF9"/>
    <w:rPr>
      <w:rFonts w:eastAsiaTheme="majorEastAsia" w:cstheme="majorBidi"/>
      <w:color w:val="272727" w:themeColor="text1" w:themeTint="D8"/>
    </w:rPr>
  </w:style>
  <w:style w:type="paragraph" w:styleId="Title">
    <w:name w:val="Title"/>
    <w:basedOn w:val="Normal"/>
    <w:next w:val="Normal"/>
    <w:link w:val="TitleChar"/>
    <w:uiPriority w:val="10"/>
    <w:qFormat/>
    <w:rsid w:val="00E91C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CF9"/>
    <w:pPr>
      <w:numPr>
        <w:ilvl w:val="1"/>
      </w:numPr>
      <w:spacing w:after="160"/>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C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C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1CF9"/>
    <w:rPr>
      <w:i/>
      <w:iCs/>
      <w:color w:val="404040" w:themeColor="text1" w:themeTint="BF"/>
    </w:rPr>
  </w:style>
  <w:style w:type="paragraph" w:styleId="ListParagraph">
    <w:name w:val="List Paragraph"/>
    <w:basedOn w:val="Normal"/>
    <w:uiPriority w:val="34"/>
    <w:qFormat/>
    <w:rsid w:val="00E91CF9"/>
    <w:pPr>
      <w:ind w:left="720"/>
      <w:contextualSpacing/>
    </w:pPr>
  </w:style>
  <w:style w:type="character" w:styleId="IntenseEmphasis">
    <w:name w:val="Intense Emphasis"/>
    <w:basedOn w:val="DefaultParagraphFont"/>
    <w:uiPriority w:val="21"/>
    <w:qFormat/>
    <w:rsid w:val="00E91CF9"/>
    <w:rPr>
      <w:i/>
      <w:iCs/>
      <w:color w:val="0F4761" w:themeColor="accent1" w:themeShade="BF"/>
    </w:rPr>
  </w:style>
  <w:style w:type="paragraph" w:styleId="IntenseQuote">
    <w:name w:val="Intense Quote"/>
    <w:basedOn w:val="Normal"/>
    <w:next w:val="Normal"/>
    <w:link w:val="IntenseQuoteChar"/>
    <w:uiPriority w:val="30"/>
    <w:qFormat/>
    <w:rsid w:val="00E91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CF9"/>
    <w:rPr>
      <w:i/>
      <w:iCs/>
      <w:color w:val="0F4761" w:themeColor="accent1" w:themeShade="BF"/>
    </w:rPr>
  </w:style>
  <w:style w:type="character" w:styleId="IntenseReference">
    <w:name w:val="Intense Reference"/>
    <w:basedOn w:val="DefaultParagraphFont"/>
    <w:uiPriority w:val="32"/>
    <w:qFormat/>
    <w:rsid w:val="00E91CF9"/>
    <w:rPr>
      <w:b/>
      <w:bCs/>
      <w:smallCaps/>
      <w:color w:val="0F4761" w:themeColor="accent1" w:themeShade="BF"/>
      <w:spacing w:val="5"/>
    </w:rPr>
  </w:style>
  <w:style w:type="character" w:styleId="CommentReference">
    <w:name w:val="annotation reference"/>
    <w:basedOn w:val="DefaultParagraphFont"/>
    <w:uiPriority w:val="99"/>
    <w:semiHidden/>
    <w:unhideWhenUsed/>
    <w:rsid w:val="00E95FD3"/>
    <w:rPr>
      <w:sz w:val="16"/>
      <w:szCs w:val="16"/>
    </w:rPr>
  </w:style>
  <w:style w:type="paragraph" w:styleId="CommentText">
    <w:name w:val="annotation text"/>
    <w:basedOn w:val="Normal"/>
    <w:link w:val="CommentTextChar"/>
    <w:uiPriority w:val="99"/>
    <w:semiHidden/>
    <w:unhideWhenUsed/>
    <w:rsid w:val="00E95FD3"/>
    <w:pPr>
      <w:spacing w:line="240" w:lineRule="auto"/>
    </w:pPr>
    <w:rPr>
      <w:sz w:val="20"/>
      <w:szCs w:val="20"/>
    </w:rPr>
  </w:style>
  <w:style w:type="character" w:customStyle="1" w:styleId="CommentTextChar">
    <w:name w:val="Comment Text Char"/>
    <w:basedOn w:val="DefaultParagraphFont"/>
    <w:link w:val="CommentText"/>
    <w:uiPriority w:val="99"/>
    <w:semiHidden/>
    <w:rsid w:val="00E95FD3"/>
    <w:rPr>
      <w:rFonts w:ascii="Times New Roman" w:hAnsi="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95FD3"/>
    <w:rPr>
      <w:b/>
      <w:bCs/>
    </w:rPr>
  </w:style>
  <w:style w:type="character" w:customStyle="1" w:styleId="CommentSubjectChar">
    <w:name w:val="Comment Subject Char"/>
    <w:basedOn w:val="CommentTextChar"/>
    <w:link w:val="CommentSubject"/>
    <w:uiPriority w:val="99"/>
    <w:semiHidden/>
    <w:rsid w:val="00E95FD3"/>
    <w:rPr>
      <w:rFonts w:ascii="Times New Roman" w:hAnsi="Times New Roman"/>
      <w:b/>
      <w:bCs/>
      <w:kern w:val="0"/>
      <w:sz w:val="20"/>
      <w:szCs w:val="20"/>
      <w:lang w:val="en-GB"/>
      <w14:ligatures w14:val="none"/>
    </w:rPr>
  </w:style>
  <w:style w:type="paragraph" w:customStyle="1" w:styleId="Literaturverzeichnis1">
    <w:name w:val="Literaturverzeichnis1"/>
    <w:basedOn w:val="Normal"/>
    <w:link w:val="BibliographyZchn"/>
    <w:rsid w:val="00153A6F"/>
    <w:pPr>
      <w:spacing w:line="360" w:lineRule="auto"/>
      <w:ind w:left="720" w:hanging="720"/>
      <w:jc w:val="left"/>
    </w:pPr>
    <w:rPr>
      <w:rFonts w:eastAsia="Calibri" w:cs="Arial"/>
    </w:rPr>
  </w:style>
  <w:style w:type="character" w:customStyle="1" w:styleId="BibliographyZchn">
    <w:name w:val="Bibliography Zchn"/>
    <w:basedOn w:val="DefaultParagraphFont"/>
    <w:link w:val="Literaturverzeichnis1"/>
    <w:rsid w:val="00153A6F"/>
    <w:rPr>
      <w:rFonts w:ascii="Times New Roman" w:eastAsia="Calibri" w:hAnsi="Times New Roman" w:cs="Arial"/>
      <w:kern w:val="0"/>
      <w:lang w:val="en-GB"/>
      <w14:ligatures w14:val="none"/>
    </w:rPr>
  </w:style>
  <w:style w:type="paragraph" w:customStyle="1" w:styleId="Literaturverzeichnis2">
    <w:name w:val="Literaturverzeichnis2"/>
    <w:basedOn w:val="Normal"/>
    <w:link w:val="BibliographyZchn1"/>
    <w:rsid w:val="00FA7E59"/>
    <w:pPr>
      <w:tabs>
        <w:tab w:val="left" w:pos="500"/>
      </w:tabs>
      <w:spacing w:line="240" w:lineRule="auto"/>
      <w:ind w:left="504" w:hanging="504"/>
    </w:pPr>
    <w:rPr>
      <w:rFonts w:ascii="Arial" w:hAnsi="Arial" w:cs="Arial"/>
      <w:sz w:val="18"/>
      <w:szCs w:val="18"/>
    </w:rPr>
  </w:style>
  <w:style w:type="character" w:customStyle="1" w:styleId="BibliographyZchn1">
    <w:name w:val="Bibliography Zchn1"/>
    <w:basedOn w:val="DefaultParagraphFont"/>
    <w:link w:val="Literaturverzeichnis2"/>
    <w:rsid w:val="00FA7E59"/>
    <w:rPr>
      <w:rFonts w:ascii="Arial" w:hAnsi="Arial" w:cs="Arial"/>
      <w:kern w:val="0"/>
      <w:sz w:val="18"/>
      <w:szCs w:val="18"/>
      <w:lang w:val="en-GB"/>
      <w14:ligatures w14:val="none"/>
    </w:rPr>
  </w:style>
  <w:style w:type="paragraph" w:styleId="Bibliography">
    <w:name w:val="Bibliography"/>
    <w:basedOn w:val="Normal"/>
    <w:next w:val="Normal"/>
    <w:uiPriority w:val="37"/>
    <w:unhideWhenUsed/>
    <w:rsid w:val="00FC6618"/>
    <w:pPr>
      <w:tabs>
        <w:tab w:val="left" w:pos="380"/>
      </w:tabs>
      <w:ind w:left="384" w:hanging="384"/>
    </w:pPr>
  </w:style>
  <w:style w:type="paragraph" w:styleId="Footer">
    <w:name w:val="footer"/>
    <w:basedOn w:val="Normal"/>
    <w:link w:val="FooterChar"/>
    <w:uiPriority w:val="99"/>
    <w:unhideWhenUsed/>
    <w:rsid w:val="00396F6F"/>
    <w:pPr>
      <w:tabs>
        <w:tab w:val="center" w:pos="4536"/>
        <w:tab w:val="right" w:pos="9072"/>
      </w:tabs>
      <w:spacing w:line="240" w:lineRule="auto"/>
    </w:pPr>
  </w:style>
  <w:style w:type="character" w:customStyle="1" w:styleId="FooterChar">
    <w:name w:val="Footer Char"/>
    <w:basedOn w:val="DefaultParagraphFont"/>
    <w:link w:val="Footer"/>
    <w:uiPriority w:val="99"/>
    <w:rsid w:val="00396F6F"/>
    <w:rPr>
      <w:rFonts w:ascii="Times New Roman" w:hAnsi="Times New Roman"/>
      <w:kern w:val="0"/>
      <w:lang w:val="en-GB"/>
      <w14:ligatures w14:val="none"/>
    </w:rPr>
  </w:style>
  <w:style w:type="character" w:styleId="PageNumber">
    <w:name w:val="page number"/>
    <w:basedOn w:val="DefaultParagraphFont"/>
    <w:uiPriority w:val="99"/>
    <w:semiHidden/>
    <w:unhideWhenUsed/>
    <w:rsid w:val="00396F6F"/>
  </w:style>
  <w:style w:type="paragraph" w:styleId="Revision">
    <w:name w:val="Revision"/>
    <w:hidden/>
    <w:uiPriority w:val="99"/>
    <w:semiHidden/>
    <w:rsid w:val="00BD72BB"/>
    <w:rPr>
      <w:rFonts w:ascii="Times New Roman" w:hAnsi="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Users\juliaottersbach\Documents\Promotion\%23Studie%203\Daten\Excelfiles\LMSF_SideEffec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uliaottersbach\Documents\Promotion\%23Studie%203\Daten\Excelfiles\LMSF_SideEffec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v>not at all</c:v>
          </c:tx>
          <c:spPr>
            <a:pattFill prst="wdUpDiag">
              <a:fgClr>
                <a:srgbClr val="92D050"/>
              </a:fgClr>
              <a:bgClr>
                <a:schemeClr val="bg1"/>
              </a:bgClr>
            </a:pattFill>
            <a:ln>
              <a:solidFill>
                <a:schemeClr val="tx1"/>
              </a:solid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Ersatz'!$R$133:$Z$133</c:f>
              <c:numCache>
                <c:formatCode>0.0</c:formatCode>
                <c:ptCount val="9"/>
                <c:pt idx="0">
                  <c:v>67.142857142857139</c:v>
                </c:pt>
                <c:pt idx="1">
                  <c:v>73.571428571428584</c:v>
                </c:pt>
                <c:pt idx="2">
                  <c:v>64.285714285714292</c:v>
                </c:pt>
                <c:pt idx="3">
                  <c:v>80.714285714285722</c:v>
                </c:pt>
                <c:pt idx="4">
                  <c:v>71.428571428571431</c:v>
                </c:pt>
                <c:pt idx="5">
                  <c:v>74.285714285714292</c:v>
                </c:pt>
                <c:pt idx="6">
                  <c:v>80.714285714285722</c:v>
                </c:pt>
                <c:pt idx="7">
                  <c:v>55.000000000000007</c:v>
                </c:pt>
                <c:pt idx="8">
                  <c:v>91.428571428571431</c:v>
                </c:pt>
              </c:numCache>
            </c:numRef>
          </c:val>
          <c:extLst xmlns:c16r2="http://schemas.microsoft.com/office/drawing/2015/06/chart">
            <c:ext xmlns:c16="http://schemas.microsoft.com/office/drawing/2014/chart" uri="{C3380CC4-5D6E-409C-BE32-E72D297353CC}">
              <c16:uniqueId val="{00000000-EC0D-C940-89D0-092E528EF4A9}"/>
            </c:ext>
          </c:extLst>
        </c:ser>
        <c:ser>
          <c:idx val="1"/>
          <c:order val="1"/>
          <c:tx>
            <c:v>hardly</c:v>
          </c:tx>
          <c:spPr>
            <a:pattFill prst="wdUpDiag">
              <a:fgClr>
                <a:srgbClr val="FFFF00"/>
              </a:fgClr>
              <a:bgClr>
                <a:schemeClr val="bg1"/>
              </a:bgClr>
            </a:pattFill>
            <a:ln>
              <a:solidFill>
                <a:schemeClr val="tx1"/>
              </a:solid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Ersatz'!$R$134:$Z$134</c:f>
              <c:numCache>
                <c:formatCode>0.0</c:formatCode>
                <c:ptCount val="9"/>
                <c:pt idx="0">
                  <c:v>12.142857142857142</c:v>
                </c:pt>
                <c:pt idx="1">
                  <c:v>12.142857142857142</c:v>
                </c:pt>
                <c:pt idx="2">
                  <c:v>28.571428571428569</c:v>
                </c:pt>
                <c:pt idx="3">
                  <c:v>14.285714285714285</c:v>
                </c:pt>
                <c:pt idx="4">
                  <c:v>17.857142857142858</c:v>
                </c:pt>
                <c:pt idx="5">
                  <c:v>11.428571428571429</c:v>
                </c:pt>
                <c:pt idx="6">
                  <c:v>16.428571428571427</c:v>
                </c:pt>
                <c:pt idx="7">
                  <c:v>25</c:v>
                </c:pt>
                <c:pt idx="8">
                  <c:v>5.7142857142857144</c:v>
                </c:pt>
              </c:numCache>
            </c:numRef>
          </c:val>
          <c:extLst xmlns:c16r2="http://schemas.microsoft.com/office/drawing/2015/06/chart">
            <c:ext xmlns:c16="http://schemas.microsoft.com/office/drawing/2014/chart" uri="{C3380CC4-5D6E-409C-BE32-E72D297353CC}">
              <c16:uniqueId val="{00000001-EC0D-C940-89D0-092E528EF4A9}"/>
            </c:ext>
          </c:extLst>
        </c:ser>
        <c:ser>
          <c:idx val="2"/>
          <c:order val="2"/>
          <c:tx>
            <c:v>a little</c:v>
          </c:tx>
          <c:spPr>
            <a:pattFill prst="wdUpDiag">
              <a:fgClr>
                <a:srgbClr val="FFC000"/>
              </a:fgClr>
              <a:bgClr>
                <a:schemeClr val="bg1"/>
              </a:bgClr>
            </a:pattFill>
            <a:ln>
              <a:solidFill>
                <a:schemeClr val="tx1"/>
              </a:solid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Ersatz'!$R$135:$Z$135</c:f>
              <c:numCache>
                <c:formatCode>0.0</c:formatCode>
                <c:ptCount val="9"/>
                <c:pt idx="0">
                  <c:v>15</c:v>
                </c:pt>
                <c:pt idx="1">
                  <c:v>9.2857142857142865</c:v>
                </c:pt>
                <c:pt idx="2">
                  <c:v>7.1428571428571423</c:v>
                </c:pt>
                <c:pt idx="3">
                  <c:v>4.2857142857142856</c:v>
                </c:pt>
                <c:pt idx="4">
                  <c:v>9.2857142857142865</c:v>
                </c:pt>
                <c:pt idx="5">
                  <c:v>9.2857142857142865</c:v>
                </c:pt>
                <c:pt idx="6">
                  <c:v>2.8571428571428572</c:v>
                </c:pt>
                <c:pt idx="7">
                  <c:v>12.857142857142856</c:v>
                </c:pt>
                <c:pt idx="8">
                  <c:v>2.1428571428571428</c:v>
                </c:pt>
              </c:numCache>
            </c:numRef>
          </c:val>
          <c:extLst xmlns:c16r2="http://schemas.microsoft.com/office/drawing/2015/06/chart">
            <c:ext xmlns:c16="http://schemas.microsoft.com/office/drawing/2014/chart" uri="{C3380CC4-5D6E-409C-BE32-E72D297353CC}">
              <c16:uniqueId val="{00000002-EC0D-C940-89D0-092E528EF4A9}"/>
            </c:ext>
          </c:extLst>
        </c:ser>
        <c:ser>
          <c:idx val="3"/>
          <c:order val="3"/>
          <c:tx>
            <c:v>noticeable</c:v>
          </c:tx>
          <c:spPr>
            <a:pattFill prst="wdUpDiag">
              <a:fgClr>
                <a:schemeClr val="accent2"/>
              </a:fgClr>
              <a:bgClr>
                <a:schemeClr val="bg1"/>
              </a:bgClr>
            </a:pattFill>
            <a:ln>
              <a:solidFill>
                <a:schemeClr val="tx1"/>
              </a:solid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Ersatz'!$R$136:$Z$136</c:f>
              <c:numCache>
                <c:formatCode>0.0</c:formatCode>
                <c:ptCount val="9"/>
                <c:pt idx="0">
                  <c:v>4.2857142857142856</c:v>
                </c:pt>
                <c:pt idx="1">
                  <c:v>3.5714285714285712</c:v>
                </c:pt>
                <c:pt idx="2">
                  <c:v>0</c:v>
                </c:pt>
                <c:pt idx="3">
                  <c:v>0</c:v>
                </c:pt>
                <c:pt idx="4">
                  <c:v>0</c:v>
                </c:pt>
                <c:pt idx="5">
                  <c:v>5</c:v>
                </c:pt>
                <c:pt idx="6">
                  <c:v>0</c:v>
                </c:pt>
                <c:pt idx="7">
                  <c:v>5</c:v>
                </c:pt>
                <c:pt idx="8">
                  <c:v>0</c:v>
                </c:pt>
              </c:numCache>
            </c:numRef>
          </c:val>
          <c:extLst xmlns:c16r2="http://schemas.microsoft.com/office/drawing/2015/06/chart">
            <c:ext xmlns:c16="http://schemas.microsoft.com/office/drawing/2014/chart" uri="{C3380CC4-5D6E-409C-BE32-E72D297353CC}">
              <c16:uniqueId val="{00000003-EC0D-C940-89D0-092E528EF4A9}"/>
            </c:ext>
          </c:extLst>
        </c:ser>
        <c:ser>
          <c:idx val="4"/>
          <c:order val="4"/>
          <c:tx>
            <c:v>strong</c:v>
          </c:tx>
          <c:spPr>
            <a:pattFill prst="wdUpDiag">
              <a:fgClr>
                <a:srgbClr val="FF0000"/>
              </a:fgClr>
              <a:bgClr>
                <a:schemeClr val="bg1"/>
              </a:bgClr>
            </a:pattFill>
            <a:ln>
              <a:solidFill>
                <a:schemeClr val="tx1"/>
              </a:solid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Ersatz'!$R$137:$Z$137</c:f>
              <c:numCache>
                <c:formatCode>0.0</c:formatCode>
                <c:ptCount val="9"/>
                <c:pt idx="0">
                  <c:v>0</c:v>
                </c:pt>
                <c:pt idx="1">
                  <c:v>0</c:v>
                </c:pt>
                <c:pt idx="2">
                  <c:v>0</c:v>
                </c:pt>
                <c:pt idx="3">
                  <c:v>0</c:v>
                </c:pt>
                <c:pt idx="4">
                  <c:v>0</c:v>
                </c:pt>
                <c:pt idx="5">
                  <c:v>0</c:v>
                </c:pt>
                <c:pt idx="6">
                  <c:v>0</c:v>
                </c:pt>
                <c:pt idx="7">
                  <c:v>0.7142857142857143</c:v>
                </c:pt>
                <c:pt idx="8">
                  <c:v>0</c:v>
                </c:pt>
              </c:numCache>
            </c:numRef>
          </c:val>
          <c:extLst xmlns:c16r2="http://schemas.microsoft.com/office/drawing/2015/06/chart">
            <c:ext xmlns:c16="http://schemas.microsoft.com/office/drawing/2014/chart" uri="{C3380CC4-5D6E-409C-BE32-E72D297353CC}">
              <c16:uniqueId val="{00000004-EC0D-C940-89D0-092E528EF4A9}"/>
            </c:ext>
          </c:extLst>
        </c:ser>
        <c:ser>
          <c:idx val="5"/>
          <c:order val="5"/>
          <c:tx>
            <c:v>very strong</c:v>
          </c:tx>
          <c:spPr>
            <a:pattFill prst="wdUpDiag">
              <a:fgClr>
                <a:srgbClr val="C00000"/>
              </a:fgClr>
              <a:bgClr>
                <a:schemeClr val="bg1"/>
              </a:bgClr>
            </a:pattFill>
            <a:ln>
              <a:solidFill>
                <a:schemeClr val="tx1"/>
              </a:solid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Ersatz'!$R$138:$Z$138</c:f>
              <c:numCache>
                <c:formatCode>0.0</c:formatCode>
                <c:ptCount val="9"/>
                <c:pt idx="0">
                  <c:v>0</c:v>
                </c:pt>
                <c:pt idx="1">
                  <c:v>0</c:v>
                </c:pt>
                <c:pt idx="2">
                  <c:v>0</c:v>
                </c:pt>
                <c:pt idx="3">
                  <c:v>0</c:v>
                </c:pt>
                <c:pt idx="4">
                  <c:v>0</c:v>
                </c:pt>
                <c:pt idx="5">
                  <c:v>0</c:v>
                </c:pt>
                <c:pt idx="6">
                  <c:v>0</c:v>
                </c:pt>
                <c:pt idx="7">
                  <c:v>0.7142857142857143</c:v>
                </c:pt>
                <c:pt idx="8">
                  <c:v>0</c:v>
                </c:pt>
              </c:numCache>
            </c:numRef>
          </c:val>
          <c:extLst xmlns:c16r2="http://schemas.microsoft.com/office/drawing/2015/06/chart">
            <c:ext xmlns:c16="http://schemas.microsoft.com/office/drawing/2014/chart" uri="{C3380CC4-5D6E-409C-BE32-E72D297353CC}">
              <c16:uniqueId val="{00000005-EC0D-C940-89D0-092E528EF4A9}"/>
            </c:ext>
          </c:extLst>
        </c:ser>
        <c:dLbls>
          <c:showLegendKey val="0"/>
          <c:showVal val="0"/>
          <c:showCatName val="0"/>
          <c:showSerName val="0"/>
          <c:showPercent val="0"/>
          <c:showBubbleSize val="0"/>
        </c:dLbls>
        <c:gapWidth val="150"/>
        <c:overlap val="100"/>
        <c:axId val="-988934080"/>
        <c:axId val="-988941696"/>
      </c:barChart>
      <c:catAx>
        <c:axId val="-988934080"/>
        <c:scaling>
          <c:orientation val="minMax"/>
        </c:scaling>
        <c:delete val="1"/>
        <c:axPos val="b"/>
        <c:numFmt formatCode="General" sourceLinked="1"/>
        <c:majorTickMark val="none"/>
        <c:minorTickMark val="none"/>
        <c:tickLblPos val="nextTo"/>
        <c:crossAx val="-988941696"/>
        <c:crosses val="autoZero"/>
        <c:auto val="1"/>
        <c:lblAlgn val="ctr"/>
        <c:lblOffset val="100"/>
        <c:noMultiLvlLbl val="0"/>
      </c:catAx>
      <c:valAx>
        <c:axId val="-988941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8893408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424068461670325E-2"/>
          <c:y val="6.2785583102760278E-2"/>
          <c:w val="0.92528434536126347"/>
          <c:h val="0.69902930865673074"/>
        </c:manualLayout>
      </c:layout>
      <c:barChart>
        <c:barDir val="col"/>
        <c:grouping val="percentStacked"/>
        <c:varyColors val="0"/>
        <c:ser>
          <c:idx val="0"/>
          <c:order val="0"/>
          <c:tx>
            <c:v>not at all</c:v>
          </c:tx>
          <c:spPr>
            <a:solidFill>
              <a:srgbClr val="92D050"/>
            </a:solidFill>
            <a:ln>
              <a:no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Ersatz'!$R$260:$Z$260</c:f>
              <c:numCache>
                <c:formatCode>0.0</c:formatCode>
                <c:ptCount val="9"/>
                <c:pt idx="0">
                  <c:v>50.714285714285708</c:v>
                </c:pt>
                <c:pt idx="1">
                  <c:v>75</c:v>
                </c:pt>
                <c:pt idx="2">
                  <c:v>68.571428571428569</c:v>
                </c:pt>
                <c:pt idx="3">
                  <c:v>75</c:v>
                </c:pt>
                <c:pt idx="4">
                  <c:v>70</c:v>
                </c:pt>
                <c:pt idx="5">
                  <c:v>58.571428571428577</c:v>
                </c:pt>
                <c:pt idx="6">
                  <c:v>75</c:v>
                </c:pt>
                <c:pt idx="7">
                  <c:v>27.142857142857142</c:v>
                </c:pt>
                <c:pt idx="8">
                  <c:v>90</c:v>
                </c:pt>
              </c:numCache>
            </c:numRef>
          </c:val>
          <c:extLst xmlns:c16r2="http://schemas.microsoft.com/office/drawing/2015/06/chart">
            <c:ext xmlns:c16="http://schemas.microsoft.com/office/drawing/2014/chart" uri="{C3380CC4-5D6E-409C-BE32-E72D297353CC}">
              <c16:uniqueId val="{00000000-D4EB-5146-8EF6-DBD630DD7BA0}"/>
            </c:ext>
          </c:extLst>
        </c:ser>
        <c:ser>
          <c:idx val="1"/>
          <c:order val="1"/>
          <c:tx>
            <c:v>hardly</c:v>
          </c:tx>
          <c:spPr>
            <a:solidFill>
              <a:srgbClr val="FFFF00"/>
            </a:solidFill>
            <a:ln>
              <a:no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Ersatz'!$R$261:$Z$261</c:f>
              <c:numCache>
                <c:formatCode>0.0</c:formatCode>
                <c:ptCount val="9"/>
                <c:pt idx="0">
                  <c:v>26.428571428571431</c:v>
                </c:pt>
                <c:pt idx="1">
                  <c:v>8.5714285714285712</c:v>
                </c:pt>
                <c:pt idx="2">
                  <c:v>26.428571428571431</c:v>
                </c:pt>
                <c:pt idx="3">
                  <c:v>20</c:v>
                </c:pt>
                <c:pt idx="4">
                  <c:v>20</c:v>
                </c:pt>
                <c:pt idx="5">
                  <c:v>22.857142857142858</c:v>
                </c:pt>
                <c:pt idx="6">
                  <c:v>19.285714285714288</c:v>
                </c:pt>
                <c:pt idx="7">
                  <c:v>27.857142857142858</c:v>
                </c:pt>
                <c:pt idx="8">
                  <c:v>9.2857142857142865</c:v>
                </c:pt>
              </c:numCache>
            </c:numRef>
          </c:val>
          <c:extLst xmlns:c16r2="http://schemas.microsoft.com/office/drawing/2015/06/chart">
            <c:ext xmlns:c16="http://schemas.microsoft.com/office/drawing/2014/chart" uri="{C3380CC4-5D6E-409C-BE32-E72D297353CC}">
              <c16:uniqueId val="{00000001-D4EB-5146-8EF6-DBD630DD7BA0}"/>
            </c:ext>
          </c:extLst>
        </c:ser>
        <c:ser>
          <c:idx val="2"/>
          <c:order val="2"/>
          <c:tx>
            <c:v>a little</c:v>
          </c:tx>
          <c:spPr>
            <a:solidFill>
              <a:srgbClr val="FFC000"/>
            </a:solidFill>
            <a:ln>
              <a:no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Ersatz'!$R$262:$Z$262</c:f>
              <c:numCache>
                <c:formatCode>0.0</c:formatCode>
                <c:ptCount val="9"/>
                <c:pt idx="0">
                  <c:v>12.142857142857142</c:v>
                </c:pt>
                <c:pt idx="1">
                  <c:v>10.714285714285714</c:v>
                </c:pt>
                <c:pt idx="2">
                  <c:v>3.5714285714285712</c:v>
                </c:pt>
                <c:pt idx="3">
                  <c:v>5</c:v>
                </c:pt>
                <c:pt idx="4">
                  <c:v>6.4285714285714279</c:v>
                </c:pt>
                <c:pt idx="5">
                  <c:v>12.857142857142856</c:v>
                </c:pt>
                <c:pt idx="6">
                  <c:v>3.5714285714285712</c:v>
                </c:pt>
                <c:pt idx="7">
                  <c:v>20.714285714285715</c:v>
                </c:pt>
                <c:pt idx="8">
                  <c:v>0.7142857142857143</c:v>
                </c:pt>
              </c:numCache>
            </c:numRef>
          </c:val>
          <c:extLst xmlns:c16r2="http://schemas.microsoft.com/office/drawing/2015/06/chart">
            <c:ext xmlns:c16="http://schemas.microsoft.com/office/drawing/2014/chart" uri="{C3380CC4-5D6E-409C-BE32-E72D297353CC}">
              <c16:uniqueId val="{00000002-D4EB-5146-8EF6-DBD630DD7BA0}"/>
            </c:ext>
          </c:extLst>
        </c:ser>
        <c:ser>
          <c:idx val="3"/>
          <c:order val="3"/>
          <c:tx>
            <c:v>noticable</c:v>
          </c:tx>
          <c:spPr>
            <a:solidFill>
              <a:schemeClr val="accent2"/>
            </a:solidFill>
            <a:ln>
              <a:no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Ersatz'!$R$263:$Z$263</c:f>
              <c:numCache>
                <c:formatCode>0.0</c:formatCode>
                <c:ptCount val="9"/>
                <c:pt idx="0">
                  <c:v>9.2857142857142865</c:v>
                </c:pt>
                <c:pt idx="1">
                  <c:v>2.8571428571428572</c:v>
                </c:pt>
                <c:pt idx="2">
                  <c:v>0.7142857142857143</c:v>
                </c:pt>
                <c:pt idx="3">
                  <c:v>0</c:v>
                </c:pt>
                <c:pt idx="4">
                  <c:v>0.7142857142857143</c:v>
                </c:pt>
                <c:pt idx="5">
                  <c:v>4.2857142857142856</c:v>
                </c:pt>
                <c:pt idx="6">
                  <c:v>0.7142857142857143</c:v>
                </c:pt>
                <c:pt idx="7">
                  <c:v>15</c:v>
                </c:pt>
                <c:pt idx="8">
                  <c:v>0</c:v>
                </c:pt>
              </c:numCache>
            </c:numRef>
          </c:val>
          <c:extLst xmlns:c16r2="http://schemas.microsoft.com/office/drawing/2015/06/chart">
            <c:ext xmlns:c16="http://schemas.microsoft.com/office/drawing/2014/chart" uri="{C3380CC4-5D6E-409C-BE32-E72D297353CC}">
              <c16:uniqueId val="{00000003-D4EB-5146-8EF6-DBD630DD7BA0}"/>
            </c:ext>
          </c:extLst>
        </c:ser>
        <c:ser>
          <c:idx val="4"/>
          <c:order val="4"/>
          <c:tx>
            <c:v>strong</c:v>
          </c:tx>
          <c:spPr>
            <a:solidFill>
              <a:srgbClr val="FF0000"/>
            </a:solidFill>
            <a:ln>
              <a:no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Ersatz'!$R$264:$Z$264</c:f>
              <c:numCache>
                <c:formatCode>0.0</c:formatCode>
                <c:ptCount val="9"/>
                <c:pt idx="0">
                  <c:v>0</c:v>
                </c:pt>
                <c:pt idx="1">
                  <c:v>0</c:v>
                </c:pt>
                <c:pt idx="2">
                  <c:v>0</c:v>
                </c:pt>
                <c:pt idx="3">
                  <c:v>0</c:v>
                </c:pt>
                <c:pt idx="4">
                  <c:v>0</c:v>
                </c:pt>
                <c:pt idx="5">
                  <c:v>0</c:v>
                </c:pt>
                <c:pt idx="6">
                  <c:v>0</c:v>
                </c:pt>
                <c:pt idx="7">
                  <c:v>4.2857142857142856</c:v>
                </c:pt>
                <c:pt idx="8">
                  <c:v>0</c:v>
                </c:pt>
              </c:numCache>
            </c:numRef>
          </c:val>
          <c:extLst xmlns:c16r2="http://schemas.microsoft.com/office/drawing/2015/06/chart">
            <c:ext xmlns:c16="http://schemas.microsoft.com/office/drawing/2014/chart" uri="{C3380CC4-5D6E-409C-BE32-E72D297353CC}">
              <c16:uniqueId val="{00000004-D4EB-5146-8EF6-DBD630DD7BA0}"/>
            </c:ext>
          </c:extLst>
        </c:ser>
        <c:ser>
          <c:idx val="5"/>
          <c:order val="5"/>
          <c:tx>
            <c:v>very strong</c:v>
          </c:tx>
          <c:spPr>
            <a:solidFill>
              <a:srgbClr val="C00000"/>
            </a:solidFill>
            <a:ln>
              <a:noFill/>
            </a:ln>
            <a:effectLst/>
          </c:spPr>
          <c:invertIfNegative val="0"/>
          <c:cat>
            <c:strRef>
              <c:f>'MISSINGS Ersatz'!$R$258:$Z$258</c:f>
              <c:strCache>
                <c:ptCount val="9"/>
                <c:pt idx="0">
                  <c:v>Overexertion of the Eyes</c:v>
                </c:pt>
                <c:pt idx="1">
                  <c:v>Headache</c:v>
                </c:pt>
                <c:pt idx="2">
                  <c:v>Watery eyes</c:v>
                </c:pt>
                <c:pt idx="3">
                  <c:v>Itchy eyes</c:v>
                </c:pt>
                <c:pt idx="4">
                  <c:v>Stinging eyes</c:v>
                </c:pt>
                <c:pt idx="5">
                  <c:v>Blurred vision</c:v>
                </c:pt>
                <c:pt idx="6">
                  <c:v>Pain in/around the eyes</c:v>
                </c:pt>
                <c:pt idx="7">
                  <c:v>Glare</c:v>
                </c:pt>
                <c:pt idx="8">
                  <c:v>Dizziness</c:v>
                </c:pt>
              </c:strCache>
            </c:strRef>
          </c:cat>
          <c:val>
            <c:numRef>
              <c:f>'MISSINGS Ersatz'!$R$265:$Z$265</c:f>
              <c:numCache>
                <c:formatCode>0.0</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5-D4EB-5146-8EF6-DBD630DD7BA0}"/>
            </c:ext>
          </c:extLst>
        </c:ser>
        <c:dLbls>
          <c:showLegendKey val="0"/>
          <c:showVal val="0"/>
          <c:showCatName val="0"/>
          <c:showSerName val="0"/>
          <c:showPercent val="0"/>
          <c:showBubbleSize val="0"/>
        </c:dLbls>
        <c:gapWidth val="150"/>
        <c:overlap val="100"/>
        <c:axId val="-988950400"/>
        <c:axId val="-988933536"/>
      </c:barChart>
      <c:catAx>
        <c:axId val="-98895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88933536"/>
        <c:crosses val="autoZero"/>
        <c:auto val="1"/>
        <c:lblAlgn val="ctr"/>
        <c:lblOffset val="100"/>
        <c:noMultiLvlLbl val="0"/>
      </c:catAx>
      <c:valAx>
        <c:axId val="-988933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8895040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F6113-9A44-49E7-8DC0-A502FE627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3118</Words>
  <Characters>17779</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Ottersbach</dc:creator>
  <cp:keywords/>
  <dc:description/>
  <cp:lastModifiedBy>Abdul Sakuber</cp:lastModifiedBy>
  <cp:revision>3</cp:revision>
  <dcterms:created xsi:type="dcterms:W3CDTF">2026-03-27T08:31:00Z</dcterms:created>
  <dcterms:modified xsi:type="dcterms:W3CDTF">2026-06-04T15:02:00Z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zotero-version="7.0.26"&gt;&lt;session id="3KeloDE7"/&gt;&lt;style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