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2D1E4" w14:textId="77777777" w:rsidR="009E3D61" w:rsidRDefault="009E3D61" w:rsidP="009E3D61"/>
    <w:p w14:paraId="4EBBF032" w14:textId="77777777" w:rsidR="009E3D61" w:rsidRDefault="009E3D61" w:rsidP="009E3D61"/>
    <w:p w14:paraId="1862DE7C" w14:textId="77777777" w:rsidR="009E3D61" w:rsidRDefault="009E3D61" w:rsidP="009E3D61"/>
    <w:p w14:paraId="0EB1BF92" w14:textId="497F6E41" w:rsidR="009E3D61" w:rsidRDefault="009E3D61" w:rsidP="009E3D61">
      <w:r>
        <w:rPr>
          <w:noProof/>
        </w:rPr>
        <w:drawing>
          <wp:inline distT="0" distB="0" distL="0" distR="0" wp14:anchorId="265D4E4E" wp14:editId="2B507AB0">
            <wp:extent cx="5943600" cy="3822700"/>
            <wp:effectExtent l="0" t="0" r="0" b="6350"/>
            <wp:docPr id="634267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6BF7C" w14:textId="16492233" w:rsidR="00530017" w:rsidRDefault="009E3D61" w:rsidP="009E3D61">
      <w:r>
        <w:t xml:space="preserve">Supplementary figure 1. </w:t>
      </w:r>
      <w:r w:rsidRPr="009E3D61">
        <w:t>conserved domain architecture</w:t>
      </w:r>
      <w:r>
        <w:t xml:space="preserve"> of </w:t>
      </w:r>
      <w:r w:rsidRPr="009E3D61">
        <w:t>identified HvBAG proteins</w:t>
      </w:r>
    </w:p>
    <w:sectPr w:rsidR="00530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17"/>
    <w:rsid w:val="00530017"/>
    <w:rsid w:val="005E697D"/>
    <w:rsid w:val="009E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C5E61"/>
  <w15:chartTrackingRefBased/>
  <w15:docId w15:val="{DB1EAC31-60ED-41FB-8769-EBF0B0AE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0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0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0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0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0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GCc</dc:creator>
  <cp:keywords/>
  <dc:description/>
  <cp:lastModifiedBy>GCc</cp:lastModifiedBy>
  <cp:revision>2</cp:revision>
  <dcterms:created xsi:type="dcterms:W3CDTF">2025-08-14T20:17:00Z</dcterms:created>
  <dcterms:modified xsi:type="dcterms:W3CDTF">2025-08-14T20:18:00Z</dcterms:modified>
</cp:coreProperties>
</file>