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3E082" w14:textId="77777777" w:rsidR="00AB1203" w:rsidRDefault="00AB1203" w:rsidP="00AB1203">
      <w:pPr>
        <w:rPr>
          <w:b/>
          <w:bCs/>
          <w:i/>
          <w:iCs/>
          <w:sz w:val="30"/>
          <w:szCs w:val="30"/>
        </w:rPr>
      </w:pPr>
      <w:r>
        <w:rPr>
          <w:b/>
          <w:bCs/>
          <w:i/>
          <w:iCs/>
          <w:sz w:val="30"/>
          <w:szCs w:val="30"/>
        </w:rPr>
        <w:t>Supplementary Information for</w:t>
      </w:r>
    </w:p>
    <w:p w14:paraId="5D28B60A" w14:textId="3EF59BEB" w:rsidR="00AB1203" w:rsidRDefault="00AB1203" w:rsidP="00AB1203">
      <w:pPr>
        <w:pStyle w:val="Title"/>
        <w:spacing w:before="240" w:after="240" w:line="240" w:lineRule="auto"/>
        <w:jc w:val="center"/>
      </w:pPr>
      <w:bookmarkStart w:id="0" w:name="_65h2t4ax9dkt"/>
      <w:bookmarkEnd w:id="0"/>
      <w:r>
        <w:t xml:space="preserve">Palaeoproteomic insights into the </w:t>
      </w:r>
      <w:r w:rsidR="000676B5">
        <w:t xml:space="preserve">evolutionary history </w:t>
      </w:r>
      <w:r>
        <w:t>of cave bear</w:t>
      </w:r>
      <w:r w:rsidR="000676B5">
        <w:t>s from southwestern</w:t>
      </w:r>
      <w:r>
        <w:t xml:space="preserve"> Europe</w:t>
      </w:r>
    </w:p>
    <w:p w14:paraId="7DDC7D2A" w14:textId="4FE76EFF" w:rsidR="00AB1203" w:rsidRDefault="00AB1203" w:rsidP="00AB1203">
      <w:pPr>
        <w:spacing w:before="240" w:after="240"/>
        <w:jc w:val="center"/>
        <w:rPr>
          <w:sz w:val="20"/>
          <w:szCs w:val="20"/>
          <w:vertAlign w:val="superscript"/>
        </w:rPr>
      </w:pPr>
      <w:r>
        <w:rPr>
          <w:sz w:val="20"/>
          <w:szCs w:val="20"/>
        </w:rPr>
        <w:t>Amanda Gutiérrez-Carbajal</w:t>
      </w:r>
      <w:r>
        <w:rPr>
          <w:sz w:val="20"/>
          <w:szCs w:val="20"/>
          <w:vertAlign w:val="superscript"/>
        </w:rPr>
        <w:t>a*</w:t>
      </w:r>
      <w:r>
        <w:rPr>
          <w:sz w:val="20"/>
          <w:szCs w:val="20"/>
        </w:rPr>
        <w:t>, Elena Santos</w:t>
      </w:r>
      <w:r>
        <w:rPr>
          <w:sz w:val="20"/>
          <w:szCs w:val="20"/>
          <w:vertAlign w:val="superscript"/>
        </w:rPr>
        <w:t>b,c,d</w:t>
      </w:r>
      <w:r>
        <w:rPr>
          <w:sz w:val="20"/>
          <w:szCs w:val="20"/>
        </w:rPr>
        <w:t>, Esther Lizano</w:t>
      </w:r>
      <w:r>
        <w:rPr>
          <w:sz w:val="20"/>
          <w:szCs w:val="20"/>
          <w:vertAlign w:val="superscript"/>
        </w:rPr>
        <w:t>a,e,f</w:t>
      </w:r>
      <w:r>
        <w:rPr>
          <w:sz w:val="20"/>
          <w:szCs w:val="20"/>
        </w:rPr>
        <w:t>, Tomas Marques- Bonet</w:t>
      </w:r>
      <w:r>
        <w:rPr>
          <w:sz w:val="20"/>
          <w:szCs w:val="20"/>
          <w:vertAlign w:val="superscript"/>
        </w:rPr>
        <w:t>a,e,g,h</w:t>
      </w:r>
      <w:r>
        <w:rPr>
          <w:sz w:val="20"/>
          <w:szCs w:val="20"/>
        </w:rPr>
        <w:t>, Ricardo Fong- Zazueta</w:t>
      </w:r>
      <w:r>
        <w:rPr>
          <w:sz w:val="20"/>
          <w:szCs w:val="20"/>
          <w:vertAlign w:val="superscript"/>
        </w:rPr>
        <w:t>i</w:t>
      </w:r>
      <w:r>
        <w:rPr>
          <w:sz w:val="20"/>
          <w:szCs w:val="20"/>
        </w:rPr>
        <w:t xml:space="preserve">, Aurora Grandal- d’Anglade </w:t>
      </w:r>
      <w:r>
        <w:rPr>
          <w:sz w:val="20"/>
          <w:szCs w:val="20"/>
          <w:vertAlign w:val="superscript"/>
        </w:rPr>
        <w:t>j</w:t>
      </w:r>
      <w:r>
        <w:rPr>
          <w:sz w:val="20"/>
          <w:szCs w:val="20"/>
        </w:rPr>
        <w:t>, David M. Alba</w:t>
      </w:r>
      <w:r>
        <w:rPr>
          <w:sz w:val="20"/>
          <w:szCs w:val="20"/>
          <w:vertAlign w:val="superscript"/>
        </w:rPr>
        <w:t>e,f</w:t>
      </w:r>
      <w:r>
        <w:rPr>
          <w:sz w:val="20"/>
          <w:szCs w:val="20"/>
        </w:rPr>
        <w:t>, Ana García-Vázquez</w:t>
      </w:r>
      <w:r>
        <w:rPr>
          <w:sz w:val="20"/>
          <w:szCs w:val="20"/>
          <w:vertAlign w:val="superscript"/>
        </w:rPr>
        <w:t>k</w:t>
      </w:r>
      <w:r>
        <w:rPr>
          <w:sz w:val="20"/>
          <w:szCs w:val="20"/>
        </w:rPr>
        <w:t>, Asier Gómez-Olivencia</w:t>
      </w:r>
      <w:r>
        <w:rPr>
          <w:sz w:val="20"/>
          <w:szCs w:val="20"/>
          <w:vertAlign w:val="superscript"/>
        </w:rPr>
        <w:t>l,m,b</w:t>
      </w:r>
      <w:r>
        <w:rPr>
          <w:sz w:val="20"/>
          <w:szCs w:val="20"/>
        </w:rPr>
        <w:t>, Mónica Villalba de Alvarado</w:t>
      </w:r>
      <w:r>
        <w:rPr>
          <w:sz w:val="20"/>
          <w:szCs w:val="20"/>
          <w:vertAlign w:val="superscript"/>
        </w:rPr>
        <w:t>n</w:t>
      </w:r>
      <w:r w:rsidR="00926E42">
        <w:rPr>
          <w:sz w:val="20"/>
          <w:szCs w:val="20"/>
          <w:vertAlign w:val="superscript"/>
        </w:rPr>
        <w:t>,m,b</w:t>
      </w:r>
      <w:r>
        <w:rPr>
          <w:sz w:val="20"/>
          <w:szCs w:val="20"/>
        </w:rPr>
        <w:t xml:space="preserve"> Luca Pandolfi</w:t>
      </w:r>
      <w:r>
        <w:rPr>
          <w:sz w:val="20"/>
          <w:szCs w:val="20"/>
          <w:vertAlign w:val="superscript"/>
        </w:rPr>
        <w:t>o</w:t>
      </w:r>
      <w:r>
        <w:rPr>
          <w:sz w:val="20"/>
          <w:szCs w:val="20"/>
        </w:rPr>
        <w:t>, Lorenzo Rook</w:t>
      </w:r>
      <w:r>
        <w:rPr>
          <w:sz w:val="20"/>
          <w:szCs w:val="20"/>
          <w:vertAlign w:val="superscript"/>
        </w:rPr>
        <w:t>p</w:t>
      </w:r>
      <w:r>
        <w:rPr>
          <w:sz w:val="20"/>
          <w:szCs w:val="20"/>
        </w:rPr>
        <w:t>, Montserrat Sanz</w:t>
      </w:r>
      <w:r>
        <w:rPr>
          <w:sz w:val="20"/>
          <w:szCs w:val="20"/>
          <w:vertAlign w:val="superscript"/>
        </w:rPr>
        <w:t>q,r</w:t>
      </w:r>
      <w:r>
        <w:rPr>
          <w:sz w:val="20"/>
          <w:szCs w:val="20"/>
        </w:rPr>
        <w:t>, Joan Daura</w:t>
      </w:r>
      <w:r>
        <w:rPr>
          <w:sz w:val="20"/>
          <w:szCs w:val="20"/>
          <w:vertAlign w:val="superscript"/>
        </w:rPr>
        <w:t>q,r</w:t>
      </w:r>
      <w:r>
        <w:rPr>
          <w:sz w:val="20"/>
          <w:szCs w:val="20"/>
        </w:rPr>
        <w:t xml:space="preserve">, </w:t>
      </w:r>
      <w:r>
        <w:rPr>
          <w:sz w:val="20"/>
          <w:szCs w:val="20"/>
          <w:highlight w:val="white"/>
        </w:rPr>
        <w:t>João Zilhão</w:t>
      </w:r>
      <w:r>
        <w:rPr>
          <w:sz w:val="20"/>
          <w:szCs w:val="20"/>
          <w:vertAlign w:val="superscript"/>
        </w:rPr>
        <w:t>r</w:t>
      </w:r>
      <w:r>
        <w:rPr>
          <w:sz w:val="20"/>
          <w:szCs w:val="20"/>
        </w:rPr>
        <w:t>, Juan Luis Arsuaga</w:t>
      </w:r>
      <w:r>
        <w:rPr>
          <w:sz w:val="20"/>
          <w:szCs w:val="20"/>
          <w:vertAlign w:val="superscript"/>
        </w:rPr>
        <w:t>b,s</w:t>
      </w:r>
      <w:r>
        <w:rPr>
          <w:sz w:val="20"/>
          <w:szCs w:val="20"/>
        </w:rPr>
        <w:t>, José María Bermúdez de Castro</w:t>
      </w:r>
      <w:r>
        <w:rPr>
          <w:sz w:val="20"/>
          <w:szCs w:val="20"/>
          <w:vertAlign w:val="superscript"/>
        </w:rPr>
        <w:t>c</w:t>
      </w:r>
      <w:r>
        <w:rPr>
          <w:sz w:val="20"/>
          <w:szCs w:val="20"/>
        </w:rPr>
        <w:t xml:space="preserve"> &amp; María Martinón-Torres </w:t>
      </w:r>
      <w:r>
        <w:rPr>
          <w:sz w:val="20"/>
          <w:szCs w:val="20"/>
          <w:vertAlign w:val="superscript"/>
        </w:rPr>
        <w:t>c,t</w:t>
      </w:r>
    </w:p>
    <w:p w14:paraId="0EBAA4CE" w14:textId="3D9A8118" w:rsidR="00AB1203" w:rsidRPr="00D25DAF" w:rsidRDefault="00AB1203" w:rsidP="00AB1203">
      <w:pPr>
        <w:spacing w:after="240"/>
        <w:jc w:val="both"/>
        <w:rPr>
          <w:sz w:val="20"/>
          <w:szCs w:val="20"/>
          <w:lang w:val="es-ES"/>
        </w:rPr>
        <w:sectPr w:rsidR="00AB1203" w:rsidRPr="00D25DAF">
          <w:footerReference w:type="default" r:id="rId7"/>
          <w:pgSz w:w="11906" w:h="16838"/>
          <w:pgMar w:top="1440" w:right="1440" w:bottom="1440" w:left="1440" w:header="0" w:footer="720" w:gutter="0"/>
          <w:lnNumType w:countBy="1" w:distance="283" w:restart="continuous"/>
          <w:pgNumType w:start="1"/>
          <w:cols w:space="720"/>
          <w:formProt w:val="0"/>
          <w:docGrid w:linePitch="100" w:charSpace="4096"/>
        </w:sectPr>
      </w:pPr>
      <w:r w:rsidRPr="00D25DAF">
        <w:rPr>
          <w:sz w:val="18"/>
          <w:szCs w:val="18"/>
          <w:vertAlign w:val="superscript"/>
          <w:lang w:val="es-ES"/>
        </w:rPr>
        <w:t>a</w:t>
      </w:r>
      <w:r w:rsidRPr="00D25DAF">
        <w:rPr>
          <w:sz w:val="18"/>
          <w:szCs w:val="18"/>
          <w:lang w:val="es-ES"/>
        </w:rPr>
        <w:t xml:space="preserve"> Departament de Medicina i Ciències de la Vida, Institut de Biologia Evolutiva (CSIC-UPF), Universitat Pompeu Fabra, Barcelona, Spain; </w:t>
      </w:r>
      <w:r w:rsidRPr="00D25DAF">
        <w:rPr>
          <w:sz w:val="18"/>
          <w:szCs w:val="18"/>
          <w:vertAlign w:val="superscript"/>
          <w:lang w:val="es-ES"/>
        </w:rPr>
        <w:t xml:space="preserve">b </w:t>
      </w:r>
      <w:r w:rsidRPr="00D25DAF">
        <w:rPr>
          <w:sz w:val="18"/>
          <w:szCs w:val="18"/>
          <w:lang w:val="es-ES"/>
        </w:rPr>
        <w:t xml:space="preserve">Centro Mixto UCM–ISCIII de Evolución y Comportamiento Humanos Madrid, Spain; </w:t>
      </w:r>
      <w:r w:rsidRPr="00D25DAF">
        <w:rPr>
          <w:sz w:val="18"/>
          <w:szCs w:val="18"/>
          <w:vertAlign w:val="superscript"/>
          <w:lang w:val="es-ES"/>
        </w:rPr>
        <w:t xml:space="preserve">c </w:t>
      </w:r>
      <w:r w:rsidRPr="00D25DAF">
        <w:rPr>
          <w:sz w:val="18"/>
          <w:szCs w:val="18"/>
          <w:lang w:val="es-ES"/>
        </w:rPr>
        <w:t xml:space="preserve">CENIEH (Centro Nacional de Investigación sobre la Evolución Humana), Burgos, Spain; </w:t>
      </w:r>
      <w:r w:rsidRPr="00D25DAF">
        <w:rPr>
          <w:sz w:val="18"/>
          <w:szCs w:val="18"/>
          <w:vertAlign w:val="superscript"/>
          <w:lang w:val="es-ES"/>
        </w:rPr>
        <w:t>d</w:t>
      </w:r>
      <w:r w:rsidRPr="00D25DAF">
        <w:rPr>
          <w:sz w:val="18"/>
          <w:szCs w:val="18"/>
          <w:lang w:val="es-ES"/>
        </w:rPr>
        <w:t xml:space="preserve"> Cátedra de Otoacústica Evolutiva y Paleoantropología (HM Hospitales-Universidad de Alcalá), Departamento de Ciencias de la Vida, Universidad de Alcalá, Alcalá de Henares, Madrid, Spain; </w:t>
      </w:r>
      <w:r w:rsidRPr="00D25DAF">
        <w:rPr>
          <w:sz w:val="18"/>
          <w:szCs w:val="18"/>
          <w:vertAlign w:val="superscript"/>
          <w:lang w:val="es-ES"/>
        </w:rPr>
        <w:t xml:space="preserve">e </w:t>
      </w:r>
      <w:r w:rsidRPr="00D25DAF">
        <w:rPr>
          <w:sz w:val="18"/>
          <w:szCs w:val="18"/>
          <w:lang w:val="es-ES"/>
        </w:rPr>
        <w:t xml:space="preserve">Institut Català de Paleontologia Miquel Crusafont (ICP-CERCA), Universitat Autònoma de Barcelona, Cerdanyola del Vallès, Barcelona, Spain; </w:t>
      </w:r>
      <w:r w:rsidRPr="00D25DAF">
        <w:rPr>
          <w:sz w:val="18"/>
          <w:szCs w:val="18"/>
          <w:vertAlign w:val="superscript"/>
          <w:lang w:val="es-ES"/>
        </w:rPr>
        <w:t>f</w:t>
      </w:r>
      <w:r w:rsidRPr="00D25DAF">
        <w:rPr>
          <w:sz w:val="18"/>
          <w:szCs w:val="18"/>
          <w:lang w:val="es-ES"/>
        </w:rPr>
        <w:t xml:space="preserve"> Unidad de Paleobiología, ICP-CERCA, Unidad Asociada al CSIC por el IBE UPF-CSIC, Cerdanyola del Vallès, Barcelona, Spain; </w:t>
      </w:r>
      <w:r w:rsidRPr="00D25DAF">
        <w:rPr>
          <w:sz w:val="18"/>
          <w:szCs w:val="18"/>
          <w:vertAlign w:val="superscript"/>
          <w:lang w:val="es-ES"/>
        </w:rPr>
        <w:t>g</w:t>
      </w:r>
      <w:r w:rsidRPr="00D25DAF">
        <w:rPr>
          <w:sz w:val="18"/>
          <w:szCs w:val="18"/>
          <w:lang w:val="es-ES"/>
        </w:rPr>
        <w:t xml:space="preserve"> Catalan Institution of Research and Advanced Studies (ICREA), Passeig de Lluís Companys, Barcelona, Spain; </w:t>
      </w:r>
      <w:r w:rsidRPr="00D25DAF">
        <w:rPr>
          <w:sz w:val="18"/>
          <w:szCs w:val="18"/>
          <w:vertAlign w:val="superscript"/>
          <w:lang w:val="es-ES"/>
        </w:rPr>
        <w:t>h</w:t>
      </w:r>
      <w:r w:rsidRPr="00D25DAF">
        <w:rPr>
          <w:sz w:val="18"/>
          <w:szCs w:val="18"/>
          <w:lang w:val="es-ES"/>
        </w:rPr>
        <w:t xml:space="preserve"> CNAG, Centro Nacional de An</w:t>
      </w:r>
      <w:r w:rsidR="00926E42">
        <w:rPr>
          <w:sz w:val="18"/>
          <w:szCs w:val="18"/>
          <w:lang w:val="es-ES"/>
        </w:rPr>
        <w:t>á</w:t>
      </w:r>
      <w:r w:rsidRPr="00D25DAF">
        <w:rPr>
          <w:sz w:val="18"/>
          <w:szCs w:val="18"/>
          <w:lang w:val="es-ES"/>
        </w:rPr>
        <w:t>lisis Gen</w:t>
      </w:r>
      <w:r w:rsidR="00926E42">
        <w:rPr>
          <w:sz w:val="18"/>
          <w:szCs w:val="18"/>
          <w:lang w:val="es-ES"/>
        </w:rPr>
        <w:t>ó</w:t>
      </w:r>
      <w:r w:rsidRPr="00D25DAF">
        <w:rPr>
          <w:sz w:val="18"/>
          <w:szCs w:val="18"/>
          <w:lang w:val="es-ES"/>
        </w:rPr>
        <w:t xml:space="preserve">mico, Barcelona, Spain; </w:t>
      </w:r>
      <w:r w:rsidRPr="00D25DAF">
        <w:rPr>
          <w:sz w:val="18"/>
          <w:szCs w:val="18"/>
          <w:vertAlign w:val="superscript"/>
          <w:lang w:val="es-ES"/>
        </w:rPr>
        <w:t>i</w:t>
      </w:r>
      <w:r w:rsidRPr="00D25DAF">
        <w:rPr>
          <w:sz w:val="18"/>
          <w:szCs w:val="18"/>
          <w:lang w:val="es-ES"/>
        </w:rPr>
        <w:t xml:space="preserve"> Département de sciences biologiques, Université de Montréal, Montréal, Canada; </w:t>
      </w:r>
      <w:r w:rsidRPr="00D25DAF">
        <w:rPr>
          <w:sz w:val="18"/>
          <w:szCs w:val="18"/>
          <w:vertAlign w:val="superscript"/>
          <w:lang w:val="es-ES"/>
        </w:rPr>
        <w:t>j</w:t>
      </w:r>
      <w:r w:rsidRPr="00D25DAF">
        <w:rPr>
          <w:sz w:val="18"/>
          <w:szCs w:val="18"/>
          <w:lang w:val="es-ES"/>
        </w:rPr>
        <w:t xml:space="preserve"> Instituto Universitario de Xeoloxía, Universidade da Coruña, ESCI, A Coruña, Spain; </w:t>
      </w:r>
      <w:r w:rsidRPr="00D25DAF">
        <w:rPr>
          <w:sz w:val="18"/>
          <w:szCs w:val="18"/>
          <w:vertAlign w:val="superscript"/>
          <w:lang w:val="es-ES"/>
        </w:rPr>
        <w:t>k</w:t>
      </w:r>
      <w:r w:rsidRPr="00D25DAF">
        <w:rPr>
          <w:sz w:val="18"/>
          <w:szCs w:val="18"/>
          <w:lang w:val="es-ES"/>
        </w:rPr>
        <w:t xml:space="preserve"> </w:t>
      </w:r>
      <w:r w:rsidRPr="00D25DAF">
        <w:rPr>
          <w:sz w:val="18"/>
          <w:szCs w:val="18"/>
          <w:highlight w:val="white"/>
          <w:lang w:val="es-ES"/>
        </w:rPr>
        <w:t xml:space="preserve">ArchaeoScience Platform (ASp), Research Institute of the University of Bucharest (ICUB), University of Bucharest, Bucharest, Romania; </w:t>
      </w:r>
      <w:r w:rsidRPr="00D25DAF">
        <w:rPr>
          <w:sz w:val="18"/>
          <w:szCs w:val="18"/>
          <w:vertAlign w:val="superscript"/>
          <w:lang w:val="es-ES"/>
        </w:rPr>
        <w:t>l</w:t>
      </w:r>
      <w:r w:rsidRPr="00D25DAF">
        <w:rPr>
          <w:sz w:val="18"/>
          <w:szCs w:val="18"/>
          <w:lang w:val="es-ES"/>
        </w:rPr>
        <w:t xml:space="preserve"> Departamento de Geología, Facultad de Ciencia y Tecnología, Universidad del País Vasco–Euskal Herriko Unibertsitatea (UPV/EHU), Leioa, Spain; </w:t>
      </w:r>
      <w:r w:rsidRPr="00D25DAF">
        <w:rPr>
          <w:sz w:val="18"/>
          <w:szCs w:val="18"/>
          <w:vertAlign w:val="superscript"/>
          <w:lang w:val="es-ES"/>
        </w:rPr>
        <w:t xml:space="preserve">m </w:t>
      </w:r>
      <w:r w:rsidRPr="00D25DAF">
        <w:rPr>
          <w:sz w:val="18"/>
          <w:szCs w:val="18"/>
          <w:lang w:val="es-ES"/>
        </w:rPr>
        <w:t>Sociedad de Ciencias Aranzadi, Donostia–San Sebastián, Spain;</w:t>
      </w:r>
      <w:r w:rsidRPr="00D25DAF">
        <w:rPr>
          <w:sz w:val="18"/>
          <w:szCs w:val="18"/>
          <w:highlight w:val="white"/>
          <w:lang w:val="es-ES"/>
        </w:rPr>
        <w:t xml:space="preserve"> </w:t>
      </w:r>
      <w:r w:rsidRPr="00D25DAF">
        <w:rPr>
          <w:sz w:val="18"/>
          <w:szCs w:val="18"/>
          <w:vertAlign w:val="superscript"/>
          <w:lang w:val="es-ES"/>
        </w:rPr>
        <w:t>n</w:t>
      </w:r>
      <w:r w:rsidRPr="00D25DAF">
        <w:rPr>
          <w:sz w:val="18"/>
          <w:szCs w:val="18"/>
          <w:lang w:val="es-ES"/>
        </w:rPr>
        <w:t xml:space="preserve"> Departamento de Procesos Psicológicos Básicos y su Desarrollo, Universidad de País Vasco- Euskal Herrilo Unibertsitatea (UPV/EHU); </w:t>
      </w:r>
      <w:r w:rsidRPr="00D25DAF">
        <w:rPr>
          <w:sz w:val="18"/>
          <w:szCs w:val="18"/>
          <w:vertAlign w:val="superscript"/>
          <w:lang w:val="es-ES"/>
        </w:rPr>
        <w:t xml:space="preserve">o </w:t>
      </w:r>
      <w:r w:rsidRPr="00D25DAF">
        <w:rPr>
          <w:sz w:val="18"/>
          <w:szCs w:val="18"/>
          <w:lang w:val="es-ES"/>
        </w:rPr>
        <w:t xml:space="preserve">Dipartimento di Scienze della Terra, Università di Pisa, Pisa, Italy; </w:t>
      </w:r>
      <w:r w:rsidRPr="00D25DAF">
        <w:rPr>
          <w:sz w:val="18"/>
          <w:szCs w:val="18"/>
          <w:vertAlign w:val="superscript"/>
          <w:lang w:val="es-ES"/>
        </w:rPr>
        <w:t xml:space="preserve">p </w:t>
      </w:r>
      <w:r w:rsidRPr="00D25DAF">
        <w:rPr>
          <w:sz w:val="18"/>
          <w:szCs w:val="18"/>
          <w:lang w:val="es-ES"/>
        </w:rPr>
        <w:t xml:space="preserve">Dipartimento di Scienze della Terra, Paleo[Fab]Lab, Università degli Studi di Firenze </w:t>
      </w:r>
      <w:proofErr w:type="spellStart"/>
      <w:r w:rsidRPr="00D25DAF">
        <w:rPr>
          <w:sz w:val="18"/>
          <w:szCs w:val="18"/>
          <w:lang w:val="es-ES"/>
        </w:rPr>
        <w:t>Firenze</w:t>
      </w:r>
      <w:proofErr w:type="spellEnd"/>
      <w:r w:rsidRPr="00D25DAF">
        <w:rPr>
          <w:sz w:val="18"/>
          <w:szCs w:val="18"/>
          <w:lang w:val="es-ES"/>
        </w:rPr>
        <w:t xml:space="preserve">, Italy; </w:t>
      </w:r>
      <w:r w:rsidRPr="00D25DAF">
        <w:rPr>
          <w:sz w:val="18"/>
          <w:szCs w:val="18"/>
          <w:vertAlign w:val="superscript"/>
          <w:lang w:val="es-ES"/>
        </w:rPr>
        <w:t xml:space="preserve">q </w:t>
      </w:r>
      <w:proofErr w:type="spellStart"/>
      <w:r w:rsidRPr="00D25DAF">
        <w:rPr>
          <w:sz w:val="18"/>
          <w:szCs w:val="18"/>
          <w:lang w:val="es-ES"/>
        </w:rPr>
        <w:t>Grup</w:t>
      </w:r>
      <w:proofErr w:type="spellEnd"/>
      <w:r w:rsidRPr="00D25DAF">
        <w:rPr>
          <w:sz w:val="18"/>
          <w:szCs w:val="18"/>
          <w:lang w:val="es-ES"/>
        </w:rPr>
        <w:t xml:space="preserve"> de Recerca del </w:t>
      </w:r>
      <w:proofErr w:type="spellStart"/>
      <w:r w:rsidRPr="00D25DAF">
        <w:rPr>
          <w:sz w:val="18"/>
          <w:szCs w:val="18"/>
          <w:lang w:val="es-ES"/>
        </w:rPr>
        <w:t>Quaternari</w:t>
      </w:r>
      <w:proofErr w:type="spellEnd"/>
      <w:r w:rsidRPr="00D25DAF">
        <w:rPr>
          <w:sz w:val="18"/>
          <w:szCs w:val="18"/>
          <w:lang w:val="es-ES"/>
        </w:rPr>
        <w:t xml:space="preserve"> (GRQ)-SERP, Departament </w:t>
      </w:r>
      <w:proofErr w:type="spellStart"/>
      <w:r w:rsidRPr="00D25DAF">
        <w:rPr>
          <w:sz w:val="18"/>
          <w:szCs w:val="18"/>
          <w:lang w:val="es-ES"/>
        </w:rPr>
        <w:t>d’Història</w:t>
      </w:r>
      <w:proofErr w:type="spellEnd"/>
      <w:r w:rsidRPr="00D25DAF">
        <w:rPr>
          <w:sz w:val="18"/>
          <w:szCs w:val="18"/>
          <w:lang w:val="es-ES"/>
        </w:rPr>
        <w:t xml:space="preserve"> i </w:t>
      </w:r>
      <w:proofErr w:type="spellStart"/>
      <w:r w:rsidRPr="00D25DAF">
        <w:rPr>
          <w:sz w:val="18"/>
          <w:szCs w:val="18"/>
          <w:lang w:val="es-ES"/>
        </w:rPr>
        <w:t>Arqueologia</w:t>
      </w:r>
      <w:proofErr w:type="spellEnd"/>
      <w:r w:rsidRPr="00D25DAF">
        <w:rPr>
          <w:sz w:val="18"/>
          <w:szCs w:val="18"/>
          <w:lang w:val="es-ES"/>
        </w:rPr>
        <w:t>, Universitat de Barcelona, Barcelona, Spain;</w:t>
      </w:r>
      <w:r w:rsidRPr="00D25DAF">
        <w:rPr>
          <w:sz w:val="18"/>
          <w:szCs w:val="18"/>
          <w:vertAlign w:val="superscript"/>
          <w:lang w:val="es-ES"/>
        </w:rPr>
        <w:t xml:space="preserve"> r</w:t>
      </w:r>
      <w:r w:rsidRPr="00D25DAF">
        <w:rPr>
          <w:sz w:val="18"/>
          <w:szCs w:val="18"/>
          <w:lang w:val="es-ES"/>
        </w:rPr>
        <w:t xml:space="preserve"> </w:t>
      </w:r>
      <w:r w:rsidRPr="00D25DAF">
        <w:rPr>
          <w:sz w:val="18"/>
          <w:szCs w:val="18"/>
          <w:vertAlign w:val="superscript"/>
          <w:lang w:val="es-ES"/>
        </w:rPr>
        <w:t xml:space="preserve"> </w:t>
      </w:r>
      <w:proofErr w:type="spellStart"/>
      <w:r w:rsidRPr="00D25DAF">
        <w:rPr>
          <w:sz w:val="18"/>
          <w:szCs w:val="18"/>
          <w:lang w:val="es-ES"/>
        </w:rPr>
        <w:t>Faculdade</w:t>
      </w:r>
      <w:proofErr w:type="spellEnd"/>
      <w:r w:rsidRPr="00D25DAF">
        <w:rPr>
          <w:sz w:val="18"/>
          <w:szCs w:val="18"/>
          <w:lang w:val="es-ES"/>
        </w:rPr>
        <w:t xml:space="preserve"> de Letras, UNIARQ-Centro de </w:t>
      </w:r>
      <w:proofErr w:type="spellStart"/>
      <w:r w:rsidRPr="00D25DAF">
        <w:rPr>
          <w:sz w:val="18"/>
          <w:szCs w:val="18"/>
          <w:lang w:val="es-ES"/>
        </w:rPr>
        <w:t>Arqueologia</w:t>
      </w:r>
      <w:proofErr w:type="spellEnd"/>
      <w:r w:rsidRPr="00D25DAF">
        <w:rPr>
          <w:sz w:val="18"/>
          <w:szCs w:val="18"/>
          <w:lang w:val="es-ES"/>
        </w:rPr>
        <w:t xml:space="preserve"> da Universidade de Lisboa, Lisboa, Portugal;</w:t>
      </w:r>
      <w:r w:rsidRPr="00D25DAF">
        <w:rPr>
          <w:sz w:val="18"/>
          <w:szCs w:val="18"/>
          <w:vertAlign w:val="superscript"/>
          <w:lang w:val="es-ES"/>
        </w:rPr>
        <w:t xml:space="preserve"> s</w:t>
      </w:r>
      <w:r w:rsidRPr="00D25DAF">
        <w:rPr>
          <w:sz w:val="18"/>
          <w:szCs w:val="18"/>
          <w:lang w:val="es-ES"/>
        </w:rPr>
        <w:t xml:space="preserve"> Departamento de Geodinámica, Estratigrafía y Paleontología, Facultad de Ciencias Geológicas, Universidad Complutense de Madrid, Madrid, Spain; </w:t>
      </w:r>
      <w:r w:rsidRPr="00D25DAF">
        <w:rPr>
          <w:sz w:val="18"/>
          <w:szCs w:val="18"/>
          <w:vertAlign w:val="superscript"/>
          <w:lang w:val="es-ES"/>
        </w:rPr>
        <w:t xml:space="preserve">t  </w:t>
      </w:r>
      <w:proofErr w:type="spellStart"/>
      <w:r w:rsidRPr="00D25DAF">
        <w:rPr>
          <w:sz w:val="18"/>
          <w:szCs w:val="18"/>
          <w:lang w:val="es-ES"/>
        </w:rPr>
        <w:t>Department</w:t>
      </w:r>
      <w:proofErr w:type="spellEnd"/>
      <w:r w:rsidRPr="00D25DAF">
        <w:rPr>
          <w:sz w:val="18"/>
          <w:szCs w:val="18"/>
          <w:lang w:val="es-ES"/>
        </w:rPr>
        <w:t xml:space="preserve"> of Anthropology, University </w:t>
      </w:r>
      <w:proofErr w:type="spellStart"/>
      <w:r w:rsidRPr="00D25DAF">
        <w:rPr>
          <w:sz w:val="18"/>
          <w:szCs w:val="18"/>
          <w:lang w:val="es-ES"/>
        </w:rPr>
        <w:t>College</w:t>
      </w:r>
      <w:proofErr w:type="spellEnd"/>
      <w:r w:rsidRPr="00D25DAF">
        <w:rPr>
          <w:sz w:val="18"/>
          <w:szCs w:val="18"/>
          <w:lang w:val="es-ES"/>
        </w:rPr>
        <w:t xml:space="preserve"> London, London, UK.</w:t>
      </w:r>
    </w:p>
    <w:p w14:paraId="29511FB8" w14:textId="77777777" w:rsidR="00AB1203" w:rsidRDefault="00AB1203" w:rsidP="00AB1203">
      <w:pPr>
        <w:spacing w:line="240" w:lineRule="auto"/>
        <w:rPr>
          <w:b/>
          <w:bCs/>
          <w:sz w:val="24"/>
          <w:szCs w:val="24"/>
        </w:rPr>
      </w:pPr>
      <w:r>
        <w:rPr>
          <w:b/>
          <w:bCs/>
          <w:i/>
          <w:iCs/>
          <w:sz w:val="30"/>
          <w:szCs w:val="30"/>
        </w:rPr>
        <w:lastRenderedPageBreak/>
        <w:t>SI Contents</w:t>
      </w:r>
    </w:p>
    <w:p w14:paraId="283AA81E" w14:textId="77777777" w:rsidR="00AB1203" w:rsidRDefault="00AB1203" w:rsidP="00AB1203">
      <w:pPr>
        <w:pStyle w:val="Heading4"/>
        <w:keepNext w:val="0"/>
        <w:spacing w:before="240" w:after="40" w:line="240" w:lineRule="auto"/>
        <w:rPr>
          <w:sz w:val="20"/>
          <w:szCs w:val="20"/>
        </w:rPr>
      </w:pPr>
      <w:bookmarkStart w:id="1" w:name="_n0m75qskmd"/>
      <w:bookmarkEnd w:id="1"/>
      <w:r>
        <w:rPr>
          <w:b/>
          <w:bCs/>
          <w:color w:val="000000"/>
          <w:sz w:val="22"/>
          <w:szCs w:val="22"/>
        </w:rPr>
        <w:t>I. Additional Methodology</w:t>
      </w:r>
    </w:p>
    <w:p w14:paraId="6D504B4E" w14:textId="77777777" w:rsidR="00AB1203" w:rsidRDefault="00AB1203" w:rsidP="00AB1203">
      <w:pPr>
        <w:spacing w:before="240" w:after="240" w:line="240" w:lineRule="auto"/>
        <w:rPr>
          <w:sz w:val="20"/>
          <w:szCs w:val="20"/>
        </w:rPr>
      </w:pPr>
      <w:r>
        <w:rPr>
          <w:sz w:val="20"/>
          <w:szCs w:val="20"/>
        </w:rPr>
        <w:t>I.1. Database Construction</w:t>
      </w:r>
    </w:p>
    <w:p w14:paraId="3C65E952" w14:textId="77777777" w:rsidR="00AB1203" w:rsidRDefault="00AB1203" w:rsidP="00AB1203">
      <w:pPr>
        <w:spacing w:before="240" w:after="240" w:line="240" w:lineRule="auto"/>
        <w:rPr>
          <w:sz w:val="20"/>
          <w:szCs w:val="20"/>
        </w:rPr>
      </w:pPr>
      <w:r>
        <w:rPr>
          <w:sz w:val="20"/>
          <w:szCs w:val="20"/>
        </w:rPr>
        <w:t>I.2. Protein Identification and Search Engines</w:t>
      </w:r>
    </w:p>
    <w:p w14:paraId="2CB4BD8A" w14:textId="77777777" w:rsidR="00AB1203" w:rsidRDefault="00AB1203" w:rsidP="00AB1203">
      <w:pPr>
        <w:spacing w:before="240" w:after="240" w:line="240" w:lineRule="auto"/>
        <w:rPr>
          <w:sz w:val="20"/>
          <w:szCs w:val="20"/>
        </w:rPr>
      </w:pPr>
      <w:r>
        <w:rPr>
          <w:sz w:val="20"/>
          <w:szCs w:val="20"/>
        </w:rPr>
        <w:t>I.3. Sequence Reconstruction and SAP Identification</w:t>
      </w:r>
    </w:p>
    <w:p w14:paraId="2CD82D4D" w14:textId="77777777" w:rsidR="00AB1203" w:rsidRDefault="00AB1203" w:rsidP="00AB1203">
      <w:pPr>
        <w:spacing w:before="240" w:after="240" w:line="240" w:lineRule="auto"/>
        <w:rPr>
          <w:sz w:val="20"/>
          <w:szCs w:val="20"/>
        </w:rPr>
      </w:pPr>
      <w:r>
        <w:rPr>
          <w:sz w:val="20"/>
          <w:szCs w:val="20"/>
        </w:rPr>
        <w:t>I.4. Phylogenetic Methods and Tree Reconstruction</w:t>
      </w:r>
    </w:p>
    <w:p w14:paraId="7C4EB876" w14:textId="77777777" w:rsidR="00AB1203" w:rsidRDefault="00AB1203" w:rsidP="00AB1203">
      <w:pPr>
        <w:spacing w:before="240" w:after="240" w:line="240" w:lineRule="auto"/>
        <w:rPr>
          <w:sz w:val="18"/>
          <w:szCs w:val="18"/>
        </w:rPr>
      </w:pPr>
      <w:r>
        <w:rPr>
          <w:sz w:val="20"/>
          <w:szCs w:val="20"/>
        </w:rPr>
        <w:t xml:space="preserve">I.5. Deamidation and Oxidation rates </w:t>
      </w:r>
    </w:p>
    <w:p w14:paraId="730790BC" w14:textId="77777777" w:rsidR="00AB1203" w:rsidRDefault="00AB1203" w:rsidP="00AB1203">
      <w:pPr>
        <w:pStyle w:val="Heading4"/>
        <w:keepNext w:val="0"/>
        <w:spacing w:before="240" w:after="40" w:line="240" w:lineRule="auto"/>
        <w:rPr>
          <w:b/>
          <w:bCs/>
          <w:color w:val="000000"/>
          <w:sz w:val="22"/>
          <w:szCs w:val="22"/>
        </w:rPr>
      </w:pPr>
      <w:bookmarkStart w:id="2" w:name="_54o0dmxwl78y"/>
      <w:bookmarkEnd w:id="2"/>
      <w:r>
        <w:rPr>
          <w:b/>
          <w:bCs/>
          <w:color w:val="000000"/>
          <w:sz w:val="22"/>
          <w:szCs w:val="22"/>
        </w:rPr>
        <w:t>II. Results</w:t>
      </w:r>
    </w:p>
    <w:p w14:paraId="04485E88" w14:textId="77777777" w:rsidR="00AB1203" w:rsidRDefault="00AB1203" w:rsidP="00AB1203">
      <w:pPr>
        <w:keepLines/>
        <w:spacing w:before="240" w:after="240" w:line="240" w:lineRule="auto"/>
        <w:rPr>
          <w:sz w:val="20"/>
          <w:szCs w:val="20"/>
        </w:rPr>
      </w:pPr>
      <w:r>
        <w:rPr>
          <w:sz w:val="20"/>
          <w:szCs w:val="20"/>
        </w:rPr>
        <w:t>II.1. Proteomic Recovery Intensity</w:t>
      </w:r>
    </w:p>
    <w:p w14:paraId="675F3FFA" w14:textId="77777777" w:rsidR="00AB1203" w:rsidRDefault="00AB1203" w:rsidP="00AB1203">
      <w:pPr>
        <w:keepLines/>
        <w:spacing w:before="240" w:after="240" w:line="240" w:lineRule="auto"/>
        <w:rPr>
          <w:sz w:val="20"/>
          <w:szCs w:val="20"/>
        </w:rPr>
      </w:pPr>
      <w:r>
        <w:rPr>
          <w:sz w:val="20"/>
          <w:szCs w:val="20"/>
        </w:rPr>
        <w:t>II.2. SAP Validation:</w:t>
      </w:r>
    </w:p>
    <w:p w14:paraId="4C2638FB" w14:textId="77777777" w:rsidR="00AB1203" w:rsidRDefault="00AB1203" w:rsidP="00AB1203">
      <w:pPr>
        <w:spacing w:before="240" w:after="240" w:line="240" w:lineRule="auto"/>
        <w:ind w:left="720"/>
        <w:rPr>
          <w:sz w:val="18"/>
          <w:szCs w:val="18"/>
        </w:rPr>
      </w:pPr>
      <w:r>
        <w:rPr>
          <w:sz w:val="18"/>
          <w:szCs w:val="18"/>
        </w:rPr>
        <w:t>II.2.1. AMBN-249</w:t>
      </w:r>
    </w:p>
    <w:p w14:paraId="7164C2E2" w14:textId="77777777" w:rsidR="00AB1203" w:rsidRPr="00D25DAF" w:rsidRDefault="00AB1203" w:rsidP="00AB1203">
      <w:pPr>
        <w:spacing w:before="240" w:after="240" w:line="240" w:lineRule="auto"/>
        <w:ind w:left="720"/>
        <w:rPr>
          <w:sz w:val="18"/>
          <w:szCs w:val="18"/>
          <w:lang w:val="es-ES"/>
        </w:rPr>
      </w:pPr>
      <w:r>
        <w:rPr>
          <w:sz w:val="18"/>
          <w:szCs w:val="18"/>
        </w:rPr>
        <w:t xml:space="preserve">II.2.2. </w:t>
      </w:r>
      <w:r w:rsidRPr="00D25DAF">
        <w:rPr>
          <w:sz w:val="18"/>
          <w:szCs w:val="18"/>
          <w:lang w:val="es-ES"/>
        </w:rPr>
        <w:t>AMBN-278</w:t>
      </w:r>
    </w:p>
    <w:p w14:paraId="41953FCD" w14:textId="77777777" w:rsidR="00AB1203" w:rsidRPr="00D25DAF" w:rsidRDefault="00AB1203" w:rsidP="00AB1203">
      <w:pPr>
        <w:spacing w:before="240" w:after="240" w:line="240" w:lineRule="auto"/>
        <w:ind w:left="720"/>
        <w:rPr>
          <w:sz w:val="18"/>
          <w:szCs w:val="18"/>
          <w:lang w:val="es-ES"/>
        </w:rPr>
      </w:pPr>
      <w:r w:rsidRPr="00D25DAF">
        <w:rPr>
          <w:sz w:val="18"/>
          <w:szCs w:val="18"/>
          <w:lang w:val="es-ES"/>
        </w:rPr>
        <w:t>II.2.3. SERPINA1-341</w:t>
      </w:r>
    </w:p>
    <w:p w14:paraId="15BD844D" w14:textId="77777777" w:rsidR="00AB1203" w:rsidRPr="00D25DAF" w:rsidRDefault="00AB1203" w:rsidP="00AB1203">
      <w:pPr>
        <w:spacing w:before="240" w:after="240" w:line="240" w:lineRule="auto"/>
        <w:ind w:left="720"/>
        <w:rPr>
          <w:sz w:val="20"/>
          <w:szCs w:val="20"/>
          <w:lang w:val="es-ES"/>
        </w:rPr>
      </w:pPr>
      <w:r w:rsidRPr="00D25DAF">
        <w:rPr>
          <w:sz w:val="18"/>
          <w:szCs w:val="18"/>
          <w:lang w:val="es-ES"/>
        </w:rPr>
        <w:t>II.2.4. ENAM-269</w:t>
      </w:r>
    </w:p>
    <w:p w14:paraId="228935DF" w14:textId="77777777" w:rsidR="00AB1203" w:rsidRDefault="00AB1203" w:rsidP="00AB1203">
      <w:pPr>
        <w:keepLines/>
        <w:spacing w:before="240" w:after="240" w:line="240" w:lineRule="auto"/>
        <w:rPr>
          <w:sz w:val="20"/>
          <w:szCs w:val="20"/>
        </w:rPr>
      </w:pPr>
      <w:r>
        <w:rPr>
          <w:sz w:val="20"/>
          <w:szCs w:val="20"/>
        </w:rPr>
        <w:t>II.3. Expanded Phylogenetic Trees</w:t>
      </w:r>
    </w:p>
    <w:p w14:paraId="04E472D3" w14:textId="77777777" w:rsidR="00AB1203" w:rsidRDefault="00AB1203" w:rsidP="00AB1203">
      <w:pPr>
        <w:keepLines/>
        <w:spacing w:before="240" w:after="240" w:line="240" w:lineRule="auto"/>
        <w:rPr>
          <w:sz w:val="20"/>
          <w:szCs w:val="20"/>
        </w:rPr>
      </w:pPr>
      <w:r>
        <w:rPr>
          <w:sz w:val="20"/>
          <w:szCs w:val="20"/>
        </w:rPr>
        <w:t>II.4. Sex Determination</w:t>
      </w:r>
    </w:p>
    <w:p w14:paraId="4B15AEB7" w14:textId="77777777" w:rsidR="00AB1203" w:rsidRDefault="00AB1203" w:rsidP="00AB1203">
      <w:pPr>
        <w:pStyle w:val="Heading4"/>
        <w:keepNext w:val="0"/>
        <w:spacing w:before="240" w:after="40" w:line="240" w:lineRule="auto"/>
        <w:rPr>
          <w:b/>
          <w:bCs/>
          <w:sz w:val="20"/>
          <w:szCs w:val="20"/>
        </w:rPr>
      </w:pPr>
      <w:bookmarkStart w:id="3" w:name="_7v6z7gttixgb"/>
      <w:bookmarkEnd w:id="3"/>
      <w:r>
        <w:rPr>
          <w:b/>
          <w:bCs/>
          <w:color w:val="000000"/>
          <w:sz w:val="22"/>
          <w:szCs w:val="22"/>
        </w:rPr>
        <w:t>III. Supplementary References</w:t>
      </w:r>
    </w:p>
    <w:p w14:paraId="5C7AF473" w14:textId="03016AB7" w:rsidR="00C4351F" w:rsidRPr="00C4351F" w:rsidRDefault="00AB1203" w:rsidP="00C4351F">
      <w:pPr>
        <w:pStyle w:val="Heading4"/>
        <w:keepNext w:val="0"/>
        <w:spacing w:before="240" w:after="40" w:line="240" w:lineRule="auto"/>
        <w:rPr>
          <w:b/>
          <w:bCs/>
          <w:color w:val="000000"/>
          <w:sz w:val="22"/>
          <w:szCs w:val="22"/>
        </w:rPr>
      </w:pPr>
      <w:bookmarkStart w:id="4" w:name="_7rxvcso1ntuo"/>
      <w:bookmarkEnd w:id="4"/>
      <w:r>
        <w:rPr>
          <w:b/>
          <w:bCs/>
          <w:color w:val="000000"/>
          <w:sz w:val="22"/>
          <w:szCs w:val="22"/>
        </w:rPr>
        <w:t>IV. Dataset S1 (Excel Sheet) – Databases</w:t>
      </w:r>
      <w:bookmarkStart w:id="5" w:name="_erzymeucbpn6"/>
    </w:p>
    <w:bookmarkEnd w:id="5"/>
    <w:p w14:paraId="669F9B4C" w14:textId="77777777" w:rsidR="00C4351F" w:rsidRDefault="00AB1203" w:rsidP="00C4351F">
      <w:pPr>
        <w:pStyle w:val="Heading4"/>
        <w:keepNext w:val="0"/>
        <w:spacing w:before="240" w:after="40" w:line="240" w:lineRule="auto"/>
        <w:rPr>
          <w:b/>
          <w:bCs/>
          <w:color w:val="000000"/>
          <w:sz w:val="22"/>
          <w:szCs w:val="22"/>
        </w:rPr>
      </w:pPr>
      <w:r>
        <w:rPr>
          <w:b/>
          <w:bCs/>
          <w:color w:val="000000"/>
          <w:sz w:val="22"/>
          <w:szCs w:val="22"/>
        </w:rPr>
        <w:t>V. Dataset S2 (Excel Sheet)– Peptide Recovery and Identification</w:t>
      </w:r>
      <w:r w:rsidR="00C4351F">
        <w:rPr>
          <w:b/>
          <w:bCs/>
          <w:color w:val="000000"/>
          <w:sz w:val="22"/>
          <w:szCs w:val="22"/>
        </w:rPr>
        <w:t xml:space="preserve"> </w:t>
      </w:r>
    </w:p>
    <w:p w14:paraId="3C2C955B" w14:textId="18852590" w:rsidR="00C4351F" w:rsidRPr="00C4351F" w:rsidRDefault="00C4351F" w:rsidP="00C4351F">
      <w:pPr>
        <w:pStyle w:val="Heading4"/>
        <w:keepNext w:val="0"/>
        <w:spacing w:before="240" w:after="40" w:line="240" w:lineRule="auto"/>
        <w:rPr>
          <w:b/>
          <w:bCs/>
          <w:color w:val="000000"/>
          <w:sz w:val="22"/>
          <w:szCs w:val="22"/>
        </w:rPr>
        <w:sectPr w:rsidR="00C4351F" w:rsidRPr="00C4351F">
          <w:footerReference w:type="default" r:id="rId8"/>
          <w:footerReference w:type="first" r:id="rId9"/>
          <w:pgSz w:w="11906" w:h="16838"/>
          <w:pgMar w:top="1440" w:right="1440" w:bottom="1440" w:left="1440" w:header="0" w:footer="720" w:gutter="0"/>
          <w:lnNumType w:countBy="1" w:distance="283" w:restart="continuous"/>
          <w:cols w:space="720"/>
          <w:formProt w:val="0"/>
          <w:docGrid w:linePitch="100" w:charSpace="4096"/>
        </w:sectPr>
      </w:pPr>
      <w:r>
        <w:rPr>
          <w:b/>
          <w:bCs/>
          <w:color w:val="000000"/>
          <w:sz w:val="22"/>
          <w:szCs w:val="22"/>
        </w:rPr>
        <w:t xml:space="preserve">VI. </w:t>
      </w:r>
      <w:r w:rsidRPr="00C4351F">
        <w:rPr>
          <w:b/>
          <w:bCs/>
          <w:color w:val="000000"/>
          <w:sz w:val="22"/>
          <w:szCs w:val="22"/>
        </w:rPr>
        <w:t>Dataset S3 (Excel Sheet) – SAP Identification and Phylogenetic Support</w:t>
      </w:r>
    </w:p>
    <w:p w14:paraId="156A9BF4" w14:textId="77777777" w:rsidR="00AB1203" w:rsidRDefault="00AB1203" w:rsidP="00AB1203">
      <w:pPr>
        <w:pStyle w:val="Heading4"/>
        <w:keepNext w:val="0"/>
        <w:spacing w:before="240" w:after="40" w:line="360" w:lineRule="auto"/>
        <w:ind w:left="720"/>
      </w:pPr>
      <w:bookmarkStart w:id="6" w:name="_p59pz7j2b97y"/>
      <w:bookmarkEnd w:id="6"/>
      <w:r>
        <w:rPr>
          <w:b/>
          <w:bCs/>
          <w:color w:val="000000"/>
          <w:sz w:val="26"/>
          <w:szCs w:val="26"/>
        </w:rPr>
        <w:lastRenderedPageBreak/>
        <w:t>I. Additional Methodology</w:t>
      </w:r>
    </w:p>
    <w:p w14:paraId="35ED9597" w14:textId="77777777" w:rsidR="00AB1203" w:rsidRDefault="00AB1203" w:rsidP="00AB1203">
      <w:pPr>
        <w:spacing w:before="240" w:after="240"/>
      </w:pPr>
      <w:r>
        <w:rPr>
          <w:b/>
          <w:bCs/>
        </w:rPr>
        <w:t>I.1. Database Construction</w:t>
      </w:r>
    </w:p>
    <w:p w14:paraId="7690934D" w14:textId="77777777" w:rsidR="00AB1203" w:rsidRDefault="00AB1203" w:rsidP="00AB1203">
      <w:pPr>
        <w:spacing w:before="240" w:after="240" w:line="360" w:lineRule="auto"/>
        <w:jc w:val="both"/>
        <w:rPr>
          <w:sz w:val="20"/>
          <w:szCs w:val="20"/>
        </w:rPr>
      </w:pPr>
      <w:r>
        <w:rPr>
          <w:sz w:val="20"/>
          <w:szCs w:val="20"/>
        </w:rPr>
        <w:t>To support protein identification and subsequent phylogenetic analysis, three curated protein databases were generated, each corresponding to a different analytical stage:</w:t>
      </w:r>
    </w:p>
    <w:p w14:paraId="236FDBD3" w14:textId="77777777" w:rsidR="00AB1203" w:rsidRDefault="00AB1203" w:rsidP="00AB1203">
      <w:pPr>
        <w:numPr>
          <w:ilvl w:val="0"/>
          <w:numId w:val="4"/>
        </w:numPr>
        <w:spacing w:before="240" w:line="360" w:lineRule="auto"/>
        <w:jc w:val="both"/>
        <w:rPr>
          <w:sz w:val="20"/>
          <w:szCs w:val="20"/>
        </w:rPr>
      </w:pPr>
      <w:r>
        <w:rPr>
          <w:b/>
          <w:bCs/>
          <w:sz w:val="20"/>
          <w:szCs w:val="20"/>
        </w:rPr>
        <w:t>DB_Preliminary</w:t>
      </w:r>
      <w:r>
        <w:rPr>
          <w:sz w:val="20"/>
          <w:szCs w:val="20"/>
        </w:rPr>
        <w:t xml:space="preserve">: Initial screening database including enamel-associated and systemic proteins (72 proteins, 296 entries) from three extant </w:t>
      </w:r>
      <w:r>
        <w:rPr>
          <w:i/>
          <w:iCs/>
          <w:sz w:val="20"/>
          <w:szCs w:val="20"/>
        </w:rPr>
        <w:t>Ursus</w:t>
      </w:r>
      <w:r>
        <w:rPr>
          <w:sz w:val="20"/>
          <w:szCs w:val="20"/>
        </w:rPr>
        <w:t xml:space="preserve"> species (</w:t>
      </w:r>
      <w:r>
        <w:rPr>
          <w:i/>
          <w:iCs/>
          <w:sz w:val="20"/>
          <w:szCs w:val="20"/>
        </w:rPr>
        <w:t>U. americanus, U. maritimus, U. arctos</w:t>
      </w:r>
      <w:r>
        <w:rPr>
          <w:sz w:val="20"/>
          <w:szCs w:val="20"/>
        </w:rPr>
        <w:t xml:space="preserve">) and </w:t>
      </w:r>
      <w:r>
        <w:rPr>
          <w:i/>
          <w:iCs/>
          <w:sz w:val="20"/>
          <w:szCs w:val="20"/>
        </w:rPr>
        <w:t>Ailuropoda melanoleuca</w:t>
      </w:r>
      <w:r>
        <w:rPr>
          <w:sz w:val="20"/>
          <w:szCs w:val="20"/>
        </w:rPr>
        <w:t>. Sequences were retrieved from NCBI.</w:t>
      </w:r>
    </w:p>
    <w:p w14:paraId="1550E208" w14:textId="77777777" w:rsidR="00AB1203" w:rsidRDefault="00AB1203" w:rsidP="00AB1203">
      <w:pPr>
        <w:numPr>
          <w:ilvl w:val="0"/>
          <w:numId w:val="4"/>
        </w:numPr>
        <w:spacing w:line="360" w:lineRule="auto"/>
        <w:jc w:val="both"/>
        <w:rPr>
          <w:sz w:val="20"/>
          <w:szCs w:val="20"/>
        </w:rPr>
      </w:pPr>
      <w:r>
        <w:rPr>
          <w:b/>
          <w:bCs/>
          <w:sz w:val="20"/>
          <w:szCs w:val="20"/>
        </w:rPr>
        <w:t>DB_Main</w:t>
      </w:r>
      <w:r>
        <w:rPr>
          <w:sz w:val="20"/>
          <w:szCs w:val="20"/>
        </w:rPr>
        <w:t xml:space="preserve">: Updated database excluding </w:t>
      </w:r>
      <w:r>
        <w:rPr>
          <w:i/>
          <w:iCs/>
          <w:sz w:val="20"/>
          <w:szCs w:val="20"/>
        </w:rPr>
        <w:t>Ailuropoda</w:t>
      </w:r>
      <w:r>
        <w:rPr>
          <w:sz w:val="20"/>
          <w:szCs w:val="20"/>
        </w:rPr>
        <w:t xml:space="preserve"> and incorporating additional ursid proteins (76 proteins, 140 entries), including translated sequences from </w:t>
      </w:r>
      <w:r>
        <w:rPr>
          <w:i/>
          <w:iCs/>
          <w:sz w:val="20"/>
          <w:szCs w:val="20"/>
        </w:rPr>
        <w:t>Ursus thibetanus japonicus</w:t>
      </w:r>
      <w:r>
        <w:rPr>
          <w:sz w:val="20"/>
          <w:szCs w:val="20"/>
        </w:rPr>
        <w:t xml:space="preserve"> obtained from previous published whole-genome data.</w:t>
      </w:r>
    </w:p>
    <w:p w14:paraId="5AFBFF1B" w14:textId="77777777" w:rsidR="00AB1203" w:rsidRDefault="00AB1203" w:rsidP="00AB1203">
      <w:pPr>
        <w:numPr>
          <w:ilvl w:val="0"/>
          <w:numId w:val="4"/>
        </w:numPr>
        <w:spacing w:after="240" w:line="360" w:lineRule="auto"/>
        <w:jc w:val="both"/>
        <w:rPr>
          <w:sz w:val="20"/>
          <w:szCs w:val="20"/>
        </w:rPr>
      </w:pPr>
      <w:r>
        <w:rPr>
          <w:b/>
          <w:bCs/>
          <w:sz w:val="20"/>
          <w:szCs w:val="20"/>
        </w:rPr>
        <w:t>DB_Validation</w:t>
      </w:r>
      <w:r>
        <w:rPr>
          <w:sz w:val="20"/>
          <w:szCs w:val="20"/>
        </w:rPr>
        <w:t>: A reduced and highly conservative set (21 proteins, 76 sequences) including only proteins consistently detected across multiple fossil samples with strong peptide support. This database served as the final reference for SAP confirmation and sequence reconstruction.</w:t>
      </w:r>
    </w:p>
    <w:p w14:paraId="11FDDDFF" w14:textId="0D2FBEB7" w:rsidR="008A752E" w:rsidRPr="008A752E" w:rsidRDefault="008A752E" w:rsidP="00AB1203">
      <w:pPr>
        <w:spacing w:before="240" w:after="240" w:line="360" w:lineRule="auto"/>
        <w:jc w:val="both"/>
        <w:rPr>
          <w:sz w:val="20"/>
          <w:szCs w:val="20"/>
        </w:rPr>
      </w:pPr>
      <w:r w:rsidRPr="008A752E">
        <w:rPr>
          <w:sz w:val="20"/>
          <w:szCs w:val="20"/>
        </w:rPr>
        <w:t>All three databases included a set of systemic proteins (e.g., AHSG, ALB, SERPINA1, SERPINC1 and APOA1). Although these proteins are not enamel-specific, they have been repeatedly identified in both modern and fossil enamel proteomes [</w:t>
      </w:r>
      <w:r>
        <w:rPr>
          <w:sz w:val="20"/>
          <w:szCs w:val="20"/>
        </w:rPr>
        <w:t>1-3</w:t>
      </w:r>
      <w:r w:rsidRPr="008A752E">
        <w:rPr>
          <w:sz w:val="20"/>
          <w:szCs w:val="20"/>
        </w:rPr>
        <w:t xml:space="preserve">] and are considered recurrent components of the enamel proteome beyond the core enamel-specific proteins. </w:t>
      </w:r>
    </w:p>
    <w:p w14:paraId="1076A37A" w14:textId="4AD2BF33" w:rsidR="00AB1203" w:rsidRDefault="00AB1203" w:rsidP="00AB1203">
      <w:pPr>
        <w:spacing w:before="240" w:after="240" w:line="360" w:lineRule="auto"/>
        <w:jc w:val="both"/>
        <w:rPr>
          <w:sz w:val="20"/>
          <w:szCs w:val="20"/>
        </w:rPr>
      </w:pPr>
      <w:r>
        <w:rPr>
          <w:sz w:val="20"/>
          <w:szCs w:val="20"/>
          <w:u w:val="single"/>
        </w:rPr>
        <w:t>Genomic Reconstruction of Ursid Proteins</w:t>
      </w:r>
      <w:r>
        <w:rPr>
          <w:sz w:val="20"/>
          <w:szCs w:val="20"/>
        </w:rPr>
        <w:t xml:space="preserve">. Protein sequences from </w:t>
      </w:r>
      <w:r>
        <w:rPr>
          <w:i/>
          <w:iCs/>
          <w:sz w:val="20"/>
          <w:szCs w:val="20"/>
        </w:rPr>
        <w:t>U. thibetanus japonicus</w:t>
      </w:r>
      <w:r>
        <w:rPr>
          <w:sz w:val="20"/>
          <w:szCs w:val="20"/>
        </w:rPr>
        <w:t xml:space="preserve"> and </w:t>
      </w:r>
      <w:r>
        <w:rPr>
          <w:i/>
          <w:iCs/>
          <w:sz w:val="20"/>
          <w:szCs w:val="20"/>
        </w:rPr>
        <w:t>U. spelaeus</w:t>
      </w:r>
      <w:r>
        <w:rPr>
          <w:sz w:val="20"/>
          <w:szCs w:val="20"/>
        </w:rPr>
        <w:t xml:space="preserve"> were reconstructed when full or reliable reference proteins were unavailable. Sequence processing and protein translation were performed on the Castilla y León Supercomputing Infrastructure (SCAYLE;</w:t>
      </w:r>
      <w:hyperlink r:id="rId10">
        <w:r>
          <w:rPr>
            <w:sz w:val="20"/>
            <w:szCs w:val="20"/>
          </w:rPr>
          <w:t xml:space="preserve"> </w:t>
        </w:r>
      </w:hyperlink>
      <w:hyperlink r:id="rId11">
        <w:r>
          <w:rPr>
            <w:color w:val="1155CC"/>
            <w:sz w:val="20"/>
            <w:szCs w:val="20"/>
            <w:u w:val="single"/>
          </w:rPr>
          <w:t>https://www.scayle.es/</w:t>
        </w:r>
      </w:hyperlink>
      <w:r>
        <w:rPr>
          <w:sz w:val="20"/>
          <w:szCs w:val="20"/>
        </w:rPr>
        <w:t>).</w:t>
      </w:r>
    </w:p>
    <w:p w14:paraId="326A2BAE" w14:textId="46A24DF0" w:rsidR="00AB1203" w:rsidRDefault="00AB1203" w:rsidP="00AB1203">
      <w:pPr>
        <w:spacing w:before="240" w:after="240" w:line="360" w:lineRule="auto"/>
        <w:jc w:val="both"/>
        <w:rPr>
          <w:sz w:val="20"/>
          <w:szCs w:val="20"/>
        </w:rPr>
      </w:pPr>
      <w:r>
        <w:rPr>
          <w:sz w:val="20"/>
          <w:szCs w:val="20"/>
        </w:rPr>
        <w:t xml:space="preserve">For the modern genome of </w:t>
      </w:r>
      <w:r>
        <w:rPr>
          <w:i/>
          <w:iCs/>
          <w:sz w:val="20"/>
          <w:szCs w:val="20"/>
        </w:rPr>
        <w:t>Ursus thibetanus japonicus</w:t>
      </w:r>
      <w:r>
        <w:rPr>
          <w:sz w:val="20"/>
          <w:szCs w:val="20"/>
        </w:rPr>
        <w:t xml:space="preserve"> (~30×), raw sequencing data were obtained from the ENA (DRR320311) [</w:t>
      </w:r>
      <w:r w:rsidR="00216E27">
        <w:rPr>
          <w:sz w:val="20"/>
          <w:szCs w:val="20"/>
        </w:rPr>
        <w:t>4</w:t>
      </w:r>
      <w:r>
        <w:rPr>
          <w:sz w:val="20"/>
          <w:szCs w:val="20"/>
        </w:rPr>
        <w:t xml:space="preserve">], derived from blood and hair of a male individual. Reads were quality-filtered and trimmed using </w:t>
      </w:r>
      <w:proofErr w:type="spellStart"/>
      <w:r>
        <w:rPr>
          <w:sz w:val="20"/>
          <w:szCs w:val="20"/>
        </w:rPr>
        <w:t>fastP</w:t>
      </w:r>
      <w:proofErr w:type="spellEnd"/>
      <w:r>
        <w:rPr>
          <w:sz w:val="20"/>
          <w:szCs w:val="20"/>
        </w:rPr>
        <w:t xml:space="preserve"> v0.20.4 [</w:t>
      </w:r>
      <w:r w:rsidR="00216E27">
        <w:rPr>
          <w:sz w:val="20"/>
          <w:szCs w:val="20"/>
        </w:rPr>
        <w:t>5</w:t>
      </w:r>
      <w:r>
        <w:rPr>
          <w:sz w:val="20"/>
          <w:szCs w:val="20"/>
        </w:rPr>
        <w:t xml:space="preserve">], discarding those shorter than 30 bp. Paired-end reads were merged and mapped to the </w:t>
      </w:r>
      <w:r>
        <w:rPr>
          <w:i/>
          <w:iCs/>
          <w:sz w:val="20"/>
          <w:szCs w:val="20"/>
        </w:rPr>
        <w:t>Ursus arctos</w:t>
      </w:r>
      <w:r>
        <w:rPr>
          <w:sz w:val="20"/>
          <w:szCs w:val="20"/>
        </w:rPr>
        <w:t xml:space="preserve"> reference genome (RefSeq GCF_023065955.2) [</w:t>
      </w:r>
      <w:r w:rsidR="00216E27">
        <w:rPr>
          <w:sz w:val="20"/>
          <w:szCs w:val="20"/>
        </w:rPr>
        <w:t>6</w:t>
      </w:r>
      <w:r>
        <w:rPr>
          <w:sz w:val="20"/>
          <w:szCs w:val="20"/>
        </w:rPr>
        <w:t>] using BWA mem v0.7.17 [</w:t>
      </w:r>
      <w:r w:rsidR="00216E27">
        <w:rPr>
          <w:sz w:val="20"/>
          <w:szCs w:val="20"/>
        </w:rPr>
        <w:t>7</w:t>
      </w:r>
      <w:r>
        <w:rPr>
          <w:sz w:val="20"/>
          <w:szCs w:val="20"/>
        </w:rPr>
        <w:t xml:space="preserve">]. Duplicates were removed with </w:t>
      </w:r>
      <w:proofErr w:type="spellStart"/>
      <w:r>
        <w:rPr>
          <w:sz w:val="20"/>
          <w:szCs w:val="20"/>
        </w:rPr>
        <w:t>biobambam</w:t>
      </w:r>
      <w:proofErr w:type="spellEnd"/>
      <w:r>
        <w:rPr>
          <w:sz w:val="20"/>
          <w:szCs w:val="20"/>
        </w:rPr>
        <w:t xml:space="preserve"> v2.0.35 [</w:t>
      </w:r>
      <w:r w:rsidR="00216E27">
        <w:rPr>
          <w:sz w:val="20"/>
          <w:szCs w:val="20"/>
        </w:rPr>
        <w:t>8</w:t>
      </w:r>
      <w:r>
        <w:rPr>
          <w:sz w:val="20"/>
          <w:szCs w:val="20"/>
        </w:rPr>
        <w:t xml:space="preserve">] with the </w:t>
      </w:r>
      <w:proofErr w:type="spellStart"/>
      <w:r>
        <w:rPr>
          <w:sz w:val="20"/>
          <w:szCs w:val="20"/>
        </w:rPr>
        <w:t>bammarkduplicates</w:t>
      </w:r>
      <w:proofErr w:type="spellEnd"/>
      <w:r>
        <w:rPr>
          <w:sz w:val="20"/>
          <w:szCs w:val="20"/>
        </w:rPr>
        <w:t xml:space="preserve"> command. Variant calling was performed with GATK </w:t>
      </w:r>
      <w:proofErr w:type="spellStart"/>
      <w:r>
        <w:rPr>
          <w:sz w:val="20"/>
          <w:szCs w:val="20"/>
        </w:rPr>
        <w:t>HaplotypeCaller</w:t>
      </w:r>
      <w:proofErr w:type="spellEnd"/>
      <w:r>
        <w:rPr>
          <w:sz w:val="20"/>
          <w:szCs w:val="20"/>
        </w:rPr>
        <w:t xml:space="preserve"> algorithm [</w:t>
      </w:r>
      <w:r w:rsidR="00216E27">
        <w:rPr>
          <w:sz w:val="20"/>
          <w:szCs w:val="20"/>
        </w:rPr>
        <w:t>9</w:t>
      </w:r>
      <w:r>
        <w:rPr>
          <w:sz w:val="20"/>
          <w:szCs w:val="20"/>
        </w:rPr>
        <w:t>]. Gene coordinates (coding sequences) were extracted from genome annotations [</w:t>
      </w:r>
      <w:r w:rsidR="00216E27">
        <w:rPr>
          <w:sz w:val="20"/>
          <w:szCs w:val="20"/>
        </w:rPr>
        <w:t>6</w:t>
      </w:r>
      <w:r>
        <w:rPr>
          <w:sz w:val="20"/>
          <w:szCs w:val="20"/>
        </w:rPr>
        <w:t>]. Protein translation was carried out in silico using internally developed Python scripts [</w:t>
      </w:r>
      <w:r w:rsidR="00216E27">
        <w:rPr>
          <w:sz w:val="20"/>
          <w:szCs w:val="20"/>
        </w:rPr>
        <w:t>2</w:t>
      </w:r>
      <w:r>
        <w:rPr>
          <w:sz w:val="20"/>
          <w:szCs w:val="20"/>
        </w:rPr>
        <w:t xml:space="preserve">, </w:t>
      </w:r>
      <w:r>
        <w:rPr>
          <w:rFonts w:ascii="Roboto" w:eastAsia="Roboto" w:hAnsi="Roboto" w:cs="Roboto"/>
          <w:color w:val="444746"/>
          <w:sz w:val="21"/>
          <w:szCs w:val="21"/>
        </w:rPr>
        <w:t xml:space="preserve"> </w:t>
      </w:r>
      <w:hyperlink r:id="rId12">
        <w:r>
          <w:rPr>
            <w:rFonts w:ascii="Roboto" w:eastAsia="Roboto" w:hAnsi="Roboto" w:cs="Roboto"/>
            <w:color w:val="0B57D0"/>
            <w:sz w:val="20"/>
            <w:szCs w:val="20"/>
            <w:u w:val="single"/>
          </w:rPr>
          <w:t>https://github.com/RicardoFong/primate_enamelome</w:t>
        </w:r>
      </w:hyperlink>
      <w:r>
        <w:rPr>
          <w:sz w:val="20"/>
          <w:szCs w:val="20"/>
        </w:rPr>
        <w:t>]. This workflow yielded nearly complete sequences for 16 proteins, including AMELX, ENAM, AMBN, AMTN, COL17A1, COL1A1, ALB, ODAM, MMP20, SERPINC1, COL2A1, AHSG, KLK11, SERPINF1, and F2.</w:t>
      </w:r>
    </w:p>
    <w:p w14:paraId="2E1A7A12" w14:textId="2F23F03E" w:rsidR="00AB1203" w:rsidRDefault="00AB1203" w:rsidP="00AB1203">
      <w:pPr>
        <w:spacing w:before="240" w:after="240" w:line="360" w:lineRule="auto"/>
        <w:jc w:val="both"/>
        <w:rPr>
          <w:sz w:val="20"/>
          <w:szCs w:val="20"/>
        </w:rPr>
      </w:pPr>
      <w:r>
        <w:rPr>
          <w:sz w:val="20"/>
          <w:szCs w:val="20"/>
        </w:rPr>
        <w:t xml:space="preserve">For </w:t>
      </w:r>
      <w:r>
        <w:rPr>
          <w:i/>
          <w:iCs/>
          <w:sz w:val="20"/>
          <w:szCs w:val="20"/>
        </w:rPr>
        <w:t>Ursus spelaeus</w:t>
      </w:r>
      <w:r>
        <w:rPr>
          <w:sz w:val="20"/>
          <w:szCs w:val="20"/>
        </w:rPr>
        <w:t>, an ancient genome (~2.85×) from Cova Eirós (Galicia, Spain) was obtained from the ENA (ERR2678619 and ERR2678620) [</w:t>
      </w:r>
      <w:r w:rsidR="00216E27">
        <w:rPr>
          <w:sz w:val="20"/>
          <w:szCs w:val="20"/>
        </w:rPr>
        <w:t>10</w:t>
      </w:r>
      <w:r>
        <w:rPr>
          <w:sz w:val="20"/>
          <w:szCs w:val="20"/>
        </w:rPr>
        <w:t>]. The individual, dated to ~31 ka [</w:t>
      </w:r>
      <w:r w:rsidR="00216E27">
        <w:rPr>
          <w:sz w:val="20"/>
          <w:szCs w:val="20"/>
        </w:rPr>
        <w:t>11</w:t>
      </w:r>
      <w:r>
        <w:rPr>
          <w:sz w:val="20"/>
          <w:szCs w:val="20"/>
        </w:rPr>
        <w:t xml:space="preserve">], corresponds to specimen E-VD-1838, also analyzed </w:t>
      </w:r>
      <w:proofErr w:type="spellStart"/>
      <w:r>
        <w:rPr>
          <w:sz w:val="20"/>
          <w:szCs w:val="20"/>
        </w:rPr>
        <w:t>proteomically</w:t>
      </w:r>
      <w:proofErr w:type="spellEnd"/>
      <w:r>
        <w:rPr>
          <w:sz w:val="20"/>
          <w:szCs w:val="20"/>
        </w:rPr>
        <w:t xml:space="preserve"> in this study. Given the degraded nature of ancient </w:t>
      </w:r>
      <w:r>
        <w:rPr>
          <w:sz w:val="20"/>
          <w:szCs w:val="20"/>
        </w:rPr>
        <w:lastRenderedPageBreak/>
        <w:t xml:space="preserve">DNA, a modified pipeline was used: reads were trimmed and merged using fastp, then mapped to the </w:t>
      </w:r>
      <w:r>
        <w:rPr>
          <w:i/>
          <w:iCs/>
          <w:sz w:val="20"/>
          <w:szCs w:val="20"/>
        </w:rPr>
        <w:t>Ursus arctos</w:t>
      </w:r>
      <w:r>
        <w:rPr>
          <w:sz w:val="20"/>
          <w:szCs w:val="20"/>
        </w:rPr>
        <w:t xml:space="preserve"> genome with BWA v0.7.74 [1</w:t>
      </w:r>
      <w:r w:rsidR="00216E27">
        <w:rPr>
          <w:sz w:val="20"/>
          <w:szCs w:val="20"/>
        </w:rPr>
        <w:t>2</w:t>
      </w:r>
      <w:r>
        <w:rPr>
          <w:sz w:val="20"/>
          <w:szCs w:val="20"/>
        </w:rPr>
        <w:t xml:space="preserve">] with the aln algorithm. Duplicates were removed with </w:t>
      </w:r>
      <w:proofErr w:type="spellStart"/>
      <w:r>
        <w:rPr>
          <w:sz w:val="20"/>
          <w:szCs w:val="20"/>
        </w:rPr>
        <w:t>biobambam</w:t>
      </w:r>
      <w:proofErr w:type="spellEnd"/>
      <w:r>
        <w:rPr>
          <w:sz w:val="20"/>
          <w:szCs w:val="20"/>
        </w:rPr>
        <w:t xml:space="preserve"> as described before. Base calling was performed using ANGSD with </w:t>
      </w:r>
      <w:proofErr w:type="spellStart"/>
      <w:r>
        <w:rPr>
          <w:sz w:val="20"/>
          <w:szCs w:val="20"/>
        </w:rPr>
        <w:t>dofasta</w:t>
      </w:r>
      <w:proofErr w:type="spellEnd"/>
      <w:r>
        <w:rPr>
          <w:sz w:val="20"/>
          <w:szCs w:val="20"/>
        </w:rPr>
        <w:t xml:space="preserve"> option[1</w:t>
      </w:r>
      <w:r w:rsidR="00216E27">
        <w:rPr>
          <w:sz w:val="20"/>
          <w:szCs w:val="20"/>
        </w:rPr>
        <w:t>3</w:t>
      </w:r>
      <w:r>
        <w:rPr>
          <w:sz w:val="20"/>
          <w:szCs w:val="20"/>
        </w:rPr>
        <w:t>], coding sequences were obtained through in-house bash scripts, and protein translation followed a modified version of the previously described Python-based protocol. Five enamel-related proteins were successfully reconstructed: AMBN, AMTN, MMP20, ODAM and SERPINC1. Missing regions were completed using consensus sequences generated with EMBOSS Cons [1</w:t>
      </w:r>
      <w:r w:rsidR="00216E27">
        <w:rPr>
          <w:sz w:val="20"/>
          <w:szCs w:val="20"/>
        </w:rPr>
        <w:t>4</w:t>
      </w:r>
      <w:r>
        <w:rPr>
          <w:sz w:val="20"/>
          <w:szCs w:val="20"/>
        </w:rPr>
        <w:t xml:space="preserve">] from homologous alignments within the reference set. These sequences were not used for peptide searches, but only for independent validation, avoiding circularity. </w:t>
      </w:r>
    </w:p>
    <w:p w14:paraId="48C9BF6F" w14:textId="77777777" w:rsidR="00AB1203" w:rsidRDefault="00AB1203" w:rsidP="00AB1203">
      <w:pPr>
        <w:spacing w:before="240" w:after="240" w:line="360" w:lineRule="auto"/>
        <w:jc w:val="both"/>
        <w:rPr>
          <w:sz w:val="20"/>
          <w:szCs w:val="20"/>
        </w:rPr>
      </w:pPr>
      <w:r>
        <w:rPr>
          <w:sz w:val="20"/>
          <w:szCs w:val="20"/>
          <w:u w:val="single"/>
        </w:rPr>
        <w:t>Amelogenin (AMELX/AMELY) reconstruction</w:t>
      </w:r>
      <w:r>
        <w:rPr>
          <w:sz w:val="20"/>
          <w:szCs w:val="20"/>
        </w:rPr>
        <w:t xml:space="preserve">. To enable peptide-based sex determination, AMELX and AMELY isoforms were reconstructed for </w:t>
      </w:r>
      <w:r>
        <w:rPr>
          <w:i/>
          <w:iCs/>
          <w:sz w:val="20"/>
          <w:szCs w:val="20"/>
        </w:rPr>
        <w:t>Ursus arctos</w:t>
      </w:r>
      <w:r>
        <w:rPr>
          <w:sz w:val="20"/>
          <w:szCs w:val="20"/>
        </w:rPr>
        <w:t xml:space="preserve"> because database versions were incomplete. Canonical AMELX transcript of </w:t>
      </w:r>
      <w:r>
        <w:rPr>
          <w:i/>
          <w:iCs/>
          <w:sz w:val="20"/>
          <w:szCs w:val="20"/>
        </w:rPr>
        <w:t>Ailuropoda melanoleuca</w:t>
      </w:r>
      <w:r>
        <w:rPr>
          <w:sz w:val="20"/>
          <w:szCs w:val="20"/>
        </w:rPr>
        <w:t xml:space="preserve"> (Ensembl v112, ENSAMET00000045715.1) was retrieved and translated. For </w:t>
      </w:r>
      <w:r>
        <w:rPr>
          <w:i/>
          <w:iCs/>
          <w:sz w:val="20"/>
          <w:szCs w:val="20"/>
        </w:rPr>
        <w:t>Ursus arctos</w:t>
      </w:r>
      <w:r>
        <w:rPr>
          <w:sz w:val="20"/>
          <w:szCs w:val="20"/>
        </w:rPr>
        <w:t>, the X and Y chromosome assemblies (RefSeq CM057520.1 and CM057521.1) were obtained from NCBI (PRJNA807323). Homologous regions corresponding to AMELX and AMELY exons were identified using BLAST+ v2.13.0+ with the following commands:</w:t>
      </w:r>
    </w:p>
    <w:p w14:paraId="7EC1D651" w14:textId="77777777" w:rsidR="00AB1203" w:rsidRDefault="00AB1203" w:rsidP="00AB1203">
      <w:pPr>
        <w:spacing w:before="240" w:after="240"/>
        <w:jc w:val="center"/>
        <w:rPr>
          <w:sz w:val="20"/>
          <w:szCs w:val="20"/>
        </w:rPr>
      </w:pPr>
      <w:r>
        <w:rPr>
          <w:sz w:val="20"/>
          <w:szCs w:val="20"/>
        </w:rPr>
        <w:t xml:space="preserve">blastn -db Y_scaff_pbio_hap2.fasta -query ailme_amelx.fa -out </w:t>
      </w:r>
      <w:proofErr w:type="spellStart"/>
      <w:r>
        <w:rPr>
          <w:sz w:val="20"/>
          <w:szCs w:val="20"/>
        </w:rPr>
        <w:t>ursarctos_amely.out</w:t>
      </w:r>
      <w:proofErr w:type="spellEnd"/>
    </w:p>
    <w:p w14:paraId="6D47EF30" w14:textId="77777777" w:rsidR="00AB1203" w:rsidRDefault="00AB1203" w:rsidP="00AB1203">
      <w:pPr>
        <w:spacing w:before="240" w:after="240"/>
        <w:jc w:val="center"/>
        <w:rPr>
          <w:sz w:val="20"/>
          <w:szCs w:val="20"/>
        </w:rPr>
      </w:pPr>
      <w:r>
        <w:rPr>
          <w:sz w:val="20"/>
          <w:szCs w:val="20"/>
        </w:rPr>
        <w:t xml:space="preserve">blastn -db X_scaff_pbio_hap2.fasta -query ailme_amelx.fa -out </w:t>
      </w:r>
      <w:proofErr w:type="spellStart"/>
      <w:r>
        <w:rPr>
          <w:sz w:val="20"/>
          <w:szCs w:val="20"/>
        </w:rPr>
        <w:t>ursarctos_amelx.out</w:t>
      </w:r>
      <w:proofErr w:type="spellEnd"/>
    </w:p>
    <w:p w14:paraId="7BAFF7C0" w14:textId="698F10FF" w:rsidR="00AB1203" w:rsidRDefault="00AB1203" w:rsidP="00AB1203">
      <w:pPr>
        <w:spacing w:before="240" w:after="240" w:line="360" w:lineRule="auto"/>
        <w:jc w:val="both"/>
        <w:rPr>
          <w:sz w:val="20"/>
          <w:szCs w:val="20"/>
        </w:rPr>
      </w:pPr>
      <w:r>
        <w:rPr>
          <w:sz w:val="20"/>
          <w:szCs w:val="20"/>
        </w:rPr>
        <w:t>Exons were translated into amino acid sequences using the ExPASy Translate Tool [1</w:t>
      </w:r>
      <w:r w:rsidR="00B979E6">
        <w:rPr>
          <w:sz w:val="20"/>
          <w:szCs w:val="20"/>
        </w:rPr>
        <w:t>5</w:t>
      </w:r>
      <w:r>
        <w:rPr>
          <w:sz w:val="20"/>
          <w:szCs w:val="20"/>
        </w:rPr>
        <w:t xml:space="preserve">] and assembled into full-length AMELX and AMELY proteins. These sequences were incorporated into the “DB_Main” and “DB_Validation”. To increase sequence diversity, AMELX proteins from </w:t>
      </w:r>
      <w:r>
        <w:rPr>
          <w:i/>
          <w:iCs/>
          <w:sz w:val="20"/>
          <w:szCs w:val="20"/>
        </w:rPr>
        <w:t>Ursus maritimus</w:t>
      </w:r>
      <w:r>
        <w:rPr>
          <w:sz w:val="20"/>
          <w:szCs w:val="20"/>
        </w:rPr>
        <w:t xml:space="preserve"> and </w:t>
      </w:r>
      <w:r>
        <w:rPr>
          <w:i/>
          <w:iCs/>
          <w:sz w:val="20"/>
          <w:szCs w:val="20"/>
        </w:rPr>
        <w:t>Ailuropoda melanoleuca</w:t>
      </w:r>
      <w:r>
        <w:rPr>
          <w:sz w:val="20"/>
          <w:szCs w:val="20"/>
        </w:rPr>
        <w:t xml:space="preserve"> were also included.</w:t>
      </w:r>
    </w:p>
    <w:p w14:paraId="28C06F92" w14:textId="77777777" w:rsidR="00AB1203" w:rsidRDefault="00AB1203" w:rsidP="00AB1203">
      <w:pPr>
        <w:spacing w:before="240" w:after="240"/>
        <w:rPr>
          <w:b/>
          <w:bCs/>
        </w:rPr>
      </w:pPr>
      <w:r>
        <w:rPr>
          <w:b/>
          <w:bCs/>
        </w:rPr>
        <w:t>I.2. Protein Identification Parameters and Search Engines</w:t>
      </w:r>
    </w:p>
    <w:p w14:paraId="79850063" w14:textId="12D2CDF7" w:rsidR="00AB1203" w:rsidRDefault="00AB1203" w:rsidP="00AB1203">
      <w:pPr>
        <w:spacing w:before="240" w:after="240" w:line="360" w:lineRule="auto"/>
        <w:jc w:val="both"/>
        <w:rPr>
          <w:sz w:val="20"/>
          <w:szCs w:val="20"/>
        </w:rPr>
      </w:pPr>
      <w:r>
        <w:rPr>
          <w:sz w:val="20"/>
          <w:szCs w:val="20"/>
        </w:rPr>
        <w:t>Mass spectrometry data were processed using MaxQuant v2.0.2 [1</w:t>
      </w:r>
      <w:r w:rsidR="00B979E6">
        <w:rPr>
          <w:sz w:val="20"/>
          <w:szCs w:val="20"/>
        </w:rPr>
        <w:t>6</w:t>
      </w:r>
      <w:r>
        <w:rPr>
          <w:sz w:val="20"/>
          <w:szCs w:val="20"/>
        </w:rPr>
        <w:t>] and PEAKS Studio Xpro v10.6, whose complementary strengths (database-dependent identification vs. powerful de novo detection) increased peptide recovery and SAP discovery. A two-stage approach was adopted for the peptide search, with a final stage for sequence validation:</w:t>
      </w:r>
    </w:p>
    <w:p w14:paraId="7E6CD9AF" w14:textId="77777777" w:rsidR="00AB1203" w:rsidRDefault="00AB1203" w:rsidP="00AB1203">
      <w:pPr>
        <w:numPr>
          <w:ilvl w:val="0"/>
          <w:numId w:val="6"/>
        </w:numPr>
        <w:spacing w:before="240" w:line="360" w:lineRule="auto"/>
        <w:jc w:val="both"/>
        <w:rPr>
          <w:sz w:val="20"/>
          <w:szCs w:val="20"/>
        </w:rPr>
      </w:pPr>
      <w:r>
        <w:rPr>
          <w:b/>
          <w:bCs/>
          <w:sz w:val="20"/>
          <w:szCs w:val="20"/>
        </w:rPr>
        <w:t xml:space="preserve">MQ1 – Preliminary search. </w:t>
      </w:r>
      <w:r>
        <w:rPr>
          <w:sz w:val="20"/>
          <w:szCs w:val="20"/>
        </w:rPr>
        <w:t xml:space="preserve">MaxQuant search against </w:t>
      </w:r>
      <w:r>
        <w:rPr>
          <w:i/>
          <w:iCs/>
          <w:sz w:val="20"/>
          <w:szCs w:val="20"/>
        </w:rPr>
        <w:t>DB_Preliminary</w:t>
      </w:r>
      <w:r>
        <w:rPr>
          <w:sz w:val="20"/>
          <w:szCs w:val="20"/>
        </w:rPr>
        <w:t xml:space="preserve"> to identify candidate proteins and estimate basic coverage.</w:t>
      </w:r>
    </w:p>
    <w:p w14:paraId="30E81B5E" w14:textId="77777777" w:rsidR="00AB1203" w:rsidRDefault="00AB1203" w:rsidP="00AB1203">
      <w:pPr>
        <w:numPr>
          <w:ilvl w:val="0"/>
          <w:numId w:val="6"/>
        </w:numPr>
        <w:spacing w:line="360" w:lineRule="auto"/>
        <w:jc w:val="both"/>
        <w:rPr>
          <w:sz w:val="20"/>
          <w:szCs w:val="20"/>
        </w:rPr>
      </w:pPr>
      <w:r>
        <w:rPr>
          <w:b/>
          <w:bCs/>
          <w:sz w:val="20"/>
          <w:szCs w:val="20"/>
        </w:rPr>
        <w:t xml:space="preserve">MQ2 – Main search. </w:t>
      </w:r>
      <w:r>
        <w:rPr>
          <w:sz w:val="20"/>
          <w:szCs w:val="20"/>
        </w:rPr>
        <w:t xml:space="preserve">Parallel MaxQuant and PEAKS searches against </w:t>
      </w:r>
      <w:r>
        <w:rPr>
          <w:i/>
          <w:iCs/>
          <w:sz w:val="20"/>
          <w:szCs w:val="20"/>
        </w:rPr>
        <w:t>DB_Main</w:t>
      </w:r>
      <w:r>
        <w:rPr>
          <w:sz w:val="20"/>
          <w:szCs w:val="20"/>
        </w:rPr>
        <w:t>, which included reconstructed proteins and candidate SAPs predicted by the PEAKS SPIDER module.</w:t>
      </w:r>
    </w:p>
    <w:p w14:paraId="536EA450" w14:textId="77777777" w:rsidR="00AB1203" w:rsidRDefault="00AB1203" w:rsidP="00AB1203">
      <w:pPr>
        <w:numPr>
          <w:ilvl w:val="0"/>
          <w:numId w:val="6"/>
        </w:numPr>
        <w:spacing w:after="240" w:line="360" w:lineRule="auto"/>
        <w:jc w:val="both"/>
        <w:rPr>
          <w:sz w:val="20"/>
          <w:szCs w:val="20"/>
        </w:rPr>
      </w:pPr>
      <w:r>
        <w:rPr>
          <w:b/>
          <w:bCs/>
          <w:sz w:val="20"/>
          <w:szCs w:val="20"/>
        </w:rPr>
        <w:t xml:space="preserve">MQ3 – Validation search. </w:t>
      </w:r>
      <w:r>
        <w:rPr>
          <w:sz w:val="20"/>
          <w:szCs w:val="20"/>
        </w:rPr>
        <w:t xml:space="preserve">MaxQuant search against the conservative </w:t>
      </w:r>
      <w:r>
        <w:rPr>
          <w:i/>
          <w:iCs/>
          <w:sz w:val="20"/>
          <w:szCs w:val="20"/>
        </w:rPr>
        <w:t>DB_Validation</w:t>
      </w:r>
      <w:r>
        <w:rPr>
          <w:sz w:val="20"/>
          <w:szCs w:val="20"/>
        </w:rPr>
        <w:t xml:space="preserve"> to confirm protein identities and filter SAPs. High-confidence peptides uniquely identified in PEAKS were incorporated only if they met strict criteria: robust spectra, endogenous PTMs, and reproducibility across engines.</w:t>
      </w:r>
    </w:p>
    <w:p w14:paraId="56A26F9F" w14:textId="6ADB157B" w:rsidR="00AB1203" w:rsidRDefault="007A6654" w:rsidP="00AB1203">
      <w:pPr>
        <w:spacing w:before="240" w:after="240" w:line="360" w:lineRule="auto"/>
        <w:jc w:val="both"/>
        <w:rPr>
          <w:sz w:val="20"/>
          <w:szCs w:val="20"/>
        </w:rPr>
      </w:pPr>
      <w:r w:rsidRPr="007A6654">
        <w:rPr>
          <w:sz w:val="20"/>
          <w:szCs w:val="20"/>
        </w:rPr>
        <w:lastRenderedPageBreak/>
        <w:t>The final dataset used for all analyses presented in this study corresponds to the MQ3 workflow</w:t>
      </w:r>
      <w:r>
        <w:rPr>
          <w:sz w:val="20"/>
          <w:szCs w:val="20"/>
        </w:rPr>
        <w:t xml:space="preserve">. </w:t>
      </w:r>
      <w:r w:rsidR="00AB1203">
        <w:rPr>
          <w:sz w:val="20"/>
          <w:szCs w:val="20"/>
        </w:rPr>
        <w:t>Previous to sequence reconstruction, the results obtained in this third search were combined with the results from the advanced search in PEAKS to increase, in some cases, the coverage of the identified protein sequences. Any SAP observed by PEAKS was accepted only if validated in MQ3 under MaxQuant, ensuring consistency across platforms.</w:t>
      </w:r>
    </w:p>
    <w:p w14:paraId="30A10972" w14:textId="77777777" w:rsidR="00AB1203" w:rsidRDefault="00AB1203" w:rsidP="00AB1203">
      <w:pPr>
        <w:spacing w:before="240" w:after="240"/>
        <w:jc w:val="both"/>
        <w:rPr>
          <w:sz w:val="20"/>
          <w:szCs w:val="20"/>
        </w:rPr>
      </w:pPr>
      <w:r>
        <w:rPr>
          <w:b/>
          <w:bCs/>
        </w:rPr>
        <w:t>I.3. Sequence Reconstruction and SAP Identification</w:t>
      </w:r>
    </w:p>
    <w:p w14:paraId="2CF4165C" w14:textId="77777777" w:rsidR="00AB1203" w:rsidRDefault="00AB1203" w:rsidP="00AB1203">
      <w:pPr>
        <w:spacing w:before="240" w:after="240" w:line="360" w:lineRule="auto"/>
        <w:jc w:val="both"/>
        <w:rPr>
          <w:sz w:val="20"/>
          <w:szCs w:val="20"/>
        </w:rPr>
      </w:pPr>
      <w:r>
        <w:rPr>
          <w:sz w:val="20"/>
          <w:szCs w:val="20"/>
        </w:rPr>
        <w:t>Protein reconstruction from ancient peptide fragments was carried out using a combined automated–manual workflow designed to maximize accuracy while minimizing false positives, particularly for single amino acid polymorphisms (SAPs).</w:t>
      </w:r>
    </w:p>
    <w:p w14:paraId="4EBD0A14" w14:textId="618D038C" w:rsidR="00473E42" w:rsidRDefault="00AB1203" w:rsidP="00AB1203">
      <w:pPr>
        <w:spacing w:before="240" w:after="240" w:line="360" w:lineRule="auto"/>
        <w:jc w:val="both"/>
        <w:rPr>
          <w:sz w:val="20"/>
          <w:szCs w:val="20"/>
        </w:rPr>
      </w:pPr>
      <w:r>
        <w:rPr>
          <w:sz w:val="20"/>
          <w:szCs w:val="20"/>
          <w:u w:val="single"/>
        </w:rPr>
        <w:t>Reconstruction of Sample-Specific Protein Sequences</w:t>
      </w:r>
      <w:r>
        <w:rPr>
          <w:sz w:val="20"/>
          <w:szCs w:val="20"/>
        </w:rPr>
        <w:t>. For the reconstruction of proteins from ancient peptide fragments, MaxQuant output files (</w:t>
      </w:r>
      <w:r>
        <w:rPr>
          <w:i/>
          <w:iCs/>
          <w:sz w:val="20"/>
          <w:szCs w:val="20"/>
        </w:rPr>
        <w:t>summary.txt</w:t>
      </w:r>
      <w:r>
        <w:rPr>
          <w:sz w:val="20"/>
          <w:szCs w:val="20"/>
        </w:rPr>
        <w:t xml:space="preserve">, </w:t>
      </w:r>
      <w:r>
        <w:rPr>
          <w:i/>
          <w:iCs/>
          <w:sz w:val="20"/>
          <w:szCs w:val="20"/>
        </w:rPr>
        <w:t>msms.txt</w:t>
      </w:r>
      <w:r>
        <w:rPr>
          <w:sz w:val="20"/>
          <w:szCs w:val="20"/>
        </w:rPr>
        <w:t xml:space="preserve">, </w:t>
      </w:r>
      <w:r>
        <w:rPr>
          <w:i/>
          <w:iCs/>
          <w:sz w:val="20"/>
          <w:szCs w:val="20"/>
        </w:rPr>
        <w:t>evidence.txt</w:t>
      </w:r>
      <w:r>
        <w:rPr>
          <w:sz w:val="20"/>
          <w:szCs w:val="20"/>
        </w:rPr>
        <w:t>) were processed using an adapted semi-automated R pipeline [1</w:t>
      </w:r>
      <w:r w:rsidR="00B979E6">
        <w:rPr>
          <w:sz w:val="20"/>
          <w:szCs w:val="20"/>
        </w:rPr>
        <w:t>7</w:t>
      </w:r>
      <w:r>
        <w:rPr>
          <w:sz w:val="20"/>
          <w:szCs w:val="20"/>
        </w:rPr>
        <w:t xml:space="preserve">] to map peptide coordinates onto the </w:t>
      </w:r>
      <w:r>
        <w:rPr>
          <w:i/>
          <w:iCs/>
          <w:sz w:val="20"/>
          <w:szCs w:val="20"/>
        </w:rPr>
        <w:t>DB_Validation</w:t>
      </w:r>
      <w:r>
        <w:rPr>
          <w:sz w:val="20"/>
          <w:szCs w:val="20"/>
        </w:rPr>
        <w:t xml:space="preserve"> reference proteins, producing preliminary FASTA reconstructions for each specimen. All discrepancies between MaxQuant-derived sequences and de novo suggestions from MaxNovo and PEAKS were inspected manually. </w:t>
      </w:r>
    </w:p>
    <w:p w14:paraId="4BC87AE1" w14:textId="77777777" w:rsidR="001F7470" w:rsidRDefault="00AB1203" w:rsidP="00AB1203">
      <w:pPr>
        <w:spacing w:before="240" w:after="240" w:line="360" w:lineRule="auto"/>
        <w:jc w:val="both"/>
        <w:rPr>
          <w:sz w:val="20"/>
          <w:szCs w:val="20"/>
        </w:rPr>
      </w:pPr>
      <w:r>
        <w:rPr>
          <w:sz w:val="20"/>
          <w:szCs w:val="20"/>
        </w:rPr>
        <w:t>Peptides were excluded</w:t>
      </w:r>
      <w:r w:rsidR="001F7470">
        <w:rPr>
          <w:sz w:val="20"/>
          <w:szCs w:val="20"/>
        </w:rPr>
        <w:t xml:space="preserve"> when they met one or more of the following criteria:</w:t>
      </w:r>
    </w:p>
    <w:p w14:paraId="2DEF81A6" w14:textId="7495F143" w:rsidR="00CD6D63" w:rsidRDefault="00CD6D63" w:rsidP="001F7470">
      <w:pPr>
        <w:pStyle w:val="ListParagraph"/>
        <w:numPr>
          <w:ilvl w:val="0"/>
          <w:numId w:val="11"/>
        </w:numPr>
        <w:spacing w:before="240" w:after="240" w:line="360" w:lineRule="auto"/>
        <w:jc w:val="both"/>
        <w:rPr>
          <w:sz w:val="20"/>
          <w:szCs w:val="20"/>
        </w:rPr>
      </w:pPr>
      <w:r w:rsidRPr="00CD6D63">
        <w:rPr>
          <w:sz w:val="20"/>
          <w:szCs w:val="20"/>
        </w:rPr>
        <w:t>Low-quality MS/MS spectra, including poor ion coverage, low Andromeda scores (&lt;70), or absence of a consistent b/y ion series across the peptide sequence (limited gaps at terminal positions were tolerated)</w:t>
      </w:r>
      <w:r>
        <w:rPr>
          <w:sz w:val="20"/>
          <w:szCs w:val="20"/>
        </w:rPr>
        <w:t>.</w:t>
      </w:r>
    </w:p>
    <w:p w14:paraId="46B13A4B" w14:textId="6B02AE28" w:rsidR="001F7470" w:rsidRPr="00CD6D63" w:rsidRDefault="001F7470" w:rsidP="00CD6D63">
      <w:pPr>
        <w:pStyle w:val="ListParagraph"/>
        <w:numPr>
          <w:ilvl w:val="0"/>
          <w:numId w:val="11"/>
        </w:numPr>
        <w:spacing w:before="240" w:after="240" w:line="360" w:lineRule="auto"/>
        <w:jc w:val="both"/>
        <w:rPr>
          <w:sz w:val="20"/>
          <w:szCs w:val="20"/>
        </w:rPr>
      </w:pPr>
      <w:r w:rsidRPr="001F7470">
        <w:rPr>
          <w:sz w:val="20"/>
          <w:szCs w:val="20"/>
        </w:rPr>
        <w:t>Very low signal intensity relative to background noise</w:t>
      </w:r>
      <w:r>
        <w:rPr>
          <w:sz w:val="20"/>
          <w:szCs w:val="20"/>
        </w:rPr>
        <w:t xml:space="preserve"> (&lt; 20%).</w:t>
      </w:r>
    </w:p>
    <w:p w14:paraId="2B0A86E3" w14:textId="53DC54E2" w:rsidR="00AB1203" w:rsidRPr="001F7470" w:rsidRDefault="001F7470" w:rsidP="001F7470">
      <w:pPr>
        <w:pStyle w:val="ListParagraph"/>
        <w:numPr>
          <w:ilvl w:val="0"/>
          <w:numId w:val="11"/>
        </w:numPr>
        <w:spacing w:before="240" w:after="240" w:line="360" w:lineRule="auto"/>
        <w:jc w:val="both"/>
        <w:rPr>
          <w:sz w:val="20"/>
          <w:szCs w:val="20"/>
        </w:rPr>
      </w:pPr>
      <w:r w:rsidRPr="001F7470">
        <w:rPr>
          <w:sz w:val="20"/>
          <w:szCs w:val="20"/>
        </w:rPr>
        <w:t>Peptides likely of non-endogenous origin (e.g., microbial or contaminant sequences).</w:t>
      </w:r>
    </w:p>
    <w:p w14:paraId="4DE58689" w14:textId="77777777" w:rsidR="00AB1203" w:rsidRDefault="00AB1203" w:rsidP="00AB1203">
      <w:pPr>
        <w:spacing w:before="240" w:after="240" w:line="360" w:lineRule="auto"/>
        <w:jc w:val="both"/>
        <w:rPr>
          <w:sz w:val="20"/>
          <w:szCs w:val="20"/>
        </w:rPr>
      </w:pPr>
      <w:r>
        <w:rPr>
          <w:sz w:val="20"/>
          <w:szCs w:val="20"/>
        </w:rPr>
        <w:t>Peptides uniquely identified by PEAKS were incorporated only if they satisfied the following conditions:</w:t>
      </w:r>
    </w:p>
    <w:p w14:paraId="796707F6" w14:textId="77777777" w:rsidR="00AB1203" w:rsidRPr="00FA1E9B" w:rsidRDefault="00AB1203" w:rsidP="00FA1E9B">
      <w:pPr>
        <w:numPr>
          <w:ilvl w:val="0"/>
          <w:numId w:val="13"/>
        </w:numPr>
        <w:spacing w:before="240" w:line="360" w:lineRule="auto"/>
        <w:rPr>
          <w:sz w:val="20"/>
          <w:szCs w:val="20"/>
        </w:rPr>
      </w:pPr>
      <w:r w:rsidRPr="00FA1E9B">
        <w:rPr>
          <w:bCs/>
          <w:sz w:val="20"/>
          <w:szCs w:val="20"/>
        </w:rPr>
        <w:t>Consistent recovery</w:t>
      </w:r>
      <w:r w:rsidRPr="00FA1E9B">
        <w:rPr>
          <w:sz w:val="20"/>
          <w:szCs w:val="20"/>
        </w:rPr>
        <w:t xml:space="preserve"> across PEAKS modules (de novo, DB and SPIDER).</w:t>
      </w:r>
    </w:p>
    <w:p w14:paraId="00A9728A" w14:textId="77777777" w:rsidR="00AB1203" w:rsidRPr="00FA1E9B" w:rsidRDefault="00AB1203" w:rsidP="00FA1E9B">
      <w:pPr>
        <w:numPr>
          <w:ilvl w:val="0"/>
          <w:numId w:val="13"/>
        </w:numPr>
        <w:spacing w:line="360" w:lineRule="auto"/>
        <w:rPr>
          <w:sz w:val="20"/>
          <w:szCs w:val="20"/>
        </w:rPr>
      </w:pPr>
      <w:r w:rsidRPr="00FA1E9B">
        <w:rPr>
          <w:bCs/>
          <w:sz w:val="20"/>
          <w:szCs w:val="20"/>
        </w:rPr>
        <w:t>High-quality spectra</w:t>
      </w:r>
      <w:r w:rsidRPr="00FA1E9B">
        <w:rPr>
          <w:sz w:val="20"/>
          <w:szCs w:val="20"/>
        </w:rPr>
        <w:t>, with well-resolved b/y ion series.</w:t>
      </w:r>
    </w:p>
    <w:p w14:paraId="7F9BC982" w14:textId="77777777" w:rsidR="00AB1203" w:rsidRPr="00FA1E9B" w:rsidRDefault="00AB1203" w:rsidP="00FA1E9B">
      <w:pPr>
        <w:numPr>
          <w:ilvl w:val="0"/>
          <w:numId w:val="13"/>
        </w:numPr>
        <w:spacing w:line="360" w:lineRule="auto"/>
        <w:rPr>
          <w:sz w:val="20"/>
          <w:szCs w:val="20"/>
        </w:rPr>
      </w:pPr>
      <w:r w:rsidRPr="00FA1E9B">
        <w:rPr>
          <w:bCs/>
          <w:sz w:val="20"/>
          <w:szCs w:val="20"/>
        </w:rPr>
        <w:t>Presence of ancient-typical PTMs</w:t>
      </w:r>
      <w:r w:rsidRPr="00FA1E9B">
        <w:rPr>
          <w:sz w:val="20"/>
          <w:szCs w:val="20"/>
        </w:rPr>
        <w:t>, such as deamidation or hydroxylation.</w:t>
      </w:r>
    </w:p>
    <w:p w14:paraId="168E74F8" w14:textId="77777777" w:rsidR="00AB1203" w:rsidRPr="00FA1E9B" w:rsidRDefault="00AB1203" w:rsidP="00FA1E9B">
      <w:pPr>
        <w:numPr>
          <w:ilvl w:val="0"/>
          <w:numId w:val="13"/>
        </w:numPr>
        <w:spacing w:after="240" w:line="360" w:lineRule="auto"/>
        <w:rPr>
          <w:sz w:val="20"/>
          <w:szCs w:val="20"/>
        </w:rPr>
      </w:pPr>
      <w:r w:rsidRPr="00FA1E9B">
        <w:rPr>
          <w:bCs/>
          <w:sz w:val="20"/>
          <w:szCs w:val="20"/>
        </w:rPr>
        <w:t>No conflicting evidence</w:t>
      </w:r>
      <w:r w:rsidRPr="00FA1E9B">
        <w:rPr>
          <w:sz w:val="20"/>
          <w:szCs w:val="20"/>
        </w:rPr>
        <w:t xml:space="preserve"> in overlapping peptides detected by MaxQuant.</w:t>
      </w:r>
    </w:p>
    <w:p w14:paraId="722A0CF5" w14:textId="2A154B12" w:rsidR="00AB1203" w:rsidRDefault="00AB1203" w:rsidP="00AB1203">
      <w:pPr>
        <w:spacing w:before="240" w:after="240" w:line="360" w:lineRule="auto"/>
        <w:jc w:val="both"/>
        <w:rPr>
          <w:sz w:val="20"/>
          <w:szCs w:val="20"/>
        </w:rPr>
      </w:pPr>
      <w:r>
        <w:rPr>
          <w:sz w:val="20"/>
          <w:szCs w:val="20"/>
        </w:rPr>
        <w:t>Final sequences were exported in FASTA format. Ambiguous residues were denoted by a hyphen ("</w:t>
      </w:r>
      <w:r w:rsidR="001D04F0">
        <w:rPr>
          <w:sz w:val="20"/>
          <w:szCs w:val="20"/>
        </w:rPr>
        <w:t>-</w:t>
      </w:r>
      <w:r>
        <w:rPr>
          <w:sz w:val="20"/>
          <w:szCs w:val="20"/>
        </w:rPr>
        <w:t>") to indicate gaps in the sequence reconstruction.</w:t>
      </w:r>
    </w:p>
    <w:p w14:paraId="294240FB" w14:textId="77777777" w:rsidR="001F7470" w:rsidRDefault="00AB1203" w:rsidP="00AB1203">
      <w:pPr>
        <w:spacing w:before="240" w:after="240" w:line="360" w:lineRule="auto"/>
        <w:jc w:val="both"/>
        <w:rPr>
          <w:sz w:val="20"/>
          <w:szCs w:val="20"/>
        </w:rPr>
      </w:pPr>
      <w:r>
        <w:rPr>
          <w:sz w:val="20"/>
          <w:szCs w:val="20"/>
          <w:u w:val="single"/>
        </w:rPr>
        <w:t>SAP Identification and Validation</w:t>
      </w:r>
      <w:r>
        <w:rPr>
          <w:sz w:val="20"/>
          <w:szCs w:val="20"/>
        </w:rPr>
        <w:t>. A multi-criteria validation framework was applied to all SAP candidates detected across search engines.</w:t>
      </w:r>
    </w:p>
    <w:p w14:paraId="523FFC0D" w14:textId="004B2AD8" w:rsidR="00AB1203" w:rsidRDefault="001F7470" w:rsidP="00AB1203">
      <w:pPr>
        <w:spacing w:before="240" w:after="240" w:line="360" w:lineRule="auto"/>
        <w:jc w:val="both"/>
        <w:rPr>
          <w:sz w:val="20"/>
          <w:szCs w:val="20"/>
        </w:rPr>
      </w:pPr>
      <w:r>
        <w:rPr>
          <w:sz w:val="20"/>
          <w:szCs w:val="20"/>
        </w:rPr>
        <w:t xml:space="preserve">Candidate SAPs initially identified in PEAKS were also considered for further validation en MaxQuant even when supported by a single PSM, provided that the MS/MS spectra showed a high- quality </w:t>
      </w:r>
      <w:r>
        <w:rPr>
          <w:sz w:val="20"/>
          <w:szCs w:val="20"/>
        </w:rPr>
        <w:lastRenderedPageBreak/>
        <w:t xml:space="preserve">fragmentation. These candidates where evaluated in MaxQuant (MQ2 and MQ3) to confirm their presence. </w:t>
      </w:r>
      <w:r w:rsidR="00AB1203">
        <w:rPr>
          <w:sz w:val="20"/>
          <w:szCs w:val="20"/>
        </w:rPr>
        <w:t xml:space="preserve"> A variant was retained only when satisfying all of the following requirements:</w:t>
      </w:r>
    </w:p>
    <w:p w14:paraId="7BB57209" w14:textId="5121C084" w:rsidR="00AB1203" w:rsidRPr="00FA1E9B" w:rsidRDefault="00AB1203" w:rsidP="00FA1E9B">
      <w:pPr>
        <w:pStyle w:val="ListParagraph"/>
        <w:numPr>
          <w:ilvl w:val="0"/>
          <w:numId w:val="12"/>
        </w:numPr>
        <w:spacing w:before="240" w:line="360" w:lineRule="auto"/>
        <w:jc w:val="both"/>
        <w:rPr>
          <w:sz w:val="20"/>
          <w:szCs w:val="20"/>
        </w:rPr>
      </w:pPr>
      <w:r w:rsidRPr="00FA1E9B">
        <w:rPr>
          <w:bCs/>
          <w:sz w:val="20"/>
          <w:szCs w:val="20"/>
        </w:rPr>
        <w:t>Redundant peptide-level support</w:t>
      </w:r>
      <w:r w:rsidR="001F7470" w:rsidRPr="00FA1E9B">
        <w:rPr>
          <w:sz w:val="20"/>
          <w:szCs w:val="20"/>
        </w:rPr>
        <w:t xml:space="preserve">: at least two </w:t>
      </w:r>
      <w:r w:rsidRPr="00FA1E9B">
        <w:rPr>
          <w:sz w:val="20"/>
          <w:szCs w:val="20"/>
        </w:rPr>
        <w:t>PSMs</w:t>
      </w:r>
      <w:r w:rsidR="001F7470" w:rsidRPr="00FA1E9B">
        <w:rPr>
          <w:sz w:val="20"/>
          <w:szCs w:val="20"/>
        </w:rPr>
        <w:t xml:space="preserve"> and/or overlapping peptides containing the same </w:t>
      </w:r>
      <w:r w:rsidRPr="00FA1E9B">
        <w:rPr>
          <w:sz w:val="20"/>
          <w:szCs w:val="20"/>
        </w:rPr>
        <w:t>amino acid substitution [1</w:t>
      </w:r>
      <w:r w:rsidR="00B979E6">
        <w:rPr>
          <w:sz w:val="20"/>
          <w:szCs w:val="20"/>
        </w:rPr>
        <w:t>8</w:t>
      </w:r>
      <w:r w:rsidRPr="00FA1E9B">
        <w:rPr>
          <w:sz w:val="20"/>
          <w:szCs w:val="20"/>
        </w:rPr>
        <w:t>,1</w:t>
      </w:r>
      <w:r w:rsidR="00B979E6">
        <w:rPr>
          <w:sz w:val="20"/>
          <w:szCs w:val="20"/>
        </w:rPr>
        <w:t>9</w:t>
      </w:r>
      <w:r w:rsidRPr="00FA1E9B">
        <w:rPr>
          <w:sz w:val="20"/>
          <w:szCs w:val="20"/>
        </w:rPr>
        <w:t>].</w:t>
      </w:r>
    </w:p>
    <w:p w14:paraId="7AE4B203" w14:textId="14A2F9B1" w:rsidR="00AB1203" w:rsidRPr="00FA1E9B" w:rsidRDefault="00AB1203" w:rsidP="00FA1E9B">
      <w:pPr>
        <w:pStyle w:val="ListParagraph"/>
        <w:numPr>
          <w:ilvl w:val="0"/>
          <w:numId w:val="12"/>
        </w:numPr>
        <w:spacing w:line="360" w:lineRule="auto"/>
        <w:jc w:val="both"/>
        <w:rPr>
          <w:sz w:val="20"/>
          <w:szCs w:val="20"/>
        </w:rPr>
      </w:pPr>
      <w:r w:rsidRPr="00FA1E9B">
        <w:rPr>
          <w:bCs/>
          <w:sz w:val="20"/>
          <w:szCs w:val="20"/>
        </w:rPr>
        <w:t>BLAST validation</w:t>
      </w:r>
      <w:r w:rsidR="001F7470" w:rsidRPr="00FA1E9B">
        <w:rPr>
          <w:sz w:val="20"/>
          <w:szCs w:val="20"/>
        </w:rPr>
        <w:t>: p</w:t>
      </w:r>
      <w:r w:rsidRPr="00FA1E9B">
        <w:rPr>
          <w:sz w:val="20"/>
          <w:szCs w:val="20"/>
        </w:rPr>
        <w:t xml:space="preserve">eptides were aligned against public protein databases </w:t>
      </w:r>
      <w:r w:rsidR="00651ECB" w:rsidRPr="00FA1E9B">
        <w:rPr>
          <w:sz w:val="20"/>
          <w:szCs w:val="20"/>
        </w:rPr>
        <w:t>to confirm their taxonomic assignment and consistent alignment to the homologous position within the reference protein sequence.</w:t>
      </w:r>
    </w:p>
    <w:p w14:paraId="328E08EA" w14:textId="07B42043" w:rsidR="00AB1203" w:rsidRPr="00FA1E9B" w:rsidRDefault="00AB1203" w:rsidP="00FA1E9B">
      <w:pPr>
        <w:pStyle w:val="ListParagraph"/>
        <w:numPr>
          <w:ilvl w:val="0"/>
          <w:numId w:val="12"/>
        </w:numPr>
        <w:spacing w:line="360" w:lineRule="auto"/>
        <w:jc w:val="both"/>
        <w:rPr>
          <w:sz w:val="20"/>
          <w:szCs w:val="20"/>
        </w:rPr>
      </w:pPr>
      <w:r w:rsidRPr="00FA1E9B">
        <w:rPr>
          <w:bCs/>
          <w:sz w:val="20"/>
          <w:szCs w:val="20"/>
        </w:rPr>
        <w:t>High-quality fragment-ion evidence</w:t>
      </w:r>
      <w:r w:rsidR="001F7470" w:rsidRPr="00FA1E9B">
        <w:rPr>
          <w:sz w:val="20"/>
          <w:szCs w:val="20"/>
        </w:rPr>
        <w:t>: m</w:t>
      </w:r>
      <w:r w:rsidRPr="00FA1E9B">
        <w:rPr>
          <w:sz w:val="20"/>
          <w:szCs w:val="20"/>
        </w:rPr>
        <w:t>anual inspection of MS/MS spectra confirming clear ion series across the variable residue.</w:t>
      </w:r>
    </w:p>
    <w:p w14:paraId="0DF8BB2C" w14:textId="074B827F" w:rsidR="00AB1203" w:rsidRPr="00FA1E9B" w:rsidRDefault="00AB1203" w:rsidP="00FA1E9B">
      <w:pPr>
        <w:pStyle w:val="ListParagraph"/>
        <w:numPr>
          <w:ilvl w:val="0"/>
          <w:numId w:val="12"/>
        </w:numPr>
        <w:spacing w:line="360" w:lineRule="auto"/>
        <w:jc w:val="both"/>
        <w:rPr>
          <w:sz w:val="20"/>
          <w:szCs w:val="20"/>
        </w:rPr>
      </w:pPr>
      <w:r w:rsidRPr="00FA1E9B">
        <w:rPr>
          <w:bCs/>
          <w:sz w:val="20"/>
          <w:szCs w:val="20"/>
        </w:rPr>
        <w:t>PTM consideration</w:t>
      </w:r>
      <w:r w:rsidRPr="00FA1E9B">
        <w:rPr>
          <w:sz w:val="20"/>
          <w:szCs w:val="20"/>
        </w:rPr>
        <w:t xml:space="preserve">: </w:t>
      </w:r>
      <w:r w:rsidR="001F7470" w:rsidRPr="00FA1E9B">
        <w:rPr>
          <w:sz w:val="20"/>
          <w:szCs w:val="20"/>
        </w:rPr>
        <w:t>p</w:t>
      </w:r>
      <w:r w:rsidRPr="00FA1E9B">
        <w:rPr>
          <w:sz w:val="20"/>
          <w:szCs w:val="20"/>
        </w:rPr>
        <w:t>otential interference from PTMs (especially deamidation at N/Q) were evaluated to exclude modification-derived artefacts.</w:t>
      </w:r>
    </w:p>
    <w:p w14:paraId="5CEC36F8" w14:textId="77777777" w:rsidR="00FA1E9B" w:rsidRPr="00FA1E9B" w:rsidRDefault="00AB1203" w:rsidP="00FA1E9B">
      <w:pPr>
        <w:pStyle w:val="ListParagraph"/>
        <w:numPr>
          <w:ilvl w:val="0"/>
          <w:numId w:val="12"/>
        </w:numPr>
        <w:spacing w:after="240" w:line="360" w:lineRule="auto"/>
        <w:jc w:val="both"/>
        <w:rPr>
          <w:sz w:val="20"/>
          <w:szCs w:val="20"/>
        </w:rPr>
      </w:pPr>
      <w:r w:rsidRPr="00FA1E9B">
        <w:rPr>
          <w:bCs/>
          <w:sz w:val="20"/>
          <w:szCs w:val="20"/>
        </w:rPr>
        <w:t>Nucleotide substitution plausibility</w:t>
      </w:r>
      <w:r w:rsidRPr="00FA1E9B">
        <w:rPr>
          <w:sz w:val="20"/>
          <w:szCs w:val="20"/>
        </w:rPr>
        <w:t xml:space="preserve">: </w:t>
      </w:r>
      <w:r w:rsidR="001F7470" w:rsidRPr="00FA1E9B">
        <w:rPr>
          <w:sz w:val="20"/>
          <w:szCs w:val="20"/>
        </w:rPr>
        <w:t>substitutions were required to be compatible with realistic single-base or chemically plausible double-base changes.</w:t>
      </w:r>
    </w:p>
    <w:p w14:paraId="36B16EA0" w14:textId="3AFB7CB6" w:rsidR="00FA1E9B" w:rsidRPr="00FA1E9B" w:rsidRDefault="00FA1E9B" w:rsidP="00FA1E9B">
      <w:pPr>
        <w:pStyle w:val="ListParagraph"/>
        <w:numPr>
          <w:ilvl w:val="0"/>
          <w:numId w:val="12"/>
        </w:numPr>
        <w:spacing w:after="240" w:line="360" w:lineRule="auto"/>
        <w:jc w:val="both"/>
        <w:rPr>
          <w:sz w:val="20"/>
          <w:szCs w:val="20"/>
        </w:rPr>
      </w:pPr>
      <w:r w:rsidRPr="00FA1E9B">
        <w:rPr>
          <w:bCs/>
          <w:sz w:val="20"/>
          <w:szCs w:val="20"/>
        </w:rPr>
        <w:t>Reproducibility</w:t>
      </w:r>
      <w:r w:rsidRPr="00FA1E9B">
        <w:rPr>
          <w:sz w:val="20"/>
          <w:szCs w:val="20"/>
        </w:rPr>
        <w:t>: where possible, recurrence of the same substitution across multiple specimens from the same species or stratigraphic context was considered as additional support.</w:t>
      </w:r>
    </w:p>
    <w:p w14:paraId="6FD898CD" w14:textId="77777777" w:rsidR="00AB1203" w:rsidRDefault="00AB1203" w:rsidP="00AB1203">
      <w:pPr>
        <w:spacing w:before="240" w:after="240" w:line="360" w:lineRule="auto"/>
        <w:jc w:val="both"/>
        <w:rPr>
          <w:sz w:val="20"/>
          <w:szCs w:val="20"/>
        </w:rPr>
      </w:pPr>
      <w:r>
        <w:rPr>
          <w:sz w:val="20"/>
          <w:szCs w:val="20"/>
        </w:rPr>
        <w:t>SAPs meeting all criteria were considered high-confidence and retained for analysis. This filtering explains why, out of the 48 substitutions detected across all proteins, only a subset, including AMBN-249, AMBN-278 and SERPINA1-341, qualified as robust lineage-informative markers.</w:t>
      </w:r>
    </w:p>
    <w:p w14:paraId="636AE1C3" w14:textId="77777777" w:rsidR="00AB1203" w:rsidRDefault="00AB1203" w:rsidP="00AB1203">
      <w:pPr>
        <w:spacing w:before="240" w:after="240"/>
        <w:rPr>
          <w:b/>
          <w:bCs/>
          <w:sz w:val="34"/>
          <w:szCs w:val="34"/>
        </w:rPr>
      </w:pPr>
      <w:bookmarkStart w:id="7" w:name="_Hlk227829103"/>
      <w:r>
        <w:rPr>
          <w:b/>
          <w:bCs/>
        </w:rPr>
        <w:t>I.4. Phylogenetic Methods and Tree Reconstruction</w:t>
      </w:r>
    </w:p>
    <w:bookmarkEnd w:id="7"/>
    <w:p w14:paraId="1663E842" w14:textId="613C8625" w:rsidR="00AB1203" w:rsidRDefault="000018AD" w:rsidP="000018AD">
      <w:pPr>
        <w:spacing w:before="240" w:after="240" w:line="360" w:lineRule="auto"/>
        <w:rPr>
          <w:sz w:val="20"/>
          <w:szCs w:val="20"/>
        </w:rPr>
      </w:pPr>
      <w:r>
        <w:rPr>
          <w:sz w:val="20"/>
          <w:szCs w:val="20"/>
        </w:rPr>
        <w:t>12 proteins were included in the final phylogenetic dataset: AHSG, ALB, AMBN, AMELX, AMTN, COL1A1, COL17A1, ENAM, MMP20, ODAM, SERPINA1, SERPINC1.</w:t>
      </w:r>
      <w:r w:rsidR="008712E2">
        <w:rPr>
          <w:sz w:val="20"/>
          <w:szCs w:val="20"/>
        </w:rPr>
        <w:t xml:space="preserve"> </w:t>
      </w:r>
      <w:r w:rsidR="008712E2" w:rsidRPr="008712E2">
        <w:rPr>
          <w:sz w:val="20"/>
          <w:szCs w:val="20"/>
        </w:rPr>
        <w:t>The dataset includes both enamel-specific proteins</w:t>
      </w:r>
      <w:r w:rsidR="008712E2">
        <w:rPr>
          <w:sz w:val="20"/>
          <w:szCs w:val="20"/>
        </w:rPr>
        <w:t>, collagens</w:t>
      </w:r>
      <w:r w:rsidR="008712E2" w:rsidRPr="008712E2">
        <w:rPr>
          <w:sz w:val="20"/>
          <w:szCs w:val="20"/>
        </w:rPr>
        <w:t xml:space="preserve"> and systemically expressed proteins (AHSG, ALB, SERPINA1, SERPINC1).</w:t>
      </w:r>
      <w:r w:rsidR="008712E2">
        <w:rPr>
          <w:sz w:val="20"/>
          <w:szCs w:val="20"/>
        </w:rPr>
        <w:t xml:space="preserve"> Although their incorporation in enamel proteome may reflect more complex biological pathways, t</w:t>
      </w:r>
      <w:r w:rsidR="008712E2" w:rsidRPr="008712E2">
        <w:rPr>
          <w:sz w:val="20"/>
          <w:szCs w:val="20"/>
        </w:rPr>
        <w:t>he</w:t>
      </w:r>
      <w:r w:rsidR="008712E2">
        <w:rPr>
          <w:sz w:val="20"/>
          <w:szCs w:val="20"/>
        </w:rPr>
        <w:t>ir</w:t>
      </w:r>
      <w:r w:rsidR="008712E2" w:rsidRPr="008712E2">
        <w:rPr>
          <w:sz w:val="20"/>
          <w:szCs w:val="20"/>
        </w:rPr>
        <w:t xml:space="preserve"> inclusion increases the number of informative positions available for phylogenetic analysis.</w:t>
      </w:r>
      <w:r>
        <w:rPr>
          <w:sz w:val="20"/>
          <w:szCs w:val="20"/>
        </w:rPr>
        <w:t xml:space="preserve"> </w:t>
      </w:r>
      <w:r w:rsidR="00AB1203">
        <w:rPr>
          <w:sz w:val="20"/>
          <w:szCs w:val="20"/>
        </w:rPr>
        <w:t>Proteins were selected based on</w:t>
      </w:r>
      <w:r>
        <w:rPr>
          <w:sz w:val="20"/>
          <w:szCs w:val="20"/>
        </w:rPr>
        <w:t xml:space="preserve"> </w:t>
      </w:r>
      <w:r w:rsidR="00466E0C">
        <w:rPr>
          <w:sz w:val="20"/>
          <w:szCs w:val="20"/>
        </w:rPr>
        <w:t>the following</w:t>
      </w:r>
      <w:r>
        <w:rPr>
          <w:sz w:val="20"/>
          <w:szCs w:val="20"/>
        </w:rPr>
        <w:t xml:space="preserve"> criteria</w:t>
      </w:r>
      <w:r w:rsidR="00AB1203">
        <w:rPr>
          <w:sz w:val="20"/>
          <w:szCs w:val="20"/>
        </w:rPr>
        <w:t>:</w:t>
      </w:r>
    </w:p>
    <w:p w14:paraId="11D1ED78" w14:textId="2681466E" w:rsidR="00AB1203" w:rsidRPr="00255B8B" w:rsidRDefault="00AB1203" w:rsidP="00AB1203">
      <w:pPr>
        <w:numPr>
          <w:ilvl w:val="0"/>
          <w:numId w:val="1"/>
        </w:numPr>
        <w:spacing w:before="240" w:line="360" w:lineRule="auto"/>
        <w:jc w:val="both"/>
        <w:rPr>
          <w:sz w:val="20"/>
          <w:szCs w:val="20"/>
        </w:rPr>
      </w:pPr>
      <w:r>
        <w:rPr>
          <w:b/>
          <w:bCs/>
          <w:sz w:val="20"/>
          <w:szCs w:val="20"/>
        </w:rPr>
        <w:t>Functional relevance</w:t>
      </w:r>
      <w:r>
        <w:rPr>
          <w:sz w:val="20"/>
          <w:szCs w:val="20"/>
        </w:rPr>
        <w:t xml:space="preserve"> (enamel-associated or highly expressed in the enamel proteome), in line with previous palaeoproteomic </w:t>
      </w:r>
      <w:r w:rsidRPr="00255B8B">
        <w:rPr>
          <w:sz w:val="20"/>
          <w:szCs w:val="20"/>
        </w:rPr>
        <w:t>studies [1</w:t>
      </w:r>
      <w:r w:rsidR="00B979E6">
        <w:rPr>
          <w:sz w:val="20"/>
          <w:szCs w:val="20"/>
        </w:rPr>
        <w:t>7</w:t>
      </w:r>
      <w:r w:rsidRPr="00255B8B">
        <w:rPr>
          <w:sz w:val="20"/>
          <w:szCs w:val="20"/>
        </w:rPr>
        <w:t>-</w:t>
      </w:r>
      <w:r w:rsidR="00B979E6">
        <w:rPr>
          <w:sz w:val="20"/>
          <w:szCs w:val="20"/>
        </w:rPr>
        <w:t>20</w:t>
      </w:r>
      <w:r w:rsidRPr="00255B8B">
        <w:rPr>
          <w:sz w:val="20"/>
          <w:szCs w:val="20"/>
        </w:rPr>
        <w:t>].</w:t>
      </w:r>
    </w:p>
    <w:p w14:paraId="3D8FBEA1" w14:textId="77777777" w:rsidR="00AB1203" w:rsidRPr="00255B8B" w:rsidRDefault="00AB1203" w:rsidP="00AB1203">
      <w:pPr>
        <w:numPr>
          <w:ilvl w:val="0"/>
          <w:numId w:val="1"/>
        </w:numPr>
        <w:spacing w:line="360" w:lineRule="auto"/>
        <w:jc w:val="both"/>
        <w:rPr>
          <w:sz w:val="20"/>
          <w:szCs w:val="20"/>
        </w:rPr>
      </w:pPr>
      <w:r w:rsidRPr="00255B8B">
        <w:rPr>
          <w:b/>
          <w:bCs/>
          <w:sz w:val="20"/>
          <w:szCs w:val="20"/>
        </w:rPr>
        <w:t>Sequence variability</w:t>
      </w:r>
      <w:r w:rsidRPr="00255B8B">
        <w:rPr>
          <w:sz w:val="20"/>
          <w:szCs w:val="20"/>
        </w:rPr>
        <w:t>, quantified as the number of validated SAPs supported across specimens.</w:t>
      </w:r>
    </w:p>
    <w:p w14:paraId="6D841699" w14:textId="1B442436" w:rsidR="00AC131A" w:rsidRPr="00255B8B" w:rsidRDefault="00AB1203" w:rsidP="00AC131A">
      <w:pPr>
        <w:numPr>
          <w:ilvl w:val="0"/>
          <w:numId w:val="1"/>
        </w:numPr>
        <w:spacing w:line="360" w:lineRule="auto"/>
        <w:jc w:val="both"/>
        <w:rPr>
          <w:sz w:val="20"/>
          <w:szCs w:val="20"/>
        </w:rPr>
      </w:pPr>
      <w:r w:rsidRPr="00255B8B">
        <w:rPr>
          <w:b/>
          <w:bCs/>
          <w:sz w:val="20"/>
          <w:szCs w:val="20"/>
        </w:rPr>
        <w:t>Reconstruction reliability</w:t>
      </w:r>
      <w:r w:rsidRPr="00255B8B">
        <w:rPr>
          <w:sz w:val="20"/>
          <w:szCs w:val="20"/>
        </w:rPr>
        <w:t>, with priority given to proteins showing robust and overlapping peptide coverage.</w:t>
      </w:r>
    </w:p>
    <w:p w14:paraId="202DDBCC" w14:textId="3B413155" w:rsidR="00466E0C" w:rsidRPr="00255B8B" w:rsidRDefault="00466E0C" w:rsidP="00466E0C">
      <w:pPr>
        <w:spacing w:line="360" w:lineRule="auto"/>
        <w:jc w:val="both"/>
        <w:rPr>
          <w:sz w:val="20"/>
          <w:szCs w:val="20"/>
        </w:rPr>
      </w:pPr>
    </w:p>
    <w:p w14:paraId="4F0E60CC" w14:textId="46F1E045" w:rsidR="00466E0C" w:rsidRDefault="00466E0C" w:rsidP="00466E0C">
      <w:pPr>
        <w:spacing w:line="360" w:lineRule="auto"/>
        <w:jc w:val="both"/>
        <w:rPr>
          <w:sz w:val="20"/>
          <w:szCs w:val="20"/>
        </w:rPr>
      </w:pPr>
      <w:r w:rsidRPr="00255B8B">
        <w:rPr>
          <w:sz w:val="20"/>
          <w:szCs w:val="20"/>
        </w:rPr>
        <w:t xml:space="preserve">In addition to proteins showing high numbers of informative SAPs, a subset of more conserved proteins (e.g., COL1A1, AMELX) was also retained due to their high sequence coverage. Although these proteins contribute limited amino acid variation, their inclusion helps avoid overrepresentation of highly variable loci and provides a more balanced representation of the recovered proteome. This approach </w:t>
      </w:r>
      <w:r w:rsidRPr="00255B8B">
        <w:rPr>
          <w:sz w:val="20"/>
          <w:szCs w:val="20"/>
        </w:rPr>
        <w:lastRenderedPageBreak/>
        <w:t>reduces potential bias in phylogenetic inference and is consistent with recent work highlighting differences in evolutionary rates and informational content across enamel and collagen proteins [</w:t>
      </w:r>
      <w:r w:rsidR="00B979E6">
        <w:rPr>
          <w:sz w:val="20"/>
          <w:szCs w:val="20"/>
        </w:rPr>
        <w:t>21</w:t>
      </w:r>
      <w:r w:rsidRPr="00255B8B">
        <w:rPr>
          <w:sz w:val="20"/>
          <w:szCs w:val="20"/>
        </w:rPr>
        <w:t>].</w:t>
      </w:r>
    </w:p>
    <w:p w14:paraId="7D90BA66" w14:textId="4BE81441" w:rsidR="00AB1203" w:rsidRDefault="00FB360B" w:rsidP="000018AD">
      <w:pPr>
        <w:spacing w:after="240" w:line="360" w:lineRule="auto"/>
        <w:jc w:val="both"/>
        <w:rPr>
          <w:sz w:val="20"/>
          <w:szCs w:val="20"/>
        </w:rPr>
      </w:pPr>
      <w:r w:rsidRPr="00576817">
        <w:rPr>
          <w:sz w:val="20"/>
          <w:szCs w:val="20"/>
        </w:rPr>
        <w:t>For sequence reconstruction and downstream phylogenetic analyses, when multiple variants occurred at the same site, the amino acid supported by the highest number of high-confidence PSMs was selected. This step is required by FASTA format constraints, which allow only a single residue per position. As a result, in cases of heterozygosity, the majority-supported amino acid was retained for downstream phylogenetic analyses. While this approach enables the generation of complete alignments, it may lead to the loss of biologically relevant variation and should therefore be interpreted with caution.</w:t>
      </w:r>
    </w:p>
    <w:p w14:paraId="0C9319E3" w14:textId="0ACCC7B9" w:rsidR="00E13F0A" w:rsidRPr="00576817" w:rsidRDefault="00E13F0A" w:rsidP="00576817">
      <w:pPr>
        <w:pStyle w:val="NormalWeb"/>
        <w:spacing w:line="360" w:lineRule="auto"/>
        <w:rPr>
          <w:rFonts w:ascii="Arial" w:hAnsi="Arial" w:cs="Arial"/>
          <w:sz w:val="20"/>
          <w:szCs w:val="20"/>
        </w:rPr>
      </w:pPr>
      <w:r w:rsidRPr="00576817">
        <w:rPr>
          <w:rFonts w:ascii="Arial" w:hAnsi="Arial" w:cs="Arial"/>
          <w:sz w:val="20"/>
          <w:szCs w:val="20"/>
        </w:rPr>
        <w:t>To maximi</w:t>
      </w:r>
      <w:r w:rsidR="00576817">
        <w:rPr>
          <w:rFonts w:ascii="Arial" w:hAnsi="Arial" w:cs="Arial"/>
          <w:sz w:val="20"/>
          <w:szCs w:val="20"/>
        </w:rPr>
        <w:t>z</w:t>
      </w:r>
      <w:r w:rsidRPr="00576817">
        <w:rPr>
          <w:rFonts w:ascii="Arial" w:hAnsi="Arial" w:cs="Arial"/>
          <w:sz w:val="20"/>
          <w:szCs w:val="20"/>
        </w:rPr>
        <w:t>e phylogenetic signal and reduce missing data, consensus sequences were generated for phylogenetic analyses at the level of species, site, and stratigraphic unit using EMBOSS Cons (European Bioinformatics Institute, EMBL-EBI). This strategy increased coverage in poorly sampled regions and improved the robustness of downstream analyses. A conservative filtering scheme was applied, whereby only specimens displaying consistent amino acid patterns were merged, while sequences with ambiguous positions, were excluded from species-level consensus construction.</w:t>
      </w:r>
    </w:p>
    <w:p w14:paraId="784F4476" w14:textId="00564393" w:rsidR="00E13F0A" w:rsidRPr="00576817" w:rsidRDefault="00E13F0A" w:rsidP="00576817">
      <w:pPr>
        <w:pStyle w:val="NormalWeb"/>
        <w:spacing w:line="360" w:lineRule="auto"/>
        <w:rPr>
          <w:rFonts w:ascii="Arial" w:hAnsi="Arial" w:cs="Arial"/>
          <w:sz w:val="20"/>
          <w:szCs w:val="20"/>
        </w:rPr>
      </w:pPr>
      <w:r w:rsidRPr="00576817">
        <w:rPr>
          <w:rFonts w:ascii="Arial" w:hAnsi="Arial" w:cs="Arial"/>
          <w:sz w:val="20"/>
          <w:szCs w:val="20"/>
        </w:rPr>
        <w:t>Despite this conservative framework, the use of consensus sequences may still obscure intra-population variability, including heterozygous positions and site-specific variation observed such as AMBN-249. As such, the resulting phylogenetic reconstructions primarily reflect dominant sequence patterns and should not be interpreted as capturing the full extent of underlying population-level diversity.</w:t>
      </w:r>
    </w:p>
    <w:p w14:paraId="344BE2E7" w14:textId="22F31E9A" w:rsidR="00AB1203" w:rsidRPr="00576817" w:rsidRDefault="00E13F0A" w:rsidP="00576817">
      <w:pPr>
        <w:pStyle w:val="NormalWeb"/>
        <w:spacing w:line="360" w:lineRule="auto"/>
        <w:rPr>
          <w:rFonts w:ascii="Arial" w:hAnsi="Arial" w:cs="Arial"/>
          <w:sz w:val="20"/>
          <w:szCs w:val="20"/>
        </w:rPr>
      </w:pPr>
      <w:r w:rsidRPr="00576817">
        <w:rPr>
          <w:rFonts w:ascii="Arial" w:hAnsi="Arial" w:cs="Arial"/>
          <w:sz w:val="20"/>
          <w:szCs w:val="20"/>
        </w:rPr>
        <w:t>The origin of the sequences included in each species-level consensus is detailed below:</w:t>
      </w:r>
    </w:p>
    <w:p w14:paraId="5E4C7788" w14:textId="77777777" w:rsidR="00AB1203" w:rsidRPr="00576817" w:rsidRDefault="00AB1203" w:rsidP="00576817">
      <w:pPr>
        <w:numPr>
          <w:ilvl w:val="0"/>
          <w:numId w:val="7"/>
        </w:numPr>
        <w:spacing w:before="240" w:line="360" w:lineRule="auto"/>
        <w:rPr>
          <w:sz w:val="20"/>
          <w:szCs w:val="20"/>
        </w:rPr>
      </w:pPr>
      <w:r w:rsidRPr="00576817">
        <w:rPr>
          <w:sz w:val="20"/>
          <w:szCs w:val="20"/>
        </w:rPr>
        <w:t xml:space="preserve">For </w:t>
      </w:r>
      <w:r w:rsidRPr="00576817">
        <w:rPr>
          <w:i/>
          <w:iCs/>
          <w:sz w:val="20"/>
          <w:szCs w:val="20"/>
        </w:rPr>
        <w:t>Ursus dolinensis</w:t>
      </w:r>
      <w:r w:rsidRPr="00576817">
        <w:rPr>
          <w:sz w:val="20"/>
          <w:szCs w:val="20"/>
        </w:rPr>
        <w:t>, all specimens from level TD4 of Gran Dolina were merged.</w:t>
      </w:r>
    </w:p>
    <w:p w14:paraId="36927E6A" w14:textId="77777777" w:rsidR="00AB1203" w:rsidRPr="00576817" w:rsidRDefault="00AB1203" w:rsidP="00576817">
      <w:pPr>
        <w:numPr>
          <w:ilvl w:val="0"/>
          <w:numId w:val="7"/>
        </w:numPr>
        <w:spacing w:line="360" w:lineRule="auto"/>
        <w:rPr>
          <w:sz w:val="20"/>
          <w:szCs w:val="20"/>
          <w:lang w:val="es-ES"/>
        </w:rPr>
      </w:pPr>
      <w:proofErr w:type="spellStart"/>
      <w:r w:rsidRPr="00576817">
        <w:rPr>
          <w:sz w:val="20"/>
          <w:szCs w:val="20"/>
          <w:lang w:val="es-ES"/>
        </w:rPr>
        <w:t>For</w:t>
      </w:r>
      <w:proofErr w:type="spellEnd"/>
      <w:r w:rsidRPr="00576817">
        <w:rPr>
          <w:sz w:val="20"/>
          <w:szCs w:val="20"/>
          <w:lang w:val="es-ES"/>
        </w:rPr>
        <w:t xml:space="preserve"> </w:t>
      </w:r>
      <w:r w:rsidRPr="00576817">
        <w:rPr>
          <w:i/>
          <w:iCs/>
          <w:sz w:val="20"/>
          <w:szCs w:val="20"/>
          <w:lang w:val="es-ES"/>
        </w:rPr>
        <w:t>Ursus deningeri</w:t>
      </w:r>
      <w:r w:rsidRPr="00576817">
        <w:rPr>
          <w:sz w:val="20"/>
          <w:szCs w:val="20"/>
          <w:lang w:val="es-ES"/>
        </w:rPr>
        <w:t xml:space="preserve">, </w:t>
      </w:r>
      <w:proofErr w:type="spellStart"/>
      <w:r w:rsidRPr="00576817">
        <w:rPr>
          <w:sz w:val="20"/>
          <w:szCs w:val="20"/>
          <w:lang w:val="es-ES"/>
        </w:rPr>
        <w:t>samples</w:t>
      </w:r>
      <w:proofErr w:type="spellEnd"/>
      <w:r w:rsidRPr="00576817">
        <w:rPr>
          <w:sz w:val="20"/>
          <w:szCs w:val="20"/>
          <w:lang w:val="es-ES"/>
        </w:rPr>
        <w:t xml:space="preserve"> from Sima de los Huesos, Cueva Mayor, and Sala de las Oseras </w:t>
      </w:r>
      <w:proofErr w:type="spellStart"/>
      <w:r w:rsidRPr="00576817">
        <w:rPr>
          <w:sz w:val="20"/>
          <w:szCs w:val="20"/>
          <w:lang w:val="es-ES"/>
        </w:rPr>
        <w:t>were</w:t>
      </w:r>
      <w:proofErr w:type="spellEnd"/>
      <w:r w:rsidRPr="00576817">
        <w:rPr>
          <w:sz w:val="20"/>
          <w:szCs w:val="20"/>
          <w:lang w:val="es-ES"/>
        </w:rPr>
        <w:t xml:space="preserve"> </w:t>
      </w:r>
      <w:proofErr w:type="spellStart"/>
      <w:r w:rsidRPr="00576817">
        <w:rPr>
          <w:sz w:val="20"/>
          <w:szCs w:val="20"/>
          <w:lang w:val="es-ES"/>
        </w:rPr>
        <w:t>combined</w:t>
      </w:r>
      <w:proofErr w:type="spellEnd"/>
      <w:r w:rsidRPr="00576817">
        <w:rPr>
          <w:sz w:val="20"/>
          <w:szCs w:val="20"/>
          <w:lang w:val="es-ES"/>
        </w:rPr>
        <w:t>.</w:t>
      </w:r>
    </w:p>
    <w:p w14:paraId="2D087277" w14:textId="77777777" w:rsidR="00AB1203" w:rsidRPr="00576817" w:rsidRDefault="00AB1203" w:rsidP="00576817">
      <w:pPr>
        <w:numPr>
          <w:ilvl w:val="0"/>
          <w:numId w:val="7"/>
        </w:numPr>
        <w:spacing w:after="240" w:line="360" w:lineRule="auto"/>
        <w:rPr>
          <w:sz w:val="20"/>
          <w:szCs w:val="20"/>
        </w:rPr>
      </w:pPr>
      <w:r w:rsidRPr="00576817">
        <w:rPr>
          <w:sz w:val="20"/>
          <w:szCs w:val="20"/>
        </w:rPr>
        <w:t xml:space="preserve">For </w:t>
      </w:r>
      <w:r w:rsidRPr="00576817">
        <w:rPr>
          <w:i/>
          <w:iCs/>
          <w:sz w:val="20"/>
          <w:szCs w:val="20"/>
        </w:rPr>
        <w:t>Ursus spelaeus</w:t>
      </w:r>
      <w:r w:rsidRPr="00576817">
        <w:rPr>
          <w:sz w:val="20"/>
          <w:szCs w:val="20"/>
        </w:rPr>
        <w:t xml:space="preserve">, sequences from Cova Eirós and Coro </w:t>
      </w:r>
      <w:proofErr w:type="spellStart"/>
      <w:r w:rsidRPr="00576817">
        <w:rPr>
          <w:sz w:val="20"/>
          <w:szCs w:val="20"/>
        </w:rPr>
        <w:t>Trasito</w:t>
      </w:r>
      <w:proofErr w:type="spellEnd"/>
      <w:r w:rsidRPr="00576817">
        <w:rPr>
          <w:sz w:val="20"/>
          <w:szCs w:val="20"/>
        </w:rPr>
        <w:t>, and specimen from Monte Cucco were merged.</w:t>
      </w:r>
    </w:p>
    <w:p w14:paraId="381BFD6C" w14:textId="77777777" w:rsidR="00AB1203" w:rsidRDefault="00AB1203" w:rsidP="00AB1203">
      <w:pPr>
        <w:spacing w:before="240" w:after="240" w:line="360" w:lineRule="auto"/>
        <w:rPr>
          <w:sz w:val="20"/>
          <w:szCs w:val="20"/>
        </w:rPr>
      </w:pPr>
      <w:r>
        <w:rPr>
          <w:sz w:val="20"/>
          <w:szCs w:val="20"/>
          <w:u w:val="single"/>
        </w:rPr>
        <w:t xml:space="preserve">Reference Databases for Comparative Alignment. </w:t>
      </w:r>
      <w:r>
        <w:rPr>
          <w:sz w:val="20"/>
          <w:szCs w:val="20"/>
        </w:rPr>
        <w:t>Two taxonomically structured reference sets were compiled:</w:t>
      </w:r>
    </w:p>
    <w:p w14:paraId="61251DA0" w14:textId="07F90EAA" w:rsidR="0022337A" w:rsidRPr="00006B0B" w:rsidRDefault="00AB1203" w:rsidP="00006B0B">
      <w:pPr>
        <w:numPr>
          <w:ilvl w:val="0"/>
          <w:numId w:val="3"/>
        </w:numPr>
        <w:spacing w:before="240" w:line="360" w:lineRule="auto"/>
        <w:jc w:val="both"/>
        <w:rPr>
          <w:sz w:val="20"/>
          <w:szCs w:val="20"/>
        </w:rPr>
      </w:pPr>
      <w:r>
        <w:rPr>
          <w:b/>
          <w:bCs/>
          <w:sz w:val="20"/>
          <w:szCs w:val="20"/>
        </w:rPr>
        <w:t>Carnivora Reference Database (“</w:t>
      </w:r>
      <w:r>
        <w:rPr>
          <w:b/>
          <w:bCs/>
          <w:i/>
          <w:iCs/>
          <w:sz w:val="20"/>
          <w:szCs w:val="20"/>
        </w:rPr>
        <w:t>Carnivora Dataset</w:t>
      </w:r>
      <w:r>
        <w:rPr>
          <w:b/>
          <w:bCs/>
          <w:sz w:val="20"/>
          <w:szCs w:val="20"/>
        </w:rPr>
        <w:t>”):</w:t>
      </w:r>
      <w:r>
        <w:rPr>
          <w:sz w:val="20"/>
          <w:szCs w:val="20"/>
        </w:rPr>
        <w:t xml:space="preserve"> A broad panel of 11 species representing six families (Ursidae, Canidae, Mustelidae, Phocidae, Odobenidae, Felidae). </w:t>
      </w:r>
      <w:r w:rsidR="0022337A">
        <w:rPr>
          <w:sz w:val="20"/>
          <w:szCs w:val="20"/>
        </w:rPr>
        <w:t>This dataset i</w:t>
      </w:r>
      <w:r>
        <w:rPr>
          <w:sz w:val="20"/>
          <w:szCs w:val="20"/>
        </w:rPr>
        <w:t>ncludes 1</w:t>
      </w:r>
      <w:r w:rsidR="0022337A">
        <w:rPr>
          <w:sz w:val="20"/>
          <w:szCs w:val="20"/>
        </w:rPr>
        <w:t>32</w:t>
      </w:r>
      <w:r>
        <w:rPr>
          <w:sz w:val="20"/>
          <w:szCs w:val="20"/>
        </w:rPr>
        <w:t xml:space="preserve"> curated entries for the 12 proteins</w:t>
      </w:r>
      <w:r w:rsidR="0022337A">
        <w:rPr>
          <w:sz w:val="20"/>
          <w:szCs w:val="20"/>
        </w:rPr>
        <w:t xml:space="preserve">, primarily </w:t>
      </w:r>
      <w:r w:rsidR="00602510">
        <w:rPr>
          <w:sz w:val="20"/>
          <w:szCs w:val="20"/>
        </w:rPr>
        <w:t>retrieved</w:t>
      </w:r>
      <w:r w:rsidR="0022337A">
        <w:rPr>
          <w:sz w:val="20"/>
          <w:szCs w:val="20"/>
        </w:rPr>
        <w:t xml:space="preserve"> from NCBI (see Supplementary Dataset S1, Table S1.5 for accession numbers).</w:t>
      </w:r>
      <w:r>
        <w:rPr>
          <w:sz w:val="20"/>
          <w:szCs w:val="20"/>
        </w:rPr>
        <w:t xml:space="preserve"> Missing sequences were reconstructed from published genomes when needed. </w:t>
      </w:r>
      <w:r>
        <w:rPr>
          <w:i/>
          <w:iCs/>
          <w:sz w:val="20"/>
          <w:szCs w:val="20"/>
        </w:rPr>
        <w:t>Panthera tigris</w:t>
      </w:r>
      <w:r>
        <w:rPr>
          <w:sz w:val="20"/>
          <w:szCs w:val="20"/>
        </w:rPr>
        <w:t xml:space="preserve"> served as the outgroup.</w:t>
      </w:r>
    </w:p>
    <w:p w14:paraId="3D55E45A" w14:textId="27532AC1" w:rsidR="00AB1203" w:rsidRDefault="00AB1203" w:rsidP="00AB1203">
      <w:pPr>
        <w:numPr>
          <w:ilvl w:val="0"/>
          <w:numId w:val="3"/>
        </w:numPr>
        <w:spacing w:after="40" w:line="360" w:lineRule="auto"/>
        <w:jc w:val="both"/>
        <w:rPr>
          <w:sz w:val="20"/>
          <w:szCs w:val="20"/>
        </w:rPr>
      </w:pPr>
      <w:r>
        <w:rPr>
          <w:b/>
          <w:bCs/>
          <w:sz w:val="20"/>
          <w:szCs w:val="20"/>
        </w:rPr>
        <w:t>Ursid Reference Database (“</w:t>
      </w:r>
      <w:r>
        <w:rPr>
          <w:b/>
          <w:bCs/>
          <w:i/>
          <w:iCs/>
          <w:sz w:val="20"/>
          <w:szCs w:val="20"/>
        </w:rPr>
        <w:t>Ursidae Dataset</w:t>
      </w:r>
      <w:r>
        <w:rPr>
          <w:b/>
          <w:bCs/>
          <w:sz w:val="20"/>
          <w:szCs w:val="20"/>
        </w:rPr>
        <w:t xml:space="preserve">”): </w:t>
      </w:r>
      <w:r>
        <w:rPr>
          <w:sz w:val="20"/>
          <w:szCs w:val="20"/>
        </w:rPr>
        <w:t>Focused on intra-family resolution</w:t>
      </w:r>
      <w:r w:rsidR="0022337A">
        <w:rPr>
          <w:sz w:val="20"/>
          <w:szCs w:val="20"/>
        </w:rPr>
        <w:t>,</w:t>
      </w:r>
      <w:r>
        <w:rPr>
          <w:sz w:val="20"/>
          <w:szCs w:val="20"/>
        </w:rPr>
        <w:t xml:space="preserve"> includ</w:t>
      </w:r>
      <w:r w:rsidR="0022337A">
        <w:rPr>
          <w:sz w:val="20"/>
          <w:szCs w:val="20"/>
        </w:rPr>
        <w:t>ing</w:t>
      </w:r>
      <w:r>
        <w:rPr>
          <w:sz w:val="20"/>
          <w:szCs w:val="20"/>
        </w:rPr>
        <w:t xml:space="preserve"> </w:t>
      </w:r>
      <w:r>
        <w:rPr>
          <w:i/>
          <w:iCs/>
          <w:sz w:val="20"/>
          <w:szCs w:val="20"/>
        </w:rPr>
        <w:t>Ursus arctos</w:t>
      </w:r>
      <w:r>
        <w:rPr>
          <w:sz w:val="20"/>
          <w:szCs w:val="20"/>
        </w:rPr>
        <w:t xml:space="preserve">, </w:t>
      </w:r>
      <w:r>
        <w:rPr>
          <w:i/>
          <w:iCs/>
          <w:sz w:val="20"/>
          <w:szCs w:val="20"/>
        </w:rPr>
        <w:t>U. maritimus</w:t>
      </w:r>
      <w:r>
        <w:rPr>
          <w:sz w:val="20"/>
          <w:szCs w:val="20"/>
        </w:rPr>
        <w:t xml:space="preserve">, </w:t>
      </w:r>
      <w:r>
        <w:rPr>
          <w:i/>
          <w:iCs/>
          <w:sz w:val="20"/>
          <w:szCs w:val="20"/>
        </w:rPr>
        <w:t>U. americanus</w:t>
      </w:r>
      <w:r>
        <w:rPr>
          <w:sz w:val="20"/>
          <w:szCs w:val="20"/>
        </w:rPr>
        <w:t xml:space="preserve">, </w:t>
      </w:r>
      <w:r>
        <w:rPr>
          <w:i/>
          <w:iCs/>
          <w:sz w:val="20"/>
          <w:szCs w:val="20"/>
        </w:rPr>
        <w:t>U. thibetanus</w:t>
      </w:r>
      <w:r>
        <w:rPr>
          <w:sz w:val="20"/>
          <w:szCs w:val="20"/>
        </w:rPr>
        <w:t xml:space="preserve">, and </w:t>
      </w:r>
      <w:r>
        <w:rPr>
          <w:i/>
          <w:iCs/>
          <w:sz w:val="20"/>
          <w:szCs w:val="20"/>
        </w:rPr>
        <w:t>Ailuropoda melanoleuca</w:t>
      </w:r>
      <w:r>
        <w:rPr>
          <w:sz w:val="20"/>
          <w:szCs w:val="20"/>
        </w:rPr>
        <w:t xml:space="preserve"> (outgroup: </w:t>
      </w:r>
      <w:r>
        <w:rPr>
          <w:i/>
          <w:iCs/>
          <w:sz w:val="20"/>
          <w:szCs w:val="20"/>
        </w:rPr>
        <w:t>Canis lupus familiaris</w:t>
      </w:r>
      <w:r>
        <w:rPr>
          <w:sz w:val="20"/>
          <w:szCs w:val="20"/>
        </w:rPr>
        <w:t xml:space="preserve">). </w:t>
      </w:r>
      <w:r w:rsidR="0022337A">
        <w:rPr>
          <w:sz w:val="20"/>
          <w:szCs w:val="20"/>
        </w:rPr>
        <w:t xml:space="preserve">This dataset comprises 60 entries for the same 12 proteins, </w:t>
      </w:r>
      <w:r w:rsidR="0022337A">
        <w:rPr>
          <w:sz w:val="20"/>
          <w:szCs w:val="20"/>
        </w:rPr>
        <w:lastRenderedPageBreak/>
        <w:t>predominantly retrieved from NCBI (see Supplementary Dataset S1, Table S1.6 for accession numbers).</w:t>
      </w:r>
    </w:p>
    <w:p w14:paraId="23262E22" w14:textId="43B32D4E" w:rsidR="00AB1203" w:rsidRDefault="00AB1203" w:rsidP="00AB1203">
      <w:pPr>
        <w:spacing w:before="240" w:after="240" w:line="360" w:lineRule="auto"/>
        <w:jc w:val="both"/>
        <w:rPr>
          <w:sz w:val="20"/>
          <w:szCs w:val="20"/>
        </w:rPr>
      </w:pPr>
      <w:r>
        <w:rPr>
          <w:sz w:val="20"/>
          <w:szCs w:val="20"/>
        </w:rPr>
        <w:t>All reconstructed ancient protein sequences and reference proteins were aligned using MAFFT v7.520 [2</w:t>
      </w:r>
      <w:r w:rsidR="00B979E6">
        <w:rPr>
          <w:sz w:val="20"/>
          <w:szCs w:val="20"/>
        </w:rPr>
        <w:t>2</w:t>
      </w:r>
      <w:r>
        <w:rPr>
          <w:sz w:val="20"/>
          <w:szCs w:val="20"/>
        </w:rPr>
        <w:t>]. Reference proteins from the comparative database were aligned using the following parameters:</w:t>
      </w:r>
    </w:p>
    <w:p w14:paraId="0AC4953D" w14:textId="77777777" w:rsidR="00AB1203" w:rsidRDefault="00AB1203" w:rsidP="00AB1203">
      <w:pPr>
        <w:spacing w:before="240" w:after="240" w:line="360" w:lineRule="auto"/>
        <w:jc w:val="center"/>
        <w:rPr>
          <w:sz w:val="20"/>
          <w:szCs w:val="20"/>
        </w:rPr>
      </w:pPr>
      <w:r>
        <w:rPr>
          <w:sz w:val="20"/>
          <w:szCs w:val="20"/>
        </w:rPr>
        <w:t>mafft --amino --maxiterate 1000 --globalpair reference_db.fasta &gt; aligned_reference_db.fasta</w:t>
      </w:r>
    </w:p>
    <w:p w14:paraId="329DF231" w14:textId="77777777" w:rsidR="00AB1203" w:rsidRDefault="00AB1203" w:rsidP="00AB1203">
      <w:pPr>
        <w:spacing w:before="240" w:after="240" w:line="360" w:lineRule="auto"/>
        <w:jc w:val="both"/>
        <w:rPr>
          <w:sz w:val="20"/>
          <w:szCs w:val="20"/>
        </w:rPr>
      </w:pPr>
      <w:r>
        <w:rPr>
          <w:sz w:val="20"/>
          <w:szCs w:val="20"/>
        </w:rPr>
        <w:t xml:space="preserve">Reconstructed sequences from ancient samples were added using the </w:t>
      </w:r>
      <w:r>
        <w:rPr>
          <w:i/>
          <w:iCs/>
          <w:sz w:val="20"/>
          <w:szCs w:val="20"/>
        </w:rPr>
        <w:t>--addfragments</w:t>
      </w:r>
      <w:r>
        <w:rPr>
          <w:sz w:val="20"/>
          <w:szCs w:val="20"/>
        </w:rPr>
        <w:t xml:space="preserve"> method to minimize misalignment due to gaps or missing data:</w:t>
      </w:r>
    </w:p>
    <w:p w14:paraId="70612202" w14:textId="77777777" w:rsidR="00AB1203" w:rsidRDefault="00AB1203" w:rsidP="00AB1203">
      <w:pPr>
        <w:spacing w:before="240" w:after="240" w:line="360" w:lineRule="auto"/>
        <w:jc w:val="center"/>
        <w:rPr>
          <w:sz w:val="20"/>
          <w:szCs w:val="20"/>
        </w:rPr>
      </w:pPr>
      <w:r>
        <w:rPr>
          <w:sz w:val="20"/>
          <w:szCs w:val="20"/>
        </w:rPr>
        <w:t>mafft --reorder --keeplength --addfragments cavebear_samples.fasta --auto aligned_reference_db.fa &gt; final_msa_cavebear.fa</w:t>
      </w:r>
    </w:p>
    <w:p w14:paraId="7B714E4C" w14:textId="6737D943" w:rsidR="00261A87" w:rsidRDefault="00AB1203" w:rsidP="00261A87">
      <w:pPr>
        <w:spacing w:before="240" w:after="240" w:line="360" w:lineRule="auto"/>
        <w:jc w:val="both"/>
        <w:rPr>
          <w:sz w:val="20"/>
          <w:szCs w:val="20"/>
        </w:rPr>
      </w:pPr>
      <w:r>
        <w:rPr>
          <w:sz w:val="20"/>
          <w:szCs w:val="20"/>
        </w:rPr>
        <w:t>Alignments were visually inspected and corrected manually. To retain only the most phylogenetically informative regions, alignments were filtered using GBlocks [2</w:t>
      </w:r>
      <w:r w:rsidR="00B979E6">
        <w:rPr>
          <w:sz w:val="20"/>
          <w:szCs w:val="20"/>
        </w:rPr>
        <w:t>3</w:t>
      </w:r>
      <w:r>
        <w:rPr>
          <w:sz w:val="20"/>
          <w:szCs w:val="20"/>
        </w:rPr>
        <w:t xml:space="preserve">], which removes ambiguous or poorly aligned regions. To address the ambiguity caused by isobaric amino acids leucine (L) and isoleucine (I), which are indistinguishable in ancient proteomics, all isoleucine residues were converted to leucines at variable positions. Signal peptides, when present, were removed based on annotations from UniProt, with the exception of </w:t>
      </w:r>
      <w:r>
        <w:rPr>
          <w:i/>
          <w:iCs/>
          <w:sz w:val="20"/>
          <w:szCs w:val="20"/>
        </w:rPr>
        <w:t>COL17A1</w:t>
      </w:r>
      <w:r>
        <w:rPr>
          <w:sz w:val="20"/>
          <w:szCs w:val="20"/>
        </w:rPr>
        <w:t xml:space="preserve">, where the signal peptide was retained. </w:t>
      </w:r>
      <w:r w:rsidR="00261A87" w:rsidRPr="00261A87">
        <w:rPr>
          <w:sz w:val="20"/>
          <w:szCs w:val="20"/>
        </w:rPr>
        <w:t xml:space="preserve">Final per-protein alignments were concatenated in the following order: </w:t>
      </w:r>
    </w:p>
    <w:p w14:paraId="3EFB593F" w14:textId="0A2BCD95" w:rsidR="00261A87" w:rsidRPr="00261A87" w:rsidRDefault="00261A87" w:rsidP="00261A87">
      <w:pPr>
        <w:spacing w:before="240" w:after="240" w:line="360" w:lineRule="auto"/>
        <w:jc w:val="both"/>
        <w:rPr>
          <w:sz w:val="20"/>
          <w:szCs w:val="20"/>
        </w:rPr>
      </w:pPr>
      <w:r w:rsidRPr="00261A87">
        <w:rPr>
          <w:sz w:val="20"/>
          <w:szCs w:val="20"/>
        </w:rPr>
        <w:t>AHSG, ALB, AMBN, AMELX, AMTN, COL1A1, COL17A1, ENAM, MMP20, ODAM, SERPINA1, and SERPINC1.</w:t>
      </w:r>
    </w:p>
    <w:p w14:paraId="05DE005B" w14:textId="5C961EAF" w:rsidR="00261A87" w:rsidRDefault="00006B0B" w:rsidP="00261A87">
      <w:pPr>
        <w:spacing w:before="240" w:after="240" w:line="360" w:lineRule="auto"/>
        <w:jc w:val="both"/>
        <w:rPr>
          <w:sz w:val="20"/>
          <w:szCs w:val="20"/>
        </w:rPr>
      </w:pPr>
      <w:r w:rsidRPr="00006B0B">
        <w:rPr>
          <w:sz w:val="20"/>
          <w:szCs w:val="20"/>
        </w:rPr>
        <w:t>Two concatenated alignments were generated based on the reference database used: a Carnivora-wide dataset and a Ursidae-focused dataset. Both alignments comprised 6614 amino acid positions.</w:t>
      </w:r>
      <w:r>
        <w:rPr>
          <w:sz w:val="20"/>
          <w:szCs w:val="20"/>
        </w:rPr>
        <w:t xml:space="preserve"> </w:t>
      </w:r>
      <w:r w:rsidRPr="00006B0B">
        <w:rPr>
          <w:sz w:val="20"/>
          <w:szCs w:val="20"/>
        </w:rPr>
        <w:t xml:space="preserve">Non-missing positions per specimen (excluding gaps and ambiguous residues) were consistent across modern samples (~6600 positions), while fossil specimens showed reduced coverage, ranging from 1461 to </w:t>
      </w:r>
      <w:r>
        <w:rPr>
          <w:sz w:val="20"/>
          <w:szCs w:val="20"/>
        </w:rPr>
        <w:t>2528</w:t>
      </w:r>
      <w:r w:rsidRPr="00006B0B">
        <w:rPr>
          <w:sz w:val="20"/>
          <w:szCs w:val="20"/>
        </w:rPr>
        <w:t xml:space="preserve"> positions</w:t>
      </w:r>
      <w:r>
        <w:rPr>
          <w:sz w:val="20"/>
          <w:szCs w:val="20"/>
        </w:rPr>
        <w:t xml:space="preserve"> (Table S1).</w:t>
      </w:r>
      <w:r w:rsidR="00BB71ED">
        <w:rPr>
          <w:sz w:val="20"/>
          <w:szCs w:val="20"/>
        </w:rPr>
        <w:t xml:space="preserve"> M</w:t>
      </w:r>
      <w:r w:rsidR="00BB71ED" w:rsidRPr="00BB71ED">
        <w:rPr>
          <w:sz w:val="20"/>
          <w:szCs w:val="20"/>
        </w:rPr>
        <w:t>issing or unobserved sequence positions were encoded as "?"</w:t>
      </w:r>
      <w:r w:rsidR="00BB71ED">
        <w:rPr>
          <w:sz w:val="20"/>
          <w:szCs w:val="20"/>
        </w:rPr>
        <w:t xml:space="preserve"> in final FASTA format.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221"/>
        <w:gridCol w:w="2109"/>
      </w:tblGrid>
      <w:tr w:rsidR="00261A87" w:rsidRPr="00261A87" w14:paraId="5168934B" w14:textId="77777777" w:rsidTr="00006B0B">
        <w:trPr>
          <w:tblHeader/>
          <w:tblCellSpacing w:w="15" w:type="dxa"/>
          <w:jc w:val="center"/>
        </w:trPr>
        <w:tc>
          <w:tcPr>
            <w:tcW w:w="0" w:type="auto"/>
            <w:vAlign w:val="center"/>
            <w:hideMark/>
          </w:tcPr>
          <w:p w14:paraId="04226CBE" w14:textId="352011AE" w:rsidR="00261A87" w:rsidRPr="00261A87" w:rsidRDefault="00261A87" w:rsidP="00261A87">
            <w:pPr>
              <w:suppressAutoHyphens w:val="0"/>
              <w:spacing w:line="240" w:lineRule="auto"/>
              <w:jc w:val="center"/>
              <w:rPr>
                <w:rFonts w:eastAsia="Times New Roman"/>
                <w:b/>
                <w:bCs/>
                <w:sz w:val="20"/>
                <w:szCs w:val="20"/>
                <w:lang w:eastAsia="en-US"/>
              </w:rPr>
            </w:pPr>
            <w:r w:rsidRPr="00261A87">
              <w:rPr>
                <w:rFonts w:eastAsia="Times New Roman"/>
                <w:b/>
                <w:bCs/>
                <w:sz w:val="20"/>
                <w:szCs w:val="20"/>
                <w:lang w:eastAsia="en-US"/>
              </w:rPr>
              <w:t>Especie</w:t>
            </w:r>
            <w:r w:rsidR="00006B0B" w:rsidRPr="00006B0B">
              <w:rPr>
                <w:rFonts w:eastAsia="Times New Roman"/>
                <w:b/>
                <w:bCs/>
                <w:sz w:val="20"/>
                <w:szCs w:val="20"/>
                <w:lang w:eastAsia="en-US"/>
              </w:rPr>
              <w:t>s</w:t>
            </w:r>
          </w:p>
        </w:tc>
        <w:tc>
          <w:tcPr>
            <w:tcW w:w="0" w:type="auto"/>
            <w:vAlign w:val="center"/>
            <w:hideMark/>
          </w:tcPr>
          <w:p w14:paraId="37B2620E" w14:textId="6CE767DD" w:rsidR="00261A87" w:rsidRPr="00261A87" w:rsidRDefault="00261A87" w:rsidP="00261A87">
            <w:pPr>
              <w:suppressAutoHyphens w:val="0"/>
              <w:spacing w:line="240" w:lineRule="auto"/>
              <w:jc w:val="center"/>
              <w:rPr>
                <w:rFonts w:eastAsia="Times New Roman"/>
                <w:b/>
                <w:bCs/>
                <w:sz w:val="20"/>
                <w:szCs w:val="20"/>
                <w:lang w:eastAsia="en-US"/>
              </w:rPr>
            </w:pPr>
            <w:r w:rsidRPr="00261A87">
              <w:rPr>
                <w:rFonts w:eastAsia="Times New Roman"/>
                <w:b/>
                <w:bCs/>
                <w:sz w:val="20"/>
                <w:szCs w:val="20"/>
                <w:lang w:eastAsia="en-US"/>
              </w:rPr>
              <w:t>No-missing</w:t>
            </w:r>
            <w:r w:rsidR="00006B0B" w:rsidRPr="00006B0B">
              <w:rPr>
                <w:rFonts w:eastAsia="Times New Roman"/>
                <w:b/>
                <w:bCs/>
                <w:sz w:val="20"/>
                <w:szCs w:val="20"/>
                <w:lang w:eastAsia="en-US"/>
              </w:rPr>
              <w:t xml:space="preserve"> positions</w:t>
            </w:r>
          </w:p>
        </w:tc>
      </w:tr>
      <w:tr w:rsidR="00261A87" w:rsidRPr="00261A87" w14:paraId="76FEC576" w14:textId="77777777" w:rsidTr="00006B0B">
        <w:trPr>
          <w:tblCellSpacing w:w="15" w:type="dxa"/>
          <w:jc w:val="center"/>
        </w:trPr>
        <w:tc>
          <w:tcPr>
            <w:tcW w:w="0" w:type="auto"/>
            <w:vAlign w:val="center"/>
            <w:hideMark/>
          </w:tcPr>
          <w:p w14:paraId="33E786C7" w14:textId="1A70DDB2"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Mustela erminea</w:t>
            </w:r>
          </w:p>
        </w:tc>
        <w:tc>
          <w:tcPr>
            <w:tcW w:w="0" w:type="auto"/>
            <w:vAlign w:val="center"/>
            <w:hideMark/>
          </w:tcPr>
          <w:p w14:paraId="542A54A9"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6600</w:t>
            </w:r>
          </w:p>
        </w:tc>
      </w:tr>
      <w:tr w:rsidR="00261A87" w:rsidRPr="00261A87" w14:paraId="028E2886" w14:textId="77777777" w:rsidTr="00006B0B">
        <w:trPr>
          <w:tblCellSpacing w:w="15" w:type="dxa"/>
          <w:jc w:val="center"/>
        </w:trPr>
        <w:tc>
          <w:tcPr>
            <w:tcW w:w="0" w:type="auto"/>
            <w:vAlign w:val="center"/>
            <w:hideMark/>
          </w:tcPr>
          <w:p w14:paraId="26EA398D"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Mustela putorius furo</w:t>
            </w:r>
          </w:p>
        </w:tc>
        <w:tc>
          <w:tcPr>
            <w:tcW w:w="0" w:type="auto"/>
            <w:vAlign w:val="center"/>
            <w:hideMark/>
          </w:tcPr>
          <w:p w14:paraId="02AEAF77"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6398</w:t>
            </w:r>
          </w:p>
        </w:tc>
      </w:tr>
      <w:tr w:rsidR="00261A87" w:rsidRPr="00261A87" w14:paraId="72340B19" w14:textId="77777777" w:rsidTr="00006B0B">
        <w:trPr>
          <w:tblCellSpacing w:w="15" w:type="dxa"/>
          <w:jc w:val="center"/>
        </w:trPr>
        <w:tc>
          <w:tcPr>
            <w:tcW w:w="0" w:type="auto"/>
            <w:vAlign w:val="center"/>
            <w:hideMark/>
          </w:tcPr>
          <w:p w14:paraId="22B54A51"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Phoca vitulina</w:t>
            </w:r>
          </w:p>
        </w:tc>
        <w:tc>
          <w:tcPr>
            <w:tcW w:w="0" w:type="auto"/>
            <w:vAlign w:val="center"/>
            <w:hideMark/>
          </w:tcPr>
          <w:p w14:paraId="1FF0C14B"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6255</w:t>
            </w:r>
          </w:p>
        </w:tc>
      </w:tr>
      <w:tr w:rsidR="00261A87" w:rsidRPr="00261A87" w14:paraId="43F8F0FD" w14:textId="77777777" w:rsidTr="00006B0B">
        <w:trPr>
          <w:tblCellSpacing w:w="15" w:type="dxa"/>
          <w:jc w:val="center"/>
        </w:trPr>
        <w:tc>
          <w:tcPr>
            <w:tcW w:w="0" w:type="auto"/>
            <w:vAlign w:val="center"/>
            <w:hideMark/>
          </w:tcPr>
          <w:p w14:paraId="519AA868"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Mirounga leonina</w:t>
            </w:r>
          </w:p>
        </w:tc>
        <w:tc>
          <w:tcPr>
            <w:tcW w:w="0" w:type="auto"/>
            <w:vAlign w:val="center"/>
            <w:hideMark/>
          </w:tcPr>
          <w:p w14:paraId="353B6E08"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6019</w:t>
            </w:r>
          </w:p>
        </w:tc>
      </w:tr>
      <w:tr w:rsidR="00261A87" w:rsidRPr="00261A87" w14:paraId="5DF64146" w14:textId="77777777" w:rsidTr="00006B0B">
        <w:trPr>
          <w:tblCellSpacing w:w="15" w:type="dxa"/>
          <w:jc w:val="center"/>
        </w:trPr>
        <w:tc>
          <w:tcPr>
            <w:tcW w:w="0" w:type="auto"/>
            <w:vAlign w:val="center"/>
            <w:hideMark/>
          </w:tcPr>
          <w:p w14:paraId="4041E9B6"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Odobenus rosmarus</w:t>
            </w:r>
          </w:p>
        </w:tc>
        <w:tc>
          <w:tcPr>
            <w:tcW w:w="0" w:type="auto"/>
            <w:vAlign w:val="center"/>
            <w:hideMark/>
          </w:tcPr>
          <w:p w14:paraId="3BAFAFC1"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6581</w:t>
            </w:r>
          </w:p>
        </w:tc>
      </w:tr>
      <w:tr w:rsidR="00261A87" w:rsidRPr="00261A87" w14:paraId="5064984A" w14:textId="77777777" w:rsidTr="00006B0B">
        <w:trPr>
          <w:tblCellSpacing w:w="15" w:type="dxa"/>
          <w:jc w:val="center"/>
        </w:trPr>
        <w:tc>
          <w:tcPr>
            <w:tcW w:w="0" w:type="auto"/>
            <w:vAlign w:val="center"/>
            <w:hideMark/>
          </w:tcPr>
          <w:p w14:paraId="4B33032E"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Panthera tigris</w:t>
            </w:r>
          </w:p>
        </w:tc>
        <w:tc>
          <w:tcPr>
            <w:tcW w:w="0" w:type="auto"/>
            <w:vAlign w:val="center"/>
            <w:hideMark/>
          </w:tcPr>
          <w:p w14:paraId="7F0DD300"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6595</w:t>
            </w:r>
          </w:p>
        </w:tc>
      </w:tr>
      <w:tr w:rsidR="00261A87" w:rsidRPr="00261A87" w14:paraId="3A4EC744" w14:textId="77777777" w:rsidTr="00006B0B">
        <w:trPr>
          <w:tblCellSpacing w:w="15" w:type="dxa"/>
          <w:jc w:val="center"/>
        </w:trPr>
        <w:tc>
          <w:tcPr>
            <w:tcW w:w="0" w:type="auto"/>
            <w:vAlign w:val="center"/>
            <w:hideMark/>
          </w:tcPr>
          <w:p w14:paraId="3E33414C"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Canis lupus familiaris</w:t>
            </w:r>
          </w:p>
        </w:tc>
        <w:tc>
          <w:tcPr>
            <w:tcW w:w="0" w:type="auto"/>
            <w:vAlign w:val="center"/>
            <w:hideMark/>
          </w:tcPr>
          <w:p w14:paraId="4F5CE876"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6598</w:t>
            </w:r>
          </w:p>
        </w:tc>
      </w:tr>
      <w:tr w:rsidR="00261A87" w:rsidRPr="00261A87" w14:paraId="6E643DA9" w14:textId="77777777" w:rsidTr="00006B0B">
        <w:trPr>
          <w:tblCellSpacing w:w="15" w:type="dxa"/>
          <w:jc w:val="center"/>
        </w:trPr>
        <w:tc>
          <w:tcPr>
            <w:tcW w:w="0" w:type="auto"/>
            <w:vAlign w:val="center"/>
            <w:hideMark/>
          </w:tcPr>
          <w:p w14:paraId="7B3F51B8"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Ailuropoda melanoleuca</w:t>
            </w:r>
          </w:p>
        </w:tc>
        <w:tc>
          <w:tcPr>
            <w:tcW w:w="0" w:type="auto"/>
            <w:vAlign w:val="center"/>
            <w:hideMark/>
          </w:tcPr>
          <w:p w14:paraId="472EEDC3"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6603</w:t>
            </w:r>
          </w:p>
        </w:tc>
      </w:tr>
      <w:tr w:rsidR="00261A87" w:rsidRPr="00261A87" w14:paraId="003CF668" w14:textId="77777777" w:rsidTr="00006B0B">
        <w:trPr>
          <w:tblCellSpacing w:w="15" w:type="dxa"/>
          <w:jc w:val="center"/>
        </w:trPr>
        <w:tc>
          <w:tcPr>
            <w:tcW w:w="0" w:type="auto"/>
            <w:vAlign w:val="center"/>
            <w:hideMark/>
          </w:tcPr>
          <w:p w14:paraId="169E64D9"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Ursus americanus</w:t>
            </w:r>
          </w:p>
        </w:tc>
        <w:tc>
          <w:tcPr>
            <w:tcW w:w="0" w:type="auto"/>
            <w:vAlign w:val="center"/>
            <w:hideMark/>
          </w:tcPr>
          <w:p w14:paraId="558F9466"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6569</w:t>
            </w:r>
          </w:p>
        </w:tc>
      </w:tr>
      <w:tr w:rsidR="00261A87" w:rsidRPr="00261A87" w14:paraId="21348E6F" w14:textId="77777777" w:rsidTr="00006B0B">
        <w:trPr>
          <w:tblCellSpacing w:w="15" w:type="dxa"/>
          <w:jc w:val="center"/>
        </w:trPr>
        <w:tc>
          <w:tcPr>
            <w:tcW w:w="0" w:type="auto"/>
            <w:vAlign w:val="center"/>
            <w:hideMark/>
          </w:tcPr>
          <w:p w14:paraId="3DC5B618"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Ursus arctos</w:t>
            </w:r>
          </w:p>
        </w:tc>
        <w:tc>
          <w:tcPr>
            <w:tcW w:w="0" w:type="auto"/>
            <w:vAlign w:val="center"/>
            <w:hideMark/>
          </w:tcPr>
          <w:p w14:paraId="64E7870B"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6602</w:t>
            </w:r>
          </w:p>
        </w:tc>
      </w:tr>
      <w:tr w:rsidR="00261A87" w:rsidRPr="00261A87" w14:paraId="1D5C2B97" w14:textId="77777777" w:rsidTr="00006B0B">
        <w:trPr>
          <w:tblCellSpacing w:w="15" w:type="dxa"/>
          <w:jc w:val="center"/>
        </w:trPr>
        <w:tc>
          <w:tcPr>
            <w:tcW w:w="0" w:type="auto"/>
            <w:vAlign w:val="center"/>
            <w:hideMark/>
          </w:tcPr>
          <w:p w14:paraId="7848FF34"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Ursus maritimus</w:t>
            </w:r>
          </w:p>
        </w:tc>
        <w:tc>
          <w:tcPr>
            <w:tcW w:w="0" w:type="auto"/>
            <w:vAlign w:val="center"/>
            <w:hideMark/>
          </w:tcPr>
          <w:p w14:paraId="237367A7"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6606</w:t>
            </w:r>
          </w:p>
        </w:tc>
      </w:tr>
      <w:tr w:rsidR="00261A87" w:rsidRPr="00261A87" w14:paraId="5B20CED6" w14:textId="77777777" w:rsidTr="00006B0B">
        <w:trPr>
          <w:tblCellSpacing w:w="15" w:type="dxa"/>
          <w:jc w:val="center"/>
        </w:trPr>
        <w:tc>
          <w:tcPr>
            <w:tcW w:w="0" w:type="auto"/>
            <w:vAlign w:val="center"/>
            <w:hideMark/>
          </w:tcPr>
          <w:p w14:paraId="740102FD"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lastRenderedPageBreak/>
              <w:t>Ursus thibetanus</w:t>
            </w:r>
          </w:p>
        </w:tc>
        <w:tc>
          <w:tcPr>
            <w:tcW w:w="0" w:type="auto"/>
            <w:vAlign w:val="center"/>
            <w:hideMark/>
          </w:tcPr>
          <w:p w14:paraId="65DC9A85"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6604</w:t>
            </w:r>
          </w:p>
        </w:tc>
      </w:tr>
      <w:tr w:rsidR="00261A87" w:rsidRPr="00261A87" w14:paraId="0C7E9659" w14:textId="77777777" w:rsidTr="00006B0B">
        <w:trPr>
          <w:tblCellSpacing w:w="15" w:type="dxa"/>
          <w:jc w:val="center"/>
        </w:trPr>
        <w:tc>
          <w:tcPr>
            <w:tcW w:w="0" w:type="auto"/>
            <w:vAlign w:val="center"/>
            <w:hideMark/>
          </w:tcPr>
          <w:p w14:paraId="14ABBE83"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Ursus dolinensis</w:t>
            </w:r>
          </w:p>
        </w:tc>
        <w:tc>
          <w:tcPr>
            <w:tcW w:w="0" w:type="auto"/>
            <w:vAlign w:val="center"/>
            <w:hideMark/>
          </w:tcPr>
          <w:p w14:paraId="1BB8681B" w14:textId="2B5125EC"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1</w:t>
            </w:r>
            <w:r w:rsidR="00006B0B" w:rsidRPr="00006B0B">
              <w:rPr>
                <w:rFonts w:eastAsia="Times New Roman"/>
                <w:sz w:val="20"/>
                <w:szCs w:val="20"/>
                <w:lang w:eastAsia="en-US"/>
              </w:rPr>
              <w:t>461</w:t>
            </w:r>
          </w:p>
        </w:tc>
      </w:tr>
      <w:tr w:rsidR="00261A87" w:rsidRPr="00261A87" w14:paraId="726CE0EE" w14:textId="77777777" w:rsidTr="00006B0B">
        <w:trPr>
          <w:tblCellSpacing w:w="15" w:type="dxa"/>
          <w:jc w:val="center"/>
        </w:trPr>
        <w:tc>
          <w:tcPr>
            <w:tcW w:w="0" w:type="auto"/>
            <w:vAlign w:val="center"/>
            <w:hideMark/>
          </w:tcPr>
          <w:p w14:paraId="6F5A9332"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Ursus spelaeus</w:t>
            </w:r>
          </w:p>
        </w:tc>
        <w:tc>
          <w:tcPr>
            <w:tcW w:w="0" w:type="auto"/>
            <w:vAlign w:val="center"/>
            <w:hideMark/>
          </w:tcPr>
          <w:p w14:paraId="00CDCE38" w14:textId="77777777"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2528</w:t>
            </w:r>
          </w:p>
        </w:tc>
      </w:tr>
      <w:tr w:rsidR="00261A87" w:rsidRPr="00261A87" w14:paraId="52A4B9E9" w14:textId="77777777" w:rsidTr="00006B0B">
        <w:trPr>
          <w:tblCellSpacing w:w="15" w:type="dxa"/>
          <w:jc w:val="center"/>
        </w:trPr>
        <w:tc>
          <w:tcPr>
            <w:tcW w:w="0" w:type="auto"/>
            <w:vAlign w:val="center"/>
            <w:hideMark/>
          </w:tcPr>
          <w:p w14:paraId="55FDF935" w14:textId="77777777" w:rsidR="00261A87" w:rsidRPr="00261A87" w:rsidRDefault="00261A87" w:rsidP="00006B0B">
            <w:pPr>
              <w:suppressAutoHyphens w:val="0"/>
              <w:spacing w:line="240" w:lineRule="auto"/>
              <w:jc w:val="center"/>
              <w:rPr>
                <w:rFonts w:eastAsia="Times New Roman"/>
                <w:i/>
                <w:sz w:val="20"/>
                <w:szCs w:val="20"/>
                <w:lang w:eastAsia="en-US"/>
              </w:rPr>
            </w:pPr>
            <w:r w:rsidRPr="00261A87">
              <w:rPr>
                <w:rFonts w:eastAsia="Times New Roman"/>
                <w:i/>
                <w:sz w:val="20"/>
                <w:szCs w:val="20"/>
                <w:lang w:eastAsia="en-US"/>
              </w:rPr>
              <w:t>Ursus deningeri</w:t>
            </w:r>
          </w:p>
        </w:tc>
        <w:tc>
          <w:tcPr>
            <w:tcW w:w="0" w:type="auto"/>
            <w:vAlign w:val="center"/>
            <w:hideMark/>
          </w:tcPr>
          <w:p w14:paraId="0B4E371B" w14:textId="3D643D33" w:rsidR="00261A87" w:rsidRPr="00261A87" w:rsidRDefault="00261A87" w:rsidP="00006B0B">
            <w:pPr>
              <w:suppressAutoHyphens w:val="0"/>
              <w:spacing w:line="240" w:lineRule="auto"/>
              <w:jc w:val="center"/>
              <w:rPr>
                <w:rFonts w:eastAsia="Times New Roman"/>
                <w:sz w:val="20"/>
                <w:szCs w:val="20"/>
                <w:lang w:eastAsia="en-US"/>
              </w:rPr>
            </w:pPr>
            <w:r w:rsidRPr="00261A87">
              <w:rPr>
                <w:rFonts w:eastAsia="Times New Roman"/>
                <w:sz w:val="20"/>
                <w:szCs w:val="20"/>
                <w:lang w:eastAsia="en-US"/>
              </w:rPr>
              <w:t>22</w:t>
            </w:r>
            <w:r w:rsidR="00006B0B" w:rsidRPr="00006B0B">
              <w:rPr>
                <w:rFonts w:eastAsia="Times New Roman"/>
                <w:sz w:val="20"/>
                <w:szCs w:val="20"/>
                <w:lang w:eastAsia="en-US"/>
              </w:rPr>
              <w:t>78</w:t>
            </w:r>
          </w:p>
        </w:tc>
      </w:tr>
    </w:tbl>
    <w:p w14:paraId="56F263C1" w14:textId="3CADDDE6" w:rsidR="00006B0B" w:rsidRPr="00006B0B" w:rsidRDefault="00006B0B" w:rsidP="00006B0B">
      <w:pPr>
        <w:spacing w:before="240" w:after="240"/>
        <w:jc w:val="both"/>
        <w:rPr>
          <w:sz w:val="18"/>
          <w:szCs w:val="18"/>
        </w:rPr>
      </w:pPr>
      <w:r w:rsidRPr="00006B0B">
        <w:rPr>
          <w:b/>
          <w:sz w:val="18"/>
          <w:szCs w:val="18"/>
        </w:rPr>
        <w:t>Table S1.</w:t>
      </w:r>
      <w:r w:rsidRPr="00006B0B">
        <w:rPr>
          <w:sz w:val="18"/>
          <w:szCs w:val="18"/>
        </w:rPr>
        <w:t xml:space="preserve"> Summary of the number of non-missing amino acid positions per specimen</w:t>
      </w:r>
      <w:r w:rsidR="00D915D0">
        <w:rPr>
          <w:sz w:val="18"/>
          <w:szCs w:val="18"/>
        </w:rPr>
        <w:t xml:space="preserve"> in final concatenations</w:t>
      </w:r>
      <w:r w:rsidRPr="00006B0B">
        <w:rPr>
          <w:sz w:val="18"/>
          <w:szCs w:val="18"/>
        </w:rPr>
        <w:t>, excluding gaps and ambiguous residues.</w:t>
      </w:r>
    </w:p>
    <w:p w14:paraId="763066E8" w14:textId="11D6553C" w:rsidR="00AB1203" w:rsidRDefault="00AB1203" w:rsidP="00261A87">
      <w:pPr>
        <w:spacing w:before="240" w:after="240" w:line="360" w:lineRule="auto"/>
        <w:jc w:val="both"/>
        <w:rPr>
          <w:sz w:val="20"/>
          <w:szCs w:val="20"/>
        </w:rPr>
      </w:pPr>
      <w:r>
        <w:rPr>
          <w:sz w:val="20"/>
          <w:szCs w:val="20"/>
          <w:u w:val="single"/>
        </w:rPr>
        <w:t>Phylogenetic Inference</w:t>
      </w:r>
      <w:r>
        <w:rPr>
          <w:sz w:val="20"/>
          <w:szCs w:val="20"/>
        </w:rPr>
        <w:t>. Ph</w:t>
      </w:r>
      <w:r w:rsidR="00D915D0">
        <w:rPr>
          <w:sz w:val="20"/>
          <w:szCs w:val="20"/>
        </w:rPr>
        <w:t>y</w:t>
      </w:r>
      <w:r>
        <w:rPr>
          <w:sz w:val="20"/>
          <w:szCs w:val="20"/>
        </w:rPr>
        <w:t>logenetic relationships were inferred from the concatenated protein alignments using both maximum likelihood (ML) and Bayesian inference (BI) methods:</w:t>
      </w:r>
    </w:p>
    <w:p w14:paraId="39E8C7D8" w14:textId="32BEB03E" w:rsidR="00AB1203" w:rsidRDefault="00AB1203" w:rsidP="00AB1203">
      <w:pPr>
        <w:numPr>
          <w:ilvl w:val="0"/>
          <w:numId w:val="10"/>
        </w:numPr>
        <w:spacing w:before="240" w:after="40" w:line="360" w:lineRule="auto"/>
        <w:jc w:val="both"/>
        <w:rPr>
          <w:sz w:val="20"/>
          <w:szCs w:val="20"/>
        </w:rPr>
      </w:pPr>
      <w:r>
        <w:rPr>
          <w:sz w:val="20"/>
          <w:szCs w:val="20"/>
        </w:rPr>
        <w:t>ML analyses were performed with IQ-TREE v1.6.12 [2</w:t>
      </w:r>
      <w:r w:rsidR="00B979E6">
        <w:rPr>
          <w:sz w:val="20"/>
          <w:szCs w:val="20"/>
        </w:rPr>
        <w:t>4</w:t>
      </w:r>
      <w:r>
        <w:rPr>
          <w:sz w:val="20"/>
          <w:szCs w:val="20"/>
        </w:rPr>
        <w:t>] using partition-specific models selected by ModelFinder [2</w:t>
      </w:r>
      <w:r w:rsidR="00B979E6">
        <w:rPr>
          <w:sz w:val="20"/>
          <w:szCs w:val="20"/>
        </w:rPr>
        <w:t>5</w:t>
      </w:r>
      <w:r>
        <w:rPr>
          <w:sz w:val="20"/>
          <w:szCs w:val="20"/>
        </w:rPr>
        <w:t xml:space="preserve">]. Ultrafast bootstrap (5,000 replicates) was used to assess node support. Main command: </w:t>
      </w:r>
    </w:p>
    <w:p w14:paraId="17ACE3D1" w14:textId="17C88C78" w:rsidR="00AB1203" w:rsidRPr="00602510" w:rsidRDefault="00AB1203" w:rsidP="00602510">
      <w:pPr>
        <w:spacing w:before="240" w:after="240" w:line="360" w:lineRule="auto"/>
        <w:jc w:val="center"/>
        <w:rPr>
          <w:b/>
          <w:bCs/>
          <w:sz w:val="20"/>
          <w:szCs w:val="20"/>
        </w:rPr>
      </w:pPr>
      <w:r>
        <w:rPr>
          <w:sz w:val="20"/>
          <w:szCs w:val="20"/>
        </w:rPr>
        <w:t>iqtree -nt 4 -s Namefile_concatenated.fasta -spp $partfile -alrt 5000 -bb 5000 -nstop 500 -nm 10000 -wsplits -pre $outdir</w:t>
      </w:r>
    </w:p>
    <w:p w14:paraId="5EAC7C53" w14:textId="7EF4F540" w:rsidR="00AB1203" w:rsidRDefault="00AB1203" w:rsidP="00AB1203">
      <w:pPr>
        <w:numPr>
          <w:ilvl w:val="0"/>
          <w:numId w:val="5"/>
        </w:numPr>
        <w:spacing w:before="240" w:after="40" w:line="360" w:lineRule="auto"/>
        <w:jc w:val="both"/>
        <w:rPr>
          <w:sz w:val="20"/>
          <w:szCs w:val="20"/>
        </w:rPr>
      </w:pPr>
      <w:r>
        <w:rPr>
          <w:sz w:val="20"/>
          <w:szCs w:val="20"/>
        </w:rPr>
        <w:t>MrBayes v3.2.7a [2</w:t>
      </w:r>
      <w:r w:rsidR="00C404C6">
        <w:rPr>
          <w:sz w:val="20"/>
          <w:szCs w:val="20"/>
        </w:rPr>
        <w:t>6</w:t>
      </w:r>
      <w:r>
        <w:rPr>
          <w:sz w:val="20"/>
          <w:szCs w:val="20"/>
        </w:rPr>
        <w:t xml:space="preserve">] was used with the same partitioning scheme as in IQ-TREE. Each protein was defined as a separate partition with unlinked parameters. The </w:t>
      </w:r>
      <w:r>
        <w:rPr>
          <w:i/>
          <w:iCs/>
          <w:sz w:val="20"/>
          <w:szCs w:val="20"/>
        </w:rPr>
        <w:t>mixed</w:t>
      </w:r>
      <w:r>
        <w:rPr>
          <w:sz w:val="20"/>
          <w:szCs w:val="20"/>
        </w:rPr>
        <w:t xml:space="preserve"> amino acid model prior was used to allow model averaging across substitution matrices:</w:t>
      </w:r>
    </w:p>
    <w:p w14:paraId="1A2A6D39" w14:textId="77777777" w:rsidR="00AB1203" w:rsidRDefault="00AB1203" w:rsidP="00AB1203">
      <w:pPr>
        <w:spacing w:before="240" w:after="240" w:line="240" w:lineRule="auto"/>
        <w:jc w:val="center"/>
        <w:rPr>
          <w:sz w:val="20"/>
          <w:szCs w:val="20"/>
        </w:rPr>
      </w:pPr>
      <w:r>
        <w:rPr>
          <w:sz w:val="20"/>
          <w:szCs w:val="20"/>
        </w:rPr>
        <w:t>mcmc nchains=8 nruns=4 ngen=3000000 samplefreq=100 diagnfreq=1000 burninfrac=0.25</w:t>
      </w:r>
    </w:p>
    <w:p w14:paraId="0F2CCB41" w14:textId="2DB1C4E4" w:rsidR="00602510" w:rsidRDefault="00602510" w:rsidP="00AB1203">
      <w:pPr>
        <w:spacing w:before="240" w:after="240" w:line="360" w:lineRule="auto"/>
        <w:jc w:val="both"/>
        <w:rPr>
          <w:sz w:val="20"/>
          <w:szCs w:val="20"/>
        </w:rPr>
      </w:pPr>
      <w:r w:rsidRPr="00602510">
        <w:rPr>
          <w:sz w:val="20"/>
          <w:szCs w:val="20"/>
        </w:rPr>
        <w:t>All phylogenetic trees were visualized and annotated in R using the ape package. Final trees display both ML bootstrap values and Bayesian posterior probabilities where applicable.</w:t>
      </w:r>
    </w:p>
    <w:p w14:paraId="17DB238A" w14:textId="77777777" w:rsidR="00602510" w:rsidRDefault="00602510" w:rsidP="00AB1203">
      <w:pPr>
        <w:spacing w:before="240" w:after="240" w:line="360" w:lineRule="auto"/>
        <w:jc w:val="both"/>
        <w:rPr>
          <w:sz w:val="20"/>
          <w:szCs w:val="20"/>
        </w:rPr>
      </w:pPr>
    </w:p>
    <w:p w14:paraId="4A54D169" w14:textId="77777777" w:rsidR="00AB1203" w:rsidRDefault="00AB1203" w:rsidP="00AB1203">
      <w:pPr>
        <w:spacing w:before="240" w:after="240"/>
        <w:rPr>
          <w:b/>
          <w:bCs/>
        </w:rPr>
      </w:pPr>
      <w:r>
        <w:rPr>
          <w:b/>
          <w:bCs/>
        </w:rPr>
        <w:t xml:space="preserve">I.5. Deamidation and Oxidation rates </w:t>
      </w:r>
    </w:p>
    <w:p w14:paraId="32F2786B" w14:textId="77777777" w:rsidR="00AB1203" w:rsidRDefault="00AB1203" w:rsidP="00AB1203">
      <w:pPr>
        <w:spacing w:before="240" w:after="240" w:line="360" w:lineRule="auto"/>
        <w:jc w:val="both"/>
        <w:rPr>
          <w:sz w:val="20"/>
          <w:szCs w:val="20"/>
        </w:rPr>
        <w:sectPr w:rsidR="00AB1203">
          <w:footerReference w:type="default" r:id="rId13"/>
          <w:footerReference w:type="first" r:id="rId14"/>
          <w:pgSz w:w="11906" w:h="16838"/>
          <w:pgMar w:top="1440" w:right="1440" w:bottom="1440" w:left="1440" w:header="0" w:footer="720" w:gutter="0"/>
          <w:lnNumType w:countBy="1" w:distance="283" w:restart="continuous"/>
          <w:cols w:space="720"/>
          <w:formProt w:val="0"/>
          <w:docGrid w:linePitch="100" w:charSpace="4096"/>
        </w:sectPr>
      </w:pPr>
      <w:r>
        <w:rPr>
          <w:sz w:val="20"/>
          <w:szCs w:val="20"/>
        </w:rPr>
        <w:t>Deamidation of glutamine (Q) and asparagine (N), together with oxidation of methionine (M) and proline (P), was quantified using a custom script. The script calculates conversion ratios between modified and unmodified residues, normalized to peptide spectrum matches (PSMs), and validated by 1000 bootstrap replicates. Early Pleistocene specimens displayed more advanced diagenesis, with lower yields and shorter peptides.</w:t>
      </w:r>
    </w:p>
    <w:p w14:paraId="1B028175" w14:textId="77777777" w:rsidR="00AB1203" w:rsidRDefault="00AB1203" w:rsidP="00AB1203">
      <w:pPr>
        <w:pStyle w:val="Heading4"/>
        <w:keepNext w:val="0"/>
        <w:keepLines w:val="0"/>
        <w:spacing w:before="240" w:after="40"/>
        <w:rPr>
          <w:sz w:val="20"/>
          <w:szCs w:val="20"/>
        </w:rPr>
      </w:pPr>
      <w:bookmarkStart w:id="8" w:name="_cdvqknf4dfja"/>
      <w:bookmarkEnd w:id="8"/>
      <w:r>
        <w:rPr>
          <w:b/>
          <w:bCs/>
          <w:color w:val="000000"/>
        </w:rPr>
        <w:lastRenderedPageBreak/>
        <w:t>II. Supplementary Results</w:t>
      </w:r>
    </w:p>
    <w:p w14:paraId="4A2D1E26" w14:textId="77777777" w:rsidR="00AB1203" w:rsidRDefault="00AB1203" w:rsidP="00AB1203">
      <w:pPr>
        <w:spacing w:before="240" w:after="240"/>
        <w:rPr>
          <w:b/>
          <w:bCs/>
        </w:rPr>
      </w:pPr>
      <w:r>
        <w:rPr>
          <w:b/>
          <w:bCs/>
        </w:rPr>
        <w:t>II.1. Proteomic Recovery Intensity</w:t>
      </w:r>
    </w:p>
    <w:p w14:paraId="3FEA7DEF" w14:textId="77777777" w:rsidR="00AB1203" w:rsidRDefault="00AB1203" w:rsidP="00AB1203">
      <w:pPr>
        <w:spacing w:before="240" w:after="240" w:line="360" w:lineRule="auto"/>
        <w:jc w:val="both"/>
        <w:rPr>
          <w:sz w:val="20"/>
          <w:szCs w:val="20"/>
        </w:rPr>
      </w:pPr>
      <w:r>
        <w:rPr>
          <w:sz w:val="20"/>
          <w:szCs w:val="20"/>
        </w:rPr>
        <w:t xml:space="preserve">Relative peptide intensities (log10-transformed) were compared with the number of peptide-spectrum matches (PSMs) for all specimens (Main Text, Fig. 2A). Across the dataset, Pleistocene samples show comparable intensity values, while the modern </w:t>
      </w:r>
      <w:r>
        <w:rPr>
          <w:i/>
          <w:iCs/>
          <w:sz w:val="20"/>
          <w:szCs w:val="20"/>
        </w:rPr>
        <w:t>Ursus arctos</w:t>
      </w:r>
      <w:r>
        <w:rPr>
          <w:sz w:val="20"/>
          <w:szCs w:val="20"/>
        </w:rPr>
        <w:t xml:space="preserve"> individual exhibits the expected higher abundance characteristic of fresh enamel. Some Middle and Late Pleistocene specimens display higher PSM counts than the modern bear despite comparable intensity. This mismatch reflects differences in spectrum assignment efficiency rather than true protein abundance, since intensity quantifies peptide signal directly, whereas PSM counts depend on database matching and fragmentation behavior. Thus, intensity provides a complementary metric of preservation, confirming that peptide abundance aligns with the expected diagenetic gradient even when PSM numbers vary. All samples were analyzed using identical extraction, LC–MS/MS, and instrument settings.</w:t>
      </w:r>
    </w:p>
    <w:p w14:paraId="21EE0368" w14:textId="769F76ED" w:rsidR="00AB1203" w:rsidRDefault="00AB1203" w:rsidP="00AB1203">
      <w:pPr>
        <w:jc w:val="center"/>
        <w:rPr>
          <w:b/>
          <w:bCs/>
          <w:sz w:val="24"/>
          <w:szCs w:val="24"/>
        </w:rPr>
      </w:pPr>
    </w:p>
    <w:p w14:paraId="74AE691F" w14:textId="60510791" w:rsidR="00734BC0" w:rsidRDefault="00734BC0" w:rsidP="00AB1203">
      <w:pPr>
        <w:jc w:val="center"/>
        <w:rPr>
          <w:b/>
          <w:bCs/>
          <w:sz w:val="24"/>
          <w:szCs w:val="24"/>
        </w:rPr>
      </w:pPr>
      <w:r>
        <w:rPr>
          <w:noProof/>
        </w:rPr>
        <w:drawing>
          <wp:inline distT="0" distB="0" distL="0" distR="0" wp14:anchorId="5526DAE0" wp14:editId="06C7A013">
            <wp:extent cx="5731510" cy="3238402"/>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238402"/>
                    </a:xfrm>
                    <a:prstGeom prst="rect">
                      <a:avLst/>
                    </a:prstGeom>
                    <a:noFill/>
                    <a:ln>
                      <a:noFill/>
                    </a:ln>
                  </pic:spPr>
                </pic:pic>
              </a:graphicData>
            </a:graphic>
          </wp:inline>
        </w:drawing>
      </w:r>
    </w:p>
    <w:p w14:paraId="43056E7E" w14:textId="28993E63" w:rsidR="00AB1203" w:rsidRDefault="00AB1203" w:rsidP="00AB1203">
      <w:pPr>
        <w:jc w:val="center"/>
        <w:rPr>
          <w:sz w:val="18"/>
          <w:szCs w:val="18"/>
        </w:rPr>
      </w:pPr>
      <w:r>
        <w:rPr>
          <w:b/>
          <w:bCs/>
          <w:sz w:val="18"/>
          <w:szCs w:val="18"/>
        </w:rPr>
        <w:t>Figure S1.</w:t>
      </w:r>
      <w:r>
        <w:rPr>
          <w:sz w:val="18"/>
          <w:szCs w:val="18"/>
        </w:rPr>
        <w:t xml:space="preserve"> </w:t>
      </w:r>
      <w:r w:rsidR="00C11D38">
        <w:rPr>
          <w:sz w:val="18"/>
          <w:szCs w:val="18"/>
        </w:rPr>
        <w:t xml:space="preserve">Total </w:t>
      </w:r>
      <w:r>
        <w:rPr>
          <w:sz w:val="18"/>
          <w:szCs w:val="18"/>
        </w:rPr>
        <w:t>peptide intensity (log10</w:t>
      </w:r>
      <w:r w:rsidR="00C11D38">
        <w:rPr>
          <w:sz w:val="18"/>
          <w:szCs w:val="18"/>
        </w:rPr>
        <w:t xml:space="preserve"> scale</w:t>
      </w:r>
      <w:r>
        <w:rPr>
          <w:sz w:val="18"/>
          <w:szCs w:val="18"/>
        </w:rPr>
        <w:t>) across all enamel samples.</w:t>
      </w:r>
    </w:p>
    <w:p w14:paraId="426CBD14" w14:textId="77777777" w:rsidR="00AB1203" w:rsidRDefault="00AB1203" w:rsidP="00AB1203">
      <w:pPr>
        <w:jc w:val="both"/>
        <w:rPr>
          <w:sz w:val="18"/>
          <w:szCs w:val="18"/>
        </w:rPr>
      </w:pPr>
    </w:p>
    <w:p w14:paraId="609E71EB" w14:textId="77777777" w:rsidR="00AB1203" w:rsidRDefault="00AB1203" w:rsidP="00AB1203">
      <w:pPr>
        <w:spacing w:before="240" w:after="240" w:line="240" w:lineRule="auto"/>
        <w:rPr>
          <w:b/>
          <w:bCs/>
        </w:rPr>
      </w:pPr>
      <w:r>
        <w:rPr>
          <w:b/>
          <w:bCs/>
        </w:rPr>
        <w:t>II.2. SAP Validation</w:t>
      </w:r>
    </w:p>
    <w:p w14:paraId="3985336A" w14:textId="7627F186" w:rsidR="00AB1203" w:rsidRDefault="00F83917" w:rsidP="00AB1203">
      <w:pPr>
        <w:spacing w:before="240" w:after="240" w:line="360" w:lineRule="auto"/>
        <w:jc w:val="both"/>
        <w:rPr>
          <w:sz w:val="20"/>
          <w:szCs w:val="20"/>
        </w:rPr>
      </w:pPr>
      <w:r w:rsidRPr="00F83917">
        <w:rPr>
          <w:sz w:val="20"/>
          <w:szCs w:val="20"/>
        </w:rPr>
        <w:t xml:space="preserve">A complete summary of all identified SAPs across specimens, including their phylogenetic support and confidence classification, is provided in </w:t>
      </w:r>
      <w:r w:rsidRPr="00F83917">
        <w:rPr>
          <w:b/>
          <w:i/>
          <w:sz w:val="20"/>
          <w:szCs w:val="20"/>
        </w:rPr>
        <w:t>Dataset S3- SAP Identification and Phylogenetic Support</w:t>
      </w:r>
      <w:r>
        <w:rPr>
          <w:sz w:val="20"/>
          <w:szCs w:val="20"/>
        </w:rPr>
        <w:t xml:space="preserve">. </w:t>
      </w:r>
      <w:r w:rsidR="00AB1203">
        <w:rPr>
          <w:sz w:val="20"/>
          <w:szCs w:val="20"/>
        </w:rPr>
        <w:t xml:space="preserve">The distribution of validated single amino acid polymorphisms (SAPs) varies across enamel and serum proteins. Enamel proteins such as AMBN and ENAM show the highest number of substitutions, while proteins including MMP20 and AHSG carry only limited variation. Some SAPs appear restricted to single individuals, whereas others are shared across multiple taxa or temporal ranges. Figure S2 illustrates the distribution of SAPs along the aligned protein sequences, highlighting regions of </w:t>
      </w:r>
      <w:r w:rsidR="00AB1203">
        <w:rPr>
          <w:sz w:val="20"/>
          <w:szCs w:val="20"/>
        </w:rPr>
        <w:lastRenderedPageBreak/>
        <w:t>concentrated variability, whereas Table S1 lists all variations and their corresponding proteins, classified by phylogenetic significance.</w:t>
      </w:r>
    </w:p>
    <w:p w14:paraId="46124AB1" w14:textId="7EDD8064" w:rsidR="00AB1203" w:rsidRDefault="00AB1203" w:rsidP="00AB1203">
      <w:pPr>
        <w:jc w:val="both"/>
        <w:rPr>
          <w:sz w:val="18"/>
          <w:szCs w:val="18"/>
        </w:rPr>
      </w:pPr>
      <w:r>
        <w:rPr>
          <w:noProof/>
        </w:rPr>
        <w:drawing>
          <wp:inline distT="0" distB="0" distL="0" distR="0" wp14:anchorId="4E1F0B52" wp14:editId="180233CA">
            <wp:extent cx="5731510" cy="3708400"/>
            <wp:effectExtent l="0" t="0" r="0" b="0"/>
            <wp:docPr id="2"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6.png"/>
                    <pic:cNvPicPr>
                      <a:picLocks noChangeAspect="1" noChangeArrowheads="1"/>
                    </pic:cNvPicPr>
                  </pic:nvPicPr>
                  <pic:blipFill>
                    <a:blip r:embed="rId16"/>
                    <a:stretch>
                      <a:fillRect/>
                    </a:stretch>
                  </pic:blipFill>
                  <pic:spPr bwMode="auto">
                    <a:xfrm>
                      <a:off x="0" y="0"/>
                      <a:ext cx="5731510" cy="3708400"/>
                    </a:xfrm>
                    <a:prstGeom prst="rect">
                      <a:avLst/>
                    </a:prstGeom>
                  </pic:spPr>
                </pic:pic>
              </a:graphicData>
            </a:graphic>
          </wp:inline>
        </w:drawing>
      </w:r>
      <w:r>
        <w:rPr>
          <w:b/>
          <w:bCs/>
          <w:sz w:val="18"/>
          <w:szCs w:val="18"/>
        </w:rPr>
        <w:t>Figure S2.</w:t>
      </w:r>
      <w:r>
        <w:rPr>
          <w:sz w:val="18"/>
          <w:szCs w:val="18"/>
        </w:rPr>
        <w:t xml:space="preserve"> Distribution of </w:t>
      </w:r>
      <w:r w:rsidR="00943DCA">
        <w:rPr>
          <w:sz w:val="18"/>
          <w:szCs w:val="18"/>
        </w:rPr>
        <w:t xml:space="preserve">identified </w:t>
      </w:r>
      <w:r>
        <w:rPr>
          <w:sz w:val="18"/>
          <w:szCs w:val="18"/>
        </w:rPr>
        <w:t xml:space="preserve">single amino acid polymorphisms (SAPs) across protein sequences. Lollipop plot depicting variable amino acid positions along enamel and serum proteins. Each marker represents </w:t>
      </w:r>
      <w:proofErr w:type="gramStart"/>
      <w:r>
        <w:rPr>
          <w:sz w:val="18"/>
          <w:szCs w:val="18"/>
        </w:rPr>
        <w:t>a</w:t>
      </w:r>
      <w:proofErr w:type="gramEnd"/>
      <w:r>
        <w:rPr>
          <w:sz w:val="18"/>
          <w:szCs w:val="18"/>
        </w:rPr>
        <w:t xml:space="preserve"> SAP, scaled by frequency.</w:t>
      </w:r>
    </w:p>
    <w:p w14:paraId="12938620" w14:textId="77777777" w:rsidR="008751C8" w:rsidRDefault="008751C8" w:rsidP="00AB1203">
      <w:pPr>
        <w:jc w:val="both"/>
        <w:rPr>
          <w:sz w:val="18"/>
          <w:szCs w:val="18"/>
        </w:rPr>
      </w:pPr>
    </w:p>
    <w:p w14:paraId="46C83254" w14:textId="77777777" w:rsidR="00AB1203" w:rsidRDefault="00AB1203" w:rsidP="00AB1203">
      <w:pPr>
        <w:spacing w:before="240" w:after="240"/>
        <w:rPr>
          <w:sz w:val="20"/>
          <w:szCs w:val="20"/>
        </w:rPr>
      </w:pPr>
      <w:r>
        <w:rPr>
          <w:noProof/>
        </w:rPr>
        <w:drawing>
          <wp:inline distT="0" distB="0" distL="0" distR="0" wp14:anchorId="27898E8C" wp14:editId="632E533E">
            <wp:extent cx="5633720" cy="2648585"/>
            <wp:effectExtent l="0" t="0" r="0" b="0"/>
            <wp:docPr id="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8.png"/>
                    <pic:cNvPicPr>
                      <a:picLocks noChangeAspect="1" noChangeArrowheads="1"/>
                    </pic:cNvPicPr>
                  </pic:nvPicPr>
                  <pic:blipFill>
                    <a:blip r:embed="rId17"/>
                    <a:stretch>
                      <a:fillRect/>
                    </a:stretch>
                  </pic:blipFill>
                  <pic:spPr bwMode="auto">
                    <a:xfrm>
                      <a:off x="0" y="0"/>
                      <a:ext cx="5633720" cy="2648585"/>
                    </a:xfrm>
                    <a:prstGeom prst="rect">
                      <a:avLst/>
                    </a:prstGeom>
                  </pic:spPr>
                </pic:pic>
              </a:graphicData>
            </a:graphic>
          </wp:inline>
        </w:drawing>
      </w:r>
    </w:p>
    <w:p w14:paraId="093FAC0B" w14:textId="2C726483" w:rsidR="00AB1203" w:rsidRDefault="00AB1203" w:rsidP="00AB1203">
      <w:pPr>
        <w:spacing w:before="240" w:after="240"/>
        <w:jc w:val="both"/>
        <w:rPr>
          <w:sz w:val="18"/>
          <w:szCs w:val="18"/>
        </w:rPr>
      </w:pPr>
      <w:r>
        <w:rPr>
          <w:b/>
          <w:bCs/>
          <w:sz w:val="18"/>
          <w:szCs w:val="18"/>
        </w:rPr>
        <w:t>Table S</w:t>
      </w:r>
      <w:r w:rsidR="008751C8">
        <w:rPr>
          <w:b/>
          <w:bCs/>
          <w:sz w:val="18"/>
          <w:szCs w:val="18"/>
        </w:rPr>
        <w:t>2</w:t>
      </w:r>
      <w:r>
        <w:rPr>
          <w:b/>
          <w:bCs/>
          <w:sz w:val="18"/>
          <w:szCs w:val="18"/>
        </w:rPr>
        <w:t xml:space="preserve">. </w:t>
      </w:r>
      <w:r>
        <w:rPr>
          <w:sz w:val="18"/>
          <w:szCs w:val="18"/>
        </w:rPr>
        <w:t>Single amino acid polymorphisms (SAPs) identified in enamel and serum proteins. Summary of proteins with their respective number and positions of SAPs, including novel variants.</w:t>
      </w:r>
    </w:p>
    <w:p w14:paraId="4BD05A2F" w14:textId="7A42991F" w:rsidR="008751C8" w:rsidRDefault="008751C8" w:rsidP="00AB1203">
      <w:pPr>
        <w:spacing w:before="240" w:after="240"/>
        <w:jc w:val="both"/>
        <w:rPr>
          <w:sz w:val="18"/>
          <w:szCs w:val="18"/>
        </w:rPr>
      </w:pPr>
    </w:p>
    <w:p w14:paraId="67F92C60" w14:textId="77777777" w:rsidR="008751C8" w:rsidRDefault="008751C8" w:rsidP="00AB1203">
      <w:pPr>
        <w:spacing w:before="240" w:after="240"/>
        <w:jc w:val="both"/>
        <w:rPr>
          <w:sz w:val="18"/>
          <w:szCs w:val="18"/>
        </w:rPr>
      </w:pPr>
    </w:p>
    <w:p w14:paraId="6AB7C835" w14:textId="77777777" w:rsidR="00AB1203" w:rsidRDefault="00AB1203" w:rsidP="00AB1203">
      <w:pPr>
        <w:pStyle w:val="Heading4"/>
        <w:keepNext w:val="0"/>
        <w:keepLines w:val="0"/>
        <w:spacing w:before="240" w:after="40"/>
        <w:rPr>
          <w:b/>
          <w:bCs/>
          <w:color w:val="000000"/>
          <w:sz w:val="20"/>
          <w:szCs w:val="20"/>
        </w:rPr>
      </w:pPr>
      <w:bookmarkStart w:id="9" w:name="_5gv21skjt5at"/>
      <w:bookmarkEnd w:id="9"/>
      <w:r>
        <w:rPr>
          <w:rFonts w:ascii="Arial Unicode MS" w:eastAsia="Arial Unicode MS" w:hAnsi="Arial Unicode MS" w:cs="Arial Unicode MS"/>
          <w:b/>
          <w:bCs/>
          <w:color w:val="000000"/>
          <w:sz w:val="20"/>
          <w:szCs w:val="20"/>
        </w:rPr>
        <w:lastRenderedPageBreak/>
        <w:t>II.2.1. SAP AMBN-249 (Y→S)</w:t>
      </w:r>
    </w:p>
    <w:p w14:paraId="27888B85" w14:textId="3B1DE5F4" w:rsidR="00AB1203" w:rsidRDefault="00AB1203" w:rsidP="00AB1203">
      <w:pPr>
        <w:spacing w:before="240" w:after="240" w:line="360" w:lineRule="auto"/>
        <w:jc w:val="both"/>
        <w:rPr>
          <w:color w:val="0D0D0D"/>
          <w:sz w:val="20"/>
          <w:szCs w:val="20"/>
          <w:highlight w:val="white"/>
        </w:rPr>
      </w:pPr>
      <w:r>
        <w:rPr>
          <w:rFonts w:ascii="Arial Unicode MS" w:eastAsia="Arial Unicode MS" w:hAnsi="Arial Unicode MS" w:cs="Arial Unicode MS"/>
          <w:color w:val="0D0D0D"/>
          <w:sz w:val="20"/>
          <w:szCs w:val="20"/>
          <w:highlight w:val="white"/>
        </w:rPr>
        <w:t xml:space="preserve">The AMBN-249 substitution [tyrosine (Y) → serine (S)] is consistently present in all Middle and Late Pleistocene </w:t>
      </w:r>
      <w:r>
        <w:rPr>
          <w:i/>
          <w:iCs/>
          <w:color w:val="0D0D0D"/>
          <w:sz w:val="20"/>
          <w:szCs w:val="20"/>
          <w:highlight w:val="white"/>
        </w:rPr>
        <w:t>U. deningeri</w:t>
      </w:r>
      <w:r>
        <w:rPr>
          <w:color w:val="0D0D0D"/>
          <w:sz w:val="20"/>
          <w:szCs w:val="20"/>
          <w:highlight w:val="white"/>
        </w:rPr>
        <w:t xml:space="preserve"> and </w:t>
      </w:r>
      <w:r>
        <w:rPr>
          <w:i/>
          <w:iCs/>
          <w:color w:val="0D0D0D"/>
          <w:sz w:val="20"/>
          <w:szCs w:val="20"/>
          <w:highlight w:val="white"/>
        </w:rPr>
        <w:t>U. spelaeus</w:t>
      </w:r>
      <w:r>
        <w:rPr>
          <w:color w:val="0D0D0D"/>
          <w:sz w:val="20"/>
          <w:szCs w:val="20"/>
          <w:highlight w:val="white"/>
        </w:rPr>
        <w:t xml:space="preserve"> specimens, as well as several individuals assigned to </w:t>
      </w:r>
      <w:r>
        <w:rPr>
          <w:i/>
          <w:iCs/>
          <w:color w:val="0D0D0D"/>
          <w:sz w:val="20"/>
          <w:szCs w:val="20"/>
          <w:highlight w:val="white"/>
        </w:rPr>
        <w:t>Ursus</w:t>
      </w:r>
      <w:r>
        <w:rPr>
          <w:color w:val="0D0D0D"/>
          <w:sz w:val="20"/>
          <w:szCs w:val="20"/>
          <w:highlight w:val="white"/>
        </w:rPr>
        <w:t xml:space="preserve"> </w:t>
      </w:r>
      <w:r w:rsidRPr="007579D0">
        <w:rPr>
          <w:i/>
          <w:color w:val="0D0D0D"/>
          <w:sz w:val="20"/>
          <w:szCs w:val="20"/>
          <w:highlight w:val="white"/>
        </w:rPr>
        <w:t>sp.</w:t>
      </w:r>
      <w:r>
        <w:rPr>
          <w:color w:val="0D0D0D"/>
          <w:sz w:val="20"/>
          <w:szCs w:val="20"/>
          <w:highlight w:val="white"/>
        </w:rPr>
        <w:t xml:space="preserve"> (Main Text, Figure 3). High-quality, overlapping spectra from both MaxQuant and PEAKS confirm this variant</w:t>
      </w:r>
      <w:r w:rsidR="00A4542A">
        <w:rPr>
          <w:color w:val="0D0D0D"/>
          <w:sz w:val="20"/>
          <w:szCs w:val="20"/>
          <w:highlight w:val="white"/>
        </w:rPr>
        <w:t xml:space="preserve"> (Figure S3- Figure S6).</w:t>
      </w:r>
    </w:p>
    <w:p w14:paraId="3C5D473B" w14:textId="5624BD1A" w:rsidR="00AB1203" w:rsidRDefault="008507B8" w:rsidP="007579D0">
      <w:pPr>
        <w:spacing w:before="240" w:after="240"/>
        <w:jc w:val="center"/>
        <w:rPr>
          <w:color w:val="0D0D0D"/>
          <w:sz w:val="20"/>
          <w:szCs w:val="20"/>
          <w:highlight w:val="white"/>
        </w:rPr>
      </w:pPr>
      <w:r>
        <w:rPr>
          <w:noProof/>
          <w:color w:val="0D0D0D"/>
          <w:sz w:val="20"/>
          <w:szCs w:val="20"/>
          <w:highlight w:val="white"/>
        </w:rPr>
        <w:drawing>
          <wp:inline distT="0" distB="0" distL="0" distR="0" wp14:anchorId="4EFB9987" wp14:editId="2675AD28">
            <wp:extent cx="4914382" cy="5410200"/>
            <wp:effectExtent l="0" t="0" r="63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8218" cy="5425432"/>
                    </a:xfrm>
                    <a:prstGeom prst="rect">
                      <a:avLst/>
                    </a:prstGeom>
                    <a:noFill/>
                  </pic:spPr>
                </pic:pic>
              </a:graphicData>
            </a:graphic>
          </wp:inline>
        </w:drawing>
      </w:r>
    </w:p>
    <w:p w14:paraId="61827B12" w14:textId="77777777" w:rsidR="00AB1203" w:rsidRDefault="00AB1203" w:rsidP="00AB1203">
      <w:pPr>
        <w:spacing w:before="240" w:after="240"/>
        <w:jc w:val="both"/>
        <w:rPr>
          <w:sz w:val="18"/>
          <w:szCs w:val="18"/>
        </w:rPr>
      </w:pPr>
      <w:r>
        <w:rPr>
          <w:b/>
          <w:bCs/>
          <w:sz w:val="18"/>
          <w:szCs w:val="18"/>
        </w:rPr>
        <w:t>Figure S3.</w:t>
      </w:r>
      <w:r>
        <w:rPr>
          <w:sz w:val="18"/>
          <w:szCs w:val="18"/>
        </w:rPr>
        <w:t xml:space="preserve"> Selection of mass spectra and corresponding fragment ions covering AMBN-249 obtained with MaxQuant from </w:t>
      </w:r>
      <w:r>
        <w:rPr>
          <w:i/>
          <w:iCs/>
          <w:sz w:val="18"/>
          <w:szCs w:val="18"/>
        </w:rPr>
        <w:t>Ursus spelaeus</w:t>
      </w:r>
      <w:r>
        <w:rPr>
          <w:sz w:val="18"/>
          <w:szCs w:val="18"/>
        </w:rPr>
        <w:t xml:space="preserve"> specimens. (A) Sample CT.1. (B) Sample CT.2.</w:t>
      </w:r>
    </w:p>
    <w:p w14:paraId="65B85D2B" w14:textId="729B7FF1" w:rsidR="00AB1203" w:rsidRDefault="0026695C" w:rsidP="0026695C">
      <w:pPr>
        <w:spacing w:before="240" w:after="240"/>
        <w:jc w:val="center"/>
        <w:rPr>
          <w:color w:val="0D0D0D"/>
          <w:sz w:val="20"/>
          <w:szCs w:val="20"/>
          <w:highlight w:val="white"/>
        </w:rPr>
      </w:pPr>
      <w:r>
        <w:rPr>
          <w:noProof/>
          <w:color w:val="0D0D0D"/>
          <w:sz w:val="20"/>
          <w:szCs w:val="20"/>
          <w:highlight w:val="white"/>
        </w:rPr>
        <w:lastRenderedPageBreak/>
        <w:drawing>
          <wp:inline distT="0" distB="0" distL="0" distR="0" wp14:anchorId="0E4C9159" wp14:editId="75665CA4">
            <wp:extent cx="6019185" cy="2219325"/>
            <wp:effectExtent l="0" t="0" r="63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02846" cy="2250172"/>
                    </a:xfrm>
                    <a:prstGeom prst="rect">
                      <a:avLst/>
                    </a:prstGeom>
                    <a:noFill/>
                  </pic:spPr>
                </pic:pic>
              </a:graphicData>
            </a:graphic>
          </wp:inline>
        </w:drawing>
      </w:r>
    </w:p>
    <w:p w14:paraId="2FBD55B9" w14:textId="3313FFDE" w:rsidR="00AB1203" w:rsidRPr="000A200B" w:rsidRDefault="00AB1203" w:rsidP="00AB1203">
      <w:pPr>
        <w:spacing w:before="240" w:after="240"/>
        <w:jc w:val="both"/>
        <w:rPr>
          <w:i/>
          <w:iCs/>
          <w:sz w:val="18"/>
          <w:szCs w:val="18"/>
        </w:rPr>
      </w:pPr>
      <w:r>
        <w:rPr>
          <w:b/>
          <w:bCs/>
          <w:sz w:val="18"/>
          <w:szCs w:val="18"/>
        </w:rPr>
        <w:t>Figure S4.</w:t>
      </w:r>
      <w:r>
        <w:rPr>
          <w:sz w:val="18"/>
          <w:szCs w:val="18"/>
        </w:rPr>
        <w:t xml:space="preserve"> Selection of mass spectra and corresponding fragment ions covering AMBN-249 obtained with MaxQuant in Vis.1 sample </w:t>
      </w:r>
      <w:r>
        <w:rPr>
          <w:i/>
          <w:iCs/>
          <w:sz w:val="18"/>
          <w:szCs w:val="18"/>
        </w:rPr>
        <w:t>Ursus deningeri.</w:t>
      </w:r>
    </w:p>
    <w:p w14:paraId="2D9C3B4F" w14:textId="50E8A787" w:rsidR="00AB1203" w:rsidRDefault="00AB1203" w:rsidP="00AB1203">
      <w:pPr>
        <w:spacing w:before="240" w:after="240"/>
        <w:jc w:val="both"/>
        <w:rPr>
          <w:sz w:val="18"/>
          <w:szCs w:val="18"/>
        </w:rPr>
      </w:pPr>
      <w:r>
        <w:rPr>
          <w:noProof/>
        </w:rPr>
        <w:drawing>
          <wp:inline distT="0" distB="0" distL="0" distR="0" wp14:anchorId="0285EC69" wp14:editId="66CB368F">
            <wp:extent cx="5731510" cy="3048000"/>
            <wp:effectExtent l="0" t="0" r="0" b="0"/>
            <wp:docPr id="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1.png"/>
                    <pic:cNvPicPr>
                      <a:picLocks noChangeAspect="1" noChangeArrowheads="1"/>
                    </pic:cNvPicPr>
                  </pic:nvPicPr>
                  <pic:blipFill>
                    <a:blip r:embed="rId20"/>
                    <a:stretch>
                      <a:fillRect/>
                    </a:stretch>
                  </pic:blipFill>
                  <pic:spPr bwMode="auto">
                    <a:xfrm>
                      <a:off x="0" y="0"/>
                      <a:ext cx="5731510" cy="3048000"/>
                    </a:xfrm>
                    <a:prstGeom prst="rect">
                      <a:avLst/>
                    </a:prstGeom>
                  </pic:spPr>
                </pic:pic>
              </a:graphicData>
            </a:graphic>
          </wp:inline>
        </w:drawing>
      </w:r>
      <w:r>
        <w:rPr>
          <w:b/>
          <w:bCs/>
          <w:sz w:val="18"/>
          <w:szCs w:val="18"/>
        </w:rPr>
        <w:t>Figure S</w:t>
      </w:r>
      <w:r w:rsidR="00A4542A">
        <w:rPr>
          <w:b/>
          <w:bCs/>
          <w:sz w:val="18"/>
          <w:szCs w:val="18"/>
        </w:rPr>
        <w:t>5</w:t>
      </w:r>
      <w:r>
        <w:rPr>
          <w:b/>
          <w:bCs/>
          <w:sz w:val="18"/>
          <w:szCs w:val="18"/>
        </w:rPr>
        <w:t>.</w:t>
      </w:r>
      <w:r>
        <w:rPr>
          <w:sz w:val="18"/>
          <w:szCs w:val="18"/>
        </w:rPr>
        <w:t xml:space="preserve"> Selection of mass spectra and corresponding fragment ions covering AMBN-249 obtained with MaxQuant from </w:t>
      </w:r>
      <w:r>
        <w:rPr>
          <w:i/>
          <w:iCs/>
          <w:sz w:val="18"/>
          <w:szCs w:val="18"/>
        </w:rPr>
        <w:t xml:space="preserve">Ursus deningeri </w:t>
      </w:r>
      <w:r>
        <w:rPr>
          <w:sz w:val="18"/>
          <w:szCs w:val="18"/>
        </w:rPr>
        <w:t xml:space="preserve">specimens. (A) Sample TK.2. (B) Sample TK.1. (C) Sample TK.A3. (D) Sample TK.B5. </w:t>
      </w:r>
    </w:p>
    <w:p w14:paraId="5D9C089C" w14:textId="643BB570" w:rsidR="00AB1203" w:rsidRDefault="00334AB6" w:rsidP="00AB1203">
      <w:pPr>
        <w:spacing w:before="240" w:after="240"/>
        <w:jc w:val="both"/>
        <w:rPr>
          <w:color w:val="0D0D0D"/>
          <w:sz w:val="20"/>
          <w:szCs w:val="20"/>
          <w:highlight w:val="white"/>
        </w:rPr>
      </w:pPr>
      <w:r>
        <w:rPr>
          <w:noProof/>
          <w:color w:val="0D0D0D"/>
          <w:sz w:val="20"/>
          <w:szCs w:val="20"/>
          <w:highlight w:val="white"/>
        </w:rPr>
        <w:drawing>
          <wp:inline distT="0" distB="0" distL="0" distR="0" wp14:anchorId="64105B91" wp14:editId="7940DA22">
            <wp:extent cx="5694045" cy="2242177"/>
            <wp:effectExtent l="0" t="0" r="1905"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8189" cy="2259560"/>
                    </a:xfrm>
                    <a:prstGeom prst="rect">
                      <a:avLst/>
                    </a:prstGeom>
                    <a:noFill/>
                  </pic:spPr>
                </pic:pic>
              </a:graphicData>
            </a:graphic>
          </wp:inline>
        </w:drawing>
      </w:r>
    </w:p>
    <w:p w14:paraId="139DC2D0" w14:textId="5F0CE1A7" w:rsidR="00A4542A" w:rsidRPr="00A4542A" w:rsidRDefault="00AB1203" w:rsidP="00A4542A">
      <w:pPr>
        <w:spacing w:before="240" w:after="240"/>
        <w:jc w:val="both"/>
        <w:rPr>
          <w:sz w:val="18"/>
          <w:szCs w:val="18"/>
        </w:rPr>
      </w:pPr>
      <w:r>
        <w:rPr>
          <w:b/>
          <w:bCs/>
          <w:sz w:val="18"/>
          <w:szCs w:val="18"/>
        </w:rPr>
        <w:lastRenderedPageBreak/>
        <w:t>Figure S</w:t>
      </w:r>
      <w:r w:rsidR="00A4542A">
        <w:rPr>
          <w:b/>
          <w:bCs/>
          <w:sz w:val="18"/>
          <w:szCs w:val="18"/>
        </w:rPr>
        <w:t>6</w:t>
      </w:r>
      <w:r>
        <w:rPr>
          <w:b/>
          <w:bCs/>
          <w:sz w:val="18"/>
          <w:szCs w:val="18"/>
        </w:rPr>
        <w:t>.</w:t>
      </w:r>
      <w:r>
        <w:rPr>
          <w:sz w:val="18"/>
          <w:szCs w:val="18"/>
        </w:rPr>
        <w:t xml:space="preserve"> Selection of mass spectra and corresponding fragment ions covering AMBN-249 obtained with MaxQuant in MC.A3 sample </w:t>
      </w:r>
      <w:r>
        <w:rPr>
          <w:i/>
          <w:iCs/>
          <w:sz w:val="18"/>
          <w:szCs w:val="18"/>
        </w:rPr>
        <w:t>Ursus spelaeus</w:t>
      </w:r>
      <w:r>
        <w:rPr>
          <w:sz w:val="18"/>
          <w:szCs w:val="18"/>
        </w:rPr>
        <w:t>.</w:t>
      </w:r>
    </w:p>
    <w:p w14:paraId="027D9FB0" w14:textId="2CD21C8B" w:rsidR="00AB1203" w:rsidRDefault="00AB1203" w:rsidP="00AB1203">
      <w:pPr>
        <w:spacing w:before="240" w:after="240" w:line="360" w:lineRule="auto"/>
        <w:jc w:val="both"/>
        <w:rPr>
          <w:color w:val="0D0D0D"/>
          <w:sz w:val="20"/>
          <w:szCs w:val="20"/>
          <w:highlight w:val="white"/>
        </w:rPr>
      </w:pPr>
      <w:r>
        <w:rPr>
          <w:color w:val="0D0D0D"/>
          <w:sz w:val="20"/>
          <w:szCs w:val="20"/>
          <w:highlight w:val="white"/>
        </w:rPr>
        <w:t>In addition, two specimens (</w:t>
      </w:r>
      <w:r>
        <w:rPr>
          <w:i/>
          <w:iCs/>
          <w:color w:val="0D0D0D"/>
          <w:sz w:val="20"/>
          <w:szCs w:val="20"/>
          <w:highlight w:val="white"/>
        </w:rPr>
        <w:t>ARO.1</w:t>
      </w:r>
      <w:r>
        <w:rPr>
          <w:color w:val="0D0D0D"/>
          <w:sz w:val="20"/>
          <w:szCs w:val="20"/>
          <w:highlight w:val="white"/>
        </w:rPr>
        <w:t xml:space="preserve"> and </w:t>
      </w:r>
      <w:r>
        <w:rPr>
          <w:i/>
          <w:iCs/>
          <w:color w:val="0D0D0D"/>
          <w:sz w:val="20"/>
          <w:szCs w:val="20"/>
          <w:highlight w:val="white"/>
        </w:rPr>
        <w:t>TD8.J21</w:t>
      </w:r>
      <w:r>
        <w:rPr>
          <w:color w:val="0D0D0D"/>
          <w:sz w:val="20"/>
          <w:szCs w:val="20"/>
          <w:highlight w:val="white"/>
        </w:rPr>
        <w:t>) show evidence of heterozygosity at this position: both the reference and substituted peptide variants were identified within the same individual, with co-occurring spectra supporting true heterozygosity rather than analytical noise. All corresponding spectra are presented below, with annotated ion series confirming each variant.</w:t>
      </w:r>
    </w:p>
    <w:p w14:paraId="442DFB1F" w14:textId="2FA58169" w:rsidR="00BF4158" w:rsidRDefault="00AB1203" w:rsidP="00AB1203">
      <w:pPr>
        <w:spacing w:before="240" w:after="240" w:line="360" w:lineRule="auto"/>
        <w:jc w:val="both"/>
        <w:rPr>
          <w:sz w:val="20"/>
          <w:szCs w:val="20"/>
        </w:rPr>
      </w:pPr>
      <w:r>
        <w:rPr>
          <w:sz w:val="20"/>
          <w:szCs w:val="20"/>
          <w:u w:val="single"/>
        </w:rPr>
        <w:t>Sample TD8.J21</w:t>
      </w:r>
      <w:r>
        <w:rPr>
          <w:sz w:val="20"/>
          <w:szCs w:val="20"/>
        </w:rPr>
        <w:t xml:space="preserve"> from TD8 level in Gran Dolina Site, shows clear evidence of heterozygosity, with both tyrosine (Y) and serine (S, derived state) variants detected. </w:t>
      </w:r>
      <w:r w:rsidR="00BF4158" w:rsidRPr="00BF4158">
        <w:rPr>
          <w:sz w:val="20"/>
          <w:szCs w:val="20"/>
        </w:rPr>
        <w:t>Independent identifications from MaxQuant</w:t>
      </w:r>
      <w:r w:rsidR="005D5038">
        <w:rPr>
          <w:sz w:val="20"/>
          <w:szCs w:val="20"/>
        </w:rPr>
        <w:t xml:space="preserve"> (Figure S</w:t>
      </w:r>
      <w:r w:rsidR="00A4542A">
        <w:rPr>
          <w:sz w:val="20"/>
          <w:szCs w:val="20"/>
        </w:rPr>
        <w:t>7</w:t>
      </w:r>
      <w:r w:rsidR="005D5038">
        <w:rPr>
          <w:sz w:val="20"/>
          <w:szCs w:val="20"/>
        </w:rPr>
        <w:t xml:space="preserve"> and Figure S</w:t>
      </w:r>
      <w:r w:rsidR="00A4542A">
        <w:rPr>
          <w:sz w:val="20"/>
          <w:szCs w:val="20"/>
        </w:rPr>
        <w:t>8</w:t>
      </w:r>
      <w:r w:rsidR="005D5038">
        <w:rPr>
          <w:sz w:val="20"/>
          <w:szCs w:val="20"/>
        </w:rPr>
        <w:t>)</w:t>
      </w:r>
      <w:r w:rsidR="00BF4158" w:rsidRPr="00BF4158">
        <w:rPr>
          <w:sz w:val="20"/>
          <w:szCs w:val="20"/>
        </w:rPr>
        <w:t xml:space="preserve"> and PEAKS</w:t>
      </w:r>
      <w:r w:rsidR="005D5038">
        <w:rPr>
          <w:sz w:val="20"/>
          <w:szCs w:val="20"/>
        </w:rPr>
        <w:t xml:space="preserve"> (Figure S</w:t>
      </w:r>
      <w:r w:rsidR="00A4542A">
        <w:rPr>
          <w:sz w:val="20"/>
          <w:szCs w:val="20"/>
        </w:rPr>
        <w:t>9</w:t>
      </w:r>
      <w:r w:rsidR="005D5038">
        <w:rPr>
          <w:sz w:val="20"/>
          <w:szCs w:val="20"/>
        </w:rPr>
        <w:t>)</w:t>
      </w:r>
      <w:r w:rsidR="00BF4158" w:rsidRPr="00BF4158">
        <w:rPr>
          <w:sz w:val="20"/>
          <w:szCs w:val="20"/>
        </w:rPr>
        <w:t xml:space="preserve"> confirmed the presence of both forms in equal proportions, with peptide-spectrum matches (PSMs) supporting each amino acid at 50%,</w:t>
      </w:r>
      <w:r>
        <w:rPr>
          <w:sz w:val="20"/>
          <w:szCs w:val="20"/>
        </w:rPr>
        <w:t>ruling out analytical noise. Consistent post-translational</w:t>
      </w:r>
      <w:r w:rsidR="00BF4158">
        <w:rPr>
          <w:sz w:val="20"/>
          <w:szCs w:val="20"/>
        </w:rPr>
        <w:t xml:space="preserve"> </w:t>
      </w:r>
      <w:r>
        <w:rPr>
          <w:sz w:val="20"/>
          <w:szCs w:val="20"/>
        </w:rPr>
        <w:t>modifications</w:t>
      </w:r>
      <w:r w:rsidR="00BF4158">
        <w:rPr>
          <w:sz w:val="20"/>
          <w:szCs w:val="20"/>
        </w:rPr>
        <w:t xml:space="preserve"> </w:t>
      </w:r>
      <w:r>
        <w:rPr>
          <w:sz w:val="20"/>
          <w:szCs w:val="20"/>
        </w:rPr>
        <w:t>were observed in spectra of both variants.</w:t>
      </w:r>
    </w:p>
    <w:p w14:paraId="2863CB40" w14:textId="5F540B9D" w:rsidR="00AB1203" w:rsidRDefault="005D5038" w:rsidP="005D5038">
      <w:pPr>
        <w:spacing w:before="240" w:after="240" w:line="360" w:lineRule="auto"/>
        <w:jc w:val="center"/>
      </w:pPr>
      <w:r>
        <w:rPr>
          <w:noProof/>
        </w:rPr>
        <w:drawing>
          <wp:inline distT="0" distB="0" distL="0" distR="0" wp14:anchorId="2560627D" wp14:editId="35B56B6B">
            <wp:extent cx="5993582" cy="3267710"/>
            <wp:effectExtent l="0" t="0" r="7620" b="889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36151" cy="3290919"/>
                    </a:xfrm>
                    <a:prstGeom prst="rect">
                      <a:avLst/>
                    </a:prstGeom>
                    <a:noFill/>
                  </pic:spPr>
                </pic:pic>
              </a:graphicData>
            </a:graphic>
          </wp:inline>
        </w:drawing>
      </w:r>
    </w:p>
    <w:p w14:paraId="17792574" w14:textId="512921C4" w:rsidR="00AB1203" w:rsidRDefault="00AB1203" w:rsidP="00AB1203">
      <w:pPr>
        <w:spacing w:before="240" w:after="240"/>
        <w:jc w:val="both"/>
      </w:pPr>
      <w:r>
        <w:rPr>
          <w:b/>
          <w:bCs/>
          <w:sz w:val="18"/>
          <w:szCs w:val="18"/>
        </w:rPr>
        <w:t>Figure S</w:t>
      </w:r>
      <w:r w:rsidR="00A4542A">
        <w:rPr>
          <w:b/>
          <w:bCs/>
          <w:sz w:val="18"/>
          <w:szCs w:val="18"/>
        </w:rPr>
        <w:t>7</w:t>
      </w:r>
      <w:r>
        <w:rPr>
          <w:b/>
          <w:bCs/>
          <w:sz w:val="18"/>
          <w:szCs w:val="18"/>
        </w:rPr>
        <w:t>.</w:t>
      </w:r>
      <w:r>
        <w:rPr>
          <w:sz w:val="18"/>
          <w:szCs w:val="18"/>
        </w:rPr>
        <w:t xml:space="preserve"> Mass spectra and corresponding fragment ions covering AMBN-249 in TD8.J21 </w:t>
      </w:r>
      <w:r>
        <w:rPr>
          <w:i/>
          <w:iCs/>
          <w:sz w:val="18"/>
          <w:szCs w:val="18"/>
        </w:rPr>
        <w:t>Ursus deningeri</w:t>
      </w:r>
      <w:r>
        <w:rPr>
          <w:sz w:val="18"/>
          <w:szCs w:val="18"/>
        </w:rPr>
        <w:t xml:space="preserve">, obtained with MaxQuant. (A) Peptides containing </w:t>
      </w:r>
      <w:r w:rsidR="005D5038">
        <w:rPr>
          <w:sz w:val="18"/>
          <w:szCs w:val="18"/>
        </w:rPr>
        <w:t>serine (</w:t>
      </w:r>
      <w:r>
        <w:rPr>
          <w:sz w:val="18"/>
          <w:szCs w:val="18"/>
        </w:rPr>
        <w:t>S</w:t>
      </w:r>
      <w:r w:rsidR="005D5038">
        <w:rPr>
          <w:sz w:val="18"/>
          <w:szCs w:val="18"/>
        </w:rPr>
        <w:t>)</w:t>
      </w:r>
      <w:r>
        <w:rPr>
          <w:sz w:val="18"/>
          <w:szCs w:val="18"/>
        </w:rPr>
        <w:t xml:space="preserve">. (B) Peptides containing </w:t>
      </w:r>
      <w:r w:rsidR="005D5038">
        <w:rPr>
          <w:sz w:val="18"/>
          <w:szCs w:val="18"/>
        </w:rPr>
        <w:t>Tyrosine (</w:t>
      </w:r>
      <w:r>
        <w:rPr>
          <w:sz w:val="18"/>
          <w:szCs w:val="18"/>
        </w:rPr>
        <w:t>Y</w:t>
      </w:r>
      <w:r w:rsidR="005D5038">
        <w:rPr>
          <w:sz w:val="18"/>
          <w:szCs w:val="18"/>
        </w:rPr>
        <w:t>)</w:t>
      </w:r>
      <w:r>
        <w:rPr>
          <w:sz w:val="18"/>
          <w:szCs w:val="18"/>
        </w:rPr>
        <w:t>.</w:t>
      </w:r>
    </w:p>
    <w:p w14:paraId="1D9E9D66" w14:textId="77777777" w:rsidR="00AB1203" w:rsidRDefault="00AB1203" w:rsidP="00AB1203">
      <w:pPr>
        <w:spacing w:before="240" w:after="240"/>
        <w:jc w:val="center"/>
      </w:pPr>
      <w:r>
        <w:rPr>
          <w:noProof/>
        </w:rPr>
        <w:lastRenderedPageBreak/>
        <w:drawing>
          <wp:inline distT="0" distB="0" distL="0" distR="0" wp14:anchorId="7F6471CA" wp14:editId="4B6E57AE">
            <wp:extent cx="2446020" cy="2963545"/>
            <wp:effectExtent l="0" t="0" r="0" b="0"/>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a:picLocks noChangeAspect="1" noChangeArrowheads="1"/>
                    </pic:cNvPicPr>
                  </pic:nvPicPr>
                  <pic:blipFill>
                    <a:blip r:embed="rId23"/>
                    <a:stretch>
                      <a:fillRect/>
                    </a:stretch>
                  </pic:blipFill>
                  <pic:spPr bwMode="auto">
                    <a:xfrm>
                      <a:off x="0" y="0"/>
                      <a:ext cx="2446020" cy="2963545"/>
                    </a:xfrm>
                    <a:prstGeom prst="rect">
                      <a:avLst/>
                    </a:prstGeom>
                  </pic:spPr>
                </pic:pic>
              </a:graphicData>
            </a:graphic>
          </wp:inline>
        </w:drawing>
      </w:r>
    </w:p>
    <w:p w14:paraId="690905C1" w14:textId="2A920FC7" w:rsidR="00AB1203" w:rsidRDefault="00AB1203" w:rsidP="00AB1203">
      <w:pPr>
        <w:spacing w:before="240" w:after="240"/>
        <w:jc w:val="both"/>
      </w:pPr>
      <w:r>
        <w:rPr>
          <w:b/>
          <w:bCs/>
          <w:sz w:val="18"/>
          <w:szCs w:val="18"/>
        </w:rPr>
        <w:t>Figure S</w:t>
      </w:r>
      <w:r w:rsidR="00A4542A">
        <w:rPr>
          <w:b/>
          <w:bCs/>
          <w:sz w:val="18"/>
          <w:szCs w:val="18"/>
        </w:rPr>
        <w:t>8</w:t>
      </w:r>
      <w:r>
        <w:rPr>
          <w:b/>
          <w:bCs/>
          <w:sz w:val="18"/>
          <w:szCs w:val="18"/>
        </w:rPr>
        <w:t>.</w:t>
      </w:r>
      <w:r>
        <w:rPr>
          <w:b/>
          <w:bCs/>
          <w:color w:val="222222"/>
          <w:sz w:val="18"/>
          <w:szCs w:val="18"/>
        </w:rPr>
        <w:t xml:space="preserve"> </w:t>
      </w:r>
      <w:r>
        <w:rPr>
          <w:color w:val="222222"/>
          <w:sz w:val="18"/>
          <w:szCs w:val="18"/>
        </w:rPr>
        <w:t>Peptide and fragment-ion coverage of AMBN; position 249 in specimen TD8.J21, marked with a red asterisk.</w:t>
      </w:r>
    </w:p>
    <w:p w14:paraId="1A2EA3B1" w14:textId="5E326CFD" w:rsidR="00AB1203" w:rsidRDefault="00F7609E" w:rsidP="00F7609E">
      <w:pPr>
        <w:spacing w:before="240" w:after="240"/>
        <w:jc w:val="center"/>
      </w:pPr>
      <w:r>
        <w:rPr>
          <w:noProof/>
        </w:rPr>
        <w:drawing>
          <wp:inline distT="0" distB="0" distL="0" distR="0" wp14:anchorId="6E4A10BC" wp14:editId="5001AF97">
            <wp:extent cx="5829300" cy="3326809"/>
            <wp:effectExtent l="0" t="0" r="0" b="698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49374" cy="3338265"/>
                    </a:xfrm>
                    <a:prstGeom prst="rect">
                      <a:avLst/>
                    </a:prstGeom>
                    <a:noFill/>
                  </pic:spPr>
                </pic:pic>
              </a:graphicData>
            </a:graphic>
          </wp:inline>
        </w:drawing>
      </w:r>
    </w:p>
    <w:p w14:paraId="0A4A8A55" w14:textId="7C05CB62" w:rsidR="00AB1203" w:rsidRDefault="00AB1203" w:rsidP="00AB1203">
      <w:pPr>
        <w:spacing w:before="240" w:after="240"/>
        <w:jc w:val="both"/>
        <w:rPr>
          <w:sz w:val="18"/>
          <w:szCs w:val="18"/>
        </w:rPr>
      </w:pPr>
      <w:r>
        <w:rPr>
          <w:b/>
          <w:bCs/>
          <w:sz w:val="18"/>
          <w:szCs w:val="18"/>
        </w:rPr>
        <w:t>Figure S</w:t>
      </w:r>
      <w:r w:rsidR="00A4542A">
        <w:rPr>
          <w:b/>
          <w:bCs/>
          <w:sz w:val="18"/>
          <w:szCs w:val="18"/>
        </w:rPr>
        <w:t>9</w:t>
      </w:r>
      <w:r>
        <w:rPr>
          <w:b/>
          <w:bCs/>
          <w:sz w:val="18"/>
          <w:szCs w:val="18"/>
        </w:rPr>
        <w:t>.</w:t>
      </w:r>
      <w:r>
        <w:rPr>
          <w:sz w:val="18"/>
          <w:szCs w:val="18"/>
        </w:rPr>
        <w:t xml:space="preserve"> Mass spectra covering AMBN-249 in TD8.J21 </w:t>
      </w:r>
      <w:r>
        <w:rPr>
          <w:i/>
          <w:iCs/>
          <w:sz w:val="18"/>
          <w:szCs w:val="18"/>
        </w:rPr>
        <w:t>Ursus deningeri</w:t>
      </w:r>
      <w:r>
        <w:rPr>
          <w:sz w:val="18"/>
          <w:szCs w:val="18"/>
        </w:rPr>
        <w:t xml:space="preserve"> obtained with PEAKS. (A) Unique peptides containing Y. (B) Unique peptides containing S.</w:t>
      </w:r>
    </w:p>
    <w:p w14:paraId="6822AA99" w14:textId="77777777" w:rsidR="00A4542A" w:rsidRDefault="00A4542A" w:rsidP="00AB1203">
      <w:pPr>
        <w:spacing w:before="240" w:after="240" w:line="360" w:lineRule="auto"/>
        <w:jc w:val="both"/>
        <w:rPr>
          <w:sz w:val="20"/>
          <w:szCs w:val="20"/>
          <w:u w:val="single"/>
        </w:rPr>
      </w:pPr>
    </w:p>
    <w:p w14:paraId="68A987DD" w14:textId="5030F41B" w:rsidR="00AB1203" w:rsidRDefault="00AB1203" w:rsidP="00AB1203">
      <w:pPr>
        <w:spacing w:before="240" w:after="240" w:line="360" w:lineRule="auto"/>
        <w:jc w:val="both"/>
        <w:rPr>
          <w:sz w:val="18"/>
          <w:szCs w:val="18"/>
        </w:rPr>
      </w:pPr>
      <w:r>
        <w:rPr>
          <w:sz w:val="20"/>
          <w:szCs w:val="20"/>
          <w:u w:val="single"/>
        </w:rPr>
        <w:t>Sample ARO.1</w:t>
      </w:r>
      <w:r>
        <w:rPr>
          <w:sz w:val="20"/>
          <w:szCs w:val="20"/>
        </w:rPr>
        <w:t xml:space="preserve"> from Aroeira Site, shows tentative evidence for heterozygosity. MaxQuant identified a peptide carrying S, while PEAKS recovered both Y-containing peptides and one additional S peptide supported by a low-quality spectrum</w:t>
      </w:r>
      <w:r w:rsidR="00F7609E">
        <w:rPr>
          <w:sz w:val="20"/>
          <w:szCs w:val="20"/>
        </w:rPr>
        <w:t xml:space="preserve"> (Figure S1</w:t>
      </w:r>
      <w:r w:rsidR="00A4542A">
        <w:rPr>
          <w:sz w:val="20"/>
          <w:szCs w:val="20"/>
        </w:rPr>
        <w:t>0</w:t>
      </w:r>
      <w:r w:rsidR="00F7609E">
        <w:rPr>
          <w:sz w:val="20"/>
          <w:szCs w:val="20"/>
        </w:rPr>
        <w:t>).</w:t>
      </w:r>
      <w:r>
        <w:rPr>
          <w:sz w:val="20"/>
          <w:szCs w:val="20"/>
        </w:rPr>
        <w:t xml:space="preserve"> Although engine-specific discrepancies and limited </w:t>
      </w:r>
      <w:r>
        <w:rPr>
          <w:sz w:val="20"/>
          <w:szCs w:val="20"/>
        </w:rPr>
        <w:lastRenderedPageBreak/>
        <w:t>spectral support caution against over-interpretation, the co-occurrence of Y and S at this site is consistent with putative heterozygosity in this specimen.</w:t>
      </w:r>
    </w:p>
    <w:p w14:paraId="4ACE10D6" w14:textId="3F27D09F" w:rsidR="00AB1203" w:rsidRDefault="00F7609E" w:rsidP="00AB1203">
      <w:pPr>
        <w:spacing w:before="240" w:after="240" w:line="360" w:lineRule="auto"/>
        <w:jc w:val="both"/>
        <w:rPr>
          <w:sz w:val="18"/>
          <w:szCs w:val="18"/>
        </w:rPr>
      </w:pPr>
      <w:r>
        <w:rPr>
          <w:noProof/>
          <w:sz w:val="18"/>
          <w:szCs w:val="18"/>
        </w:rPr>
        <w:drawing>
          <wp:inline distT="0" distB="0" distL="0" distR="0" wp14:anchorId="325FC720" wp14:editId="5FC77899">
            <wp:extent cx="5687719" cy="3819525"/>
            <wp:effectExtent l="0" t="0" r="825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05732" cy="3831621"/>
                    </a:xfrm>
                    <a:prstGeom prst="rect">
                      <a:avLst/>
                    </a:prstGeom>
                    <a:noFill/>
                  </pic:spPr>
                </pic:pic>
              </a:graphicData>
            </a:graphic>
          </wp:inline>
        </w:drawing>
      </w:r>
    </w:p>
    <w:p w14:paraId="731952FD" w14:textId="4371243E" w:rsidR="00AB1203" w:rsidRPr="00245972" w:rsidRDefault="00AB1203" w:rsidP="00245972">
      <w:pPr>
        <w:spacing w:before="240" w:after="240" w:line="240" w:lineRule="auto"/>
        <w:rPr>
          <w:sz w:val="18"/>
          <w:szCs w:val="18"/>
        </w:rPr>
      </w:pPr>
      <w:r>
        <w:rPr>
          <w:b/>
          <w:bCs/>
          <w:sz w:val="18"/>
          <w:szCs w:val="18"/>
        </w:rPr>
        <w:t>Figure S1</w:t>
      </w:r>
      <w:r w:rsidR="009016C2">
        <w:rPr>
          <w:b/>
          <w:bCs/>
          <w:sz w:val="18"/>
          <w:szCs w:val="18"/>
        </w:rPr>
        <w:t>0</w:t>
      </w:r>
      <w:r>
        <w:rPr>
          <w:b/>
          <w:bCs/>
          <w:sz w:val="18"/>
          <w:szCs w:val="18"/>
        </w:rPr>
        <w:t xml:space="preserve">. </w:t>
      </w:r>
      <w:r>
        <w:rPr>
          <w:sz w:val="18"/>
          <w:szCs w:val="18"/>
        </w:rPr>
        <w:t xml:space="preserve">Mass spectra and corresponding fragment ions covering AMBN-249 in ARO.1 </w:t>
      </w:r>
      <w:r>
        <w:rPr>
          <w:i/>
          <w:iCs/>
          <w:sz w:val="18"/>
          <w:szCs w:val="18"/>
        </w:rPr>
        <w:t xml:space="preserve">Ursus deningeri </w:t>
      </w:r>
      <w:r>
        <w:rPr>
          <w:sz w:val="18"/>
          <w:szCs w:val="18"/>
        </w:rPr>
        <w:t>(A) Unique peptides containing S obtained by PEAKS and MaxQuant. (B) Unique peptides containing Y obtained by PEAKS.</w:t>
      </w:r>
    </w:p>
    <w:p w14:paraId="28B84F06" w14:textId="77777777" w:rsidR="006E5152" w:rsidRDefault="006E5152" w:rsidP="00AB1203">
      <w:pPr>
        <w:spacing w:before="240" w:after="240" w:line="240" w:lineRule="auto"/>
        <w:jc w:val="both"/>
        <w:rPr>
          <w:sz w:val="20"/>
          <w:szCs w:val="20"/>
        </w:rPr>
      </w:pPr>
    </w:p>
    <w:p w14:paraId="2D91A055" w14:textId="77777777" w:rsidR="00AB1203" w:rsidRDefault="00AB1203" w:rsidP="00AB1203">
      <w:pPr>
        <w:pStyle w:val="Heading4"/>
        <w:keepNext w:val="0"/>
        <w:keepLines w:val="0"/>
        <w:spacing w:before="240" w:after="40"/>
        <w:rPr>
          <w:b/>
          <w:bCs/>
          <w:color w:val="000000"/>
          <w:sz w:val="20"/>
          <w:szCs w:val="20"/>
        </w:rPr>
      </w:pPr>
      <w:bookmarkStart w:id="10" w:name="_siz786sdzxga"/>
      <w:bookmarkEnd w:id="10"/>
      <w:r>
        <w:rPr>
          <w:rFonts w:ascii="Arial Unicode MS" w:eastAsia="Arial Unicode MS" w:hAnsi="Arial Unicode MS" w:cs="Arial Unicode MS"/>
          <w:b/>
          <w:bCs/>
          <w:color w:val="000000"/>
          <w:sz w:val="20"/>
          <w:szCs w:val="20"/>
        </w:rPr>
        <w:t>II.2.2. SAP AMBN-278 (L→V)</w:t>
      </w:r>
    </w:p>
    <w:p w14:paraId="46C0B06D" w14:textId="256BB16A" w:rsidR="00AB1203" w:rsidRDefault="00AB1203" w:rsidP="00AB1203">
      <w:pPr>
        <w:spacing w:before="240" w:after="40" w:line="360" w:lineRule="auto"/>
        <w:jc w:val="both"/>
        <w:rPr>
          <w:sz w:val="20"/>
          <w:szCs w:val="20"/>
        </w:rPr>
      </w:pPr>
      <w:r>
        <w:rPr>
          <w:sz w:val="20"/>
          <w:szCs w:val="20"/>
        </w:rPr>
        <w:t>The AMBN-278 substitution was identified exclusively in the Sala Fantasma specimen SF30.A</w:t>
      </w:r>
      <w:r w:rsidR="00E522BE">
        <w:rPr>
          <w:sz w:val="20"/>
          <w:szCs w:val="20"/>
        </w:rPr>
        <w:t xml:space="preserve"> (Figure S1</w:t>
      </w:r>
      <w:r w:rsidR="009016C2">
        <w:rPr>
          <w:sz w:val="20"/>
          <w:szCs w:val="20"/>
        </w:rPr>
        <w:t>1</w:t>
      </w:r>
      <w:r w:rsidR="00E522BE">
        <w:rPr>
          <w:sz w:val="20"/>
          <w:szCs w:val="20"/>
        </w:rPr>
        <w:t>).</w:t>
      </w:r>
      <w:r>
        <w:rPr>
          <w:sz w:val="20"/>
          <w:szCs w:val="20"/>
        </w:rPr>
        <w:t xml:space="preserve"> Multiple overlapping peptides from both MaxQuant and PEAKS confirming the presence of a residue change from leucine (L) to valine (V)</w:t>
      </w:r>
      <w:r w:rsidR="00245972">
        <w:rPr>
          <w:sz w:val="20"/>
          <w:szCs w:val="20"/>
        </w:rPr>
        <w:t xml:space="preserve"> (Figure S1</w:t>
      </w:r>
      <w:r w:rsidR="009016C2">
        <w:rPr>
          <w:sz w:val="20"/>
          <w:szCs w:val="20"/>
        </w:rPr>
        <w:t>2</w:t>
      </w:r>
      <w:r w:rsidR="00245972">
        <w:rPr>
          <w:sz w:val="20"/>
          <w:szCs w:val="20"/>
        </w:rPr>
        <w:t xml:space="preserve"> and Figure S1</w:t>
      </w:r>
      <w:r w:rsidR="009016C2">
        <w:rPr>
          <w:sz w:val="20"/>
          <w:szCs w:val="20"/>
        </w:rPr>
        <w:t>3</w:t>
      </w:r>
      <w:r w:rsidR="00245972">
        <w:rPr>
          <w:sz w:val="20"/>
          <w:szCs w:val="20"/>
        </w:rPr>
        <w:t>).</w:t>
      </w:r>
      <w:r>
        <w:rPr>
          <w:sz w:val="20"/>
          <w:szCs w:val="20"/>
        </w:rPr>
        <w:t xml:space="preserve"> </w:t>
      </w:r>
      <w:r w:rsidR="00454425" w:rsidRPr="00454425">
        <w:rPr>
          <w:sz w:val="20"/>
          <w:szCs w:val="20"/>
        </w:rPr>
        <w:t>This substitution could be explained by a single nucleotide change affecting the codon for leucin</w:t>
      </w:r>
      <w:r w:rsidR="00454425">
        <w:rPr>
          <w:sz w:val="20"/>
          <w:szCs w:val="20"/>
        </w:rPr>
        <w:t>e</w:t>
      </w:r>
      <w:r>
        <w:rPr>
          <w:sz w:val="20"/>
          <w:szCs w:val="20"/>
        </w:rPr>
        <w:t xml:space="preserve"> (</w:t>
      </w:r>
      <w:r w:rsidRPr="00245972">
        <w:rPr>
          <w:b/>
          <w:sz w:val="20"/>
          <w:szCs w:val="20"/>
        </w:rPr>
        <w:t>C</w:t>
      </w:r>
      <w:r>
        <w:rPr>
          <w:sz w:val="20"/>
          <w:szCs w:val="20"/>
        </w:rPr>
        <w:t xml:space="preserve">UU, </w:t>
      </w:r>
      <w:r w:rsidRPr="00245972">
        <w:rPr>
          <w:b/>
          <w:sz w:val="20"/>
          <w:szCs w:val="20"/>
        </w:rPr>
        <w:t>C</w:t>
      </w:r>
      <w:r>
        <w:rPr>
          <w:sz w:val="20"/>
          <w:szCs w:val="20"/>
        </w:rPr>
        <w:t xml:space="preserve">UC, </w:t>
      </w:r>
      <w:r w:rsidRPr="00245972">
        <w:rPr>
          <w:b/>
          <w:sz w:val="20"/>
          <w:szCs w:val="20"/>
        </w:rPr>
        <w:t>C</w:t>
      </w:r>
      <w:r>
        <w:rPr>
          <w:sz w:val="20"/>
          <w:szCs w:val="20"/>
        </w:rPr>
        <w:t xml:space="preserve">UA, or </w:t>
      </w:r>
      <w:r w:rsidRPr="00245972">
        <w:rPr>
          <w:b/>
          <w:sz w:val="20"/>
          <w:szCs w:val="20"/>
        </w:rPr>
        <w:t>C</w:t>
      </w:r>
      <w:r>
        <w:rPr>
          <w:sz w:val="20"/>
          <w:szCs w:val="20"/>
        </w:rPr>
        <w:t>UG) into a codon for valine (</w:t>
      </w:r>
      <w:r w:rsidRPr="00245972">
        <w:rPr>
          <w:b/>
          <w:sz w:val="20"/>
          <w:szCs w:val="20"/>
        </w:rPr>
        <w:t>G</w:t>
      </w:r>
      <w:r>
        <w:rPr>
          <w:sz w:val="20"/>
          <w:szCs w:val="20"/>
        </w:rPr>
        <w:t xml:space="preserve">UU, </w:t>
      </w:r>
      <w:r w:rsidRPr="00245972">
        <w:rPr>
          <w:b/>
          <w:sz w:val="20"/>
          <w:szCs w:val="20"/>
        </w:rPr>
        <w:t>G</w:t>
      </w:r>
      <w:r>
        <w:rPr>
          <w:sz w:val="20"/>
          <w:szCs w:val="20"/>
        </w:rPr>
        <w:t xml:space="preserve">UC, </w:t>
      </w:r>
      <w:r w:rsidRPr="00245972">
        <w:rPr>
          <w:b/>
          <w:sz w:val="20"/>
          <w:szCs w:val="20"/>
        </w:rPr>
        <w:t>G</w:t>
      </w:r>
      <w:r>
        <w:rPr>
          <w:sz w:val="20"/>
          <w:szCs w:val="20"/>
        </w:rPr>
        <w:t xml:space="preserve">UA, or </w:t>
      </w:r>
      <w:r w:rsidRPr="00245972">
        <w:rPr>
          <w:b/>
          <w:sz w:val="20"/>
          <w:szCs w:val="20"/>
        </w:rPr>
        <w:t>G</w:t>
      </w:r>
      <w:r>
        <w:rPr>
          <w:sz w:val="20"/>
          <w:szCs w:val="20"/>
        </w:rPr>
        <w:t>UG), consistent with a transversion at the first nucleotide position. Both L and V are hydrophobic and nonpolar, suggesting that this substitution is unlikely to drastically alter the protein’s structure or function.</w:t>
      </w:r>
      <w:r w:rsidR="00454425">
        <w:rPr>
          <w:sz w:val="20"/>
          <w:szCs w:val="20"/>
        </w:rPr>
        <w:t xml:space="preserve"> </w:t>
      </w:r>
    </w:p>
    <w:p w14:paraId="693D0D60" w14:textId="77777777" w:rsidR="00AB1203" w:rsidRDefault="00AB1203" w:rsidP="00AB1203">
      <w:pPr>
        <w:spacing w:before="240" w:after="240"/>
        <w:jc w:val="both"/>
        <w:rPr>
          <w:sz w:val="18"/>
          <w:szCs w:val="18"/>
        </w:rPr>
      </w:pPr>
      <w:r>
        <w:rPr>
          <w:noProof/>
        </w:rPr>
        <w:drawing>
          <wp:inline distT="0" distB="0" distL="0" distR="0" wp14:anchorId="30E32EE1" wp14:editId="2132005F">
            <wp:extent cx="5698913" cy="1335051"/>
            <wp:effectExtent l="0" t="0" r="0" b="0"/>
            <wp:docPr id="1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5.png"/>
                    <pic:cNvPicPr>
                      <a:picLocks noChangeAspect="1" noChangeArrowheads="1"/>
                    </pic:cNvPicPr>
                  </pic:nvPicPr>
                  <pic:blipFill>
                    <a:blip r:embed="rId26"/>
                    <a:stretch>
                      <a:fillRect/>
                    </a:stretch>
                  </pic:blipFill>
                  <pic:spPr bwMode="auto">
                    <a:xfrm>
                      <a:off x="0" y="0"/>
                      <a:ext cx="5930841" cy="1389383"/>
                    </a:xfrm>
                    <a:prstGeom prst="rect">
                      <a:avLst/>
                    </a:prstGeom>
                  </pic:spPr>
                </pic:pic>
              </a:graphicData>
            </a:graphic>
          </wp:inline>
        </w:drawing>
      </w:r>
    </w:p>
    <w:p w14:paraId="66371C86" w14:textId="760DF6ED" w:rsidR="00AB1203" w:rsidRDefault="00AB1203" w:rsidP="00AB1203">
      <w:pPr>
        <w:spacing w:before="240" w:after="240"/>
        <w:jc w:val="both"/>
        <w:rPr>
          <w:sz w:val="20"/>
          <w:szCs w:val="20"/>
        </w:rPr>
      </w:pPr>
      <w:r>
        <w:rPr>
          <w:b/>
          <w:bCs/>
          <w:sz w:val="18"/>
          <w:szCs w:val="18"/>
        </w:rPr>
        <w:lastRenderedPageBreak/>
        <w:t>Figure S1</w:t>
      </w:r>
      <w:r w:rsidR="009016C2">
        <w:rPr>
          <w:b/>
          <w:bCs/>
          <w:sz w:val="18"/>
          <w:szCs w:val="18"/>
        </w:rPr>
        <w:t>1</w:t>
      </w:r>
      <w:r>
        <w:rPr>
          <w:b/>
          <w:bCs/>
          <w:sz w:val="18"/>
          <w:szCs w:val="18"/>
        </w:rPr>
        <w:t>.</w:t>
      </w:r>
      <w:r>
        <w:rPr>
          <w:sz w:val="18"/>
          <w:szCs w:val="18"/>
        </w:rPr>
        <w:t xml:space="preserve"> Multiple sequence alignment of the ameloblastin (AMBN) protein generated with </w:t>
      </w:r>
      <w:proofErr w:type="spellStart"/>
      <w:r>
        <w:rPr>
          <w:sz w:val="18"/>
          <w:szCs w:val="18"/>
        </w:rPr>
        <w:t>Jalview</w:t>
      </w:r>
      <w:proofErr w:type="spellEnd"/>
      <w:r>
        <w:rPr>
          <w:sz w:val="18"/>
          <w:szCs w:val="18"/>
        </w:rPr>
        <w:t xml:space="preserve"> using the comparative dataset, showing the variable positions AMBN-249 and AMBN-278, with the latter highlighted by a red asterisk.</w:t>
      </w:r>
    </w:p>
    <w:p w14:paraId="6B4E3C29" w14:textId="77777777" w:rsidR="00AB1203" w:rsidRDefault="00AB1203" w:rsidP="00AB1203">
      <w:pPr>
        <w:spacing w:before="240" w:after="240"/>
        <w:jc w:val="center"/>
        <w:rPr>
          <w:sz w:val="18"/>
          <w:szCs w:val="18"/>
        </w:rPr>
      </w:pPr>
      <w:r>
        <w:rPr>
          <w:noProof/>
        </w:rPr>
        <w:drawing>
          <wp:inline distT="0" distB="0" distL="0" distR="0" wp14:anchorId="51B7ECA3" wp14:editId="736CCC62">
            <wp:extent cx="5856514" cy="4070097"/>
            <wp:effectExtent l="0" t="0" r="0" b="6985"/>
            <wp:docPr id="1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a:picLocks noChangeAspect="1" noChangeArrowheads="1"/>
                    </pic:cNvPicPr>
                  </pic:nvPicPr>
                  <pic:blipFill>
                    <a:blip r:embed="rId27"/>
                    <a:stretch>
                      <a:fillRect/>
                    </a:stretch>
                  </pic:blipFill>
                  <pic:spPr bwMode="auto">
                    <a:xfrm>
                      <a:off x="0" y="0"/>
                      <a:ext cx="5889468" cy="4092999"/>
                    </a:xfrm>
                    <a:prstGeom prst="rect">
                      <a:avLst/>
                    </a:prstGeom>
                  </pic:spPr>
                </pic:pic>
              </a:graphicData>
            </a:graphic>
          </wp:inline>
        </w:drawing>
      </w:r>
    </w:p>
    <w:p w14:paraId="0B764949" w14:textId="74077043" w:rsidR="00AB1203" w:rsidRDefault="00AB1203" w:rsidP="00AB1203">
      <w:pPr>
        <w:spacing w:before="240" w:after="240"/>
        <w:jc w:val="both"/>
        <w:rPr>
          <w:sz w:val="18"/>
          <w:szCs w:val="18"/>
        </w:rPr>
      </w:pPr>
      <w:r>
        <w:rPr>
          <w:b/>
          <w:bCs/>
          <w:sz w:val="18"/>
          <w:szCs w:val="18"/>
        </w:rPr>
        <w:t>Figure S1</w:t>
      </w:r>
      <w:r w:rsidR="009016C2">
        <w:rPr>
          <w:b/>
          <w:bCs/>
          <w:sz w:val="18"/>
          <w:szCs w:val="18"/>
        </w:rPr>
        <w:t>2</w:t>
      </w:r>
      <w:r>
        <w:rPr>
          <w:b/>
          <w:bCs/>
          <w:sz w:val="18"/>
          <w:szCs w:val="18"/>
        </w:rPr>
        <w:t>.</w:t>
      </w:r>
      <w:r>
        <w:rPr>
          <w:sz w:val="18"/>
          <w:szCs w:val="18"/>
        </w:rPr>
        <w:t xml:space="preserve"> Mass spectra and corresponding fragment ions covering AMBN-278 in SF30.A </w:t>
      </w:r>
      <w:r>
        <w:rPr>
          <w:i/>
          <w:iCs/>
          <w:sz w:val="18"/>
          <w:szCs w:val="18"/>
        </w:rPr>
        <w:t>Ursus sp.</w:t>
      </w:r>
      <w:r>
        <w:rPr>
          <w:sz w:val="18"/>
          <w:szCs w:val="18"/>
        </w:rPr>
        <w:t xml:space="preserve"> using MaxQuant, highlighted by a red asterisk.</w:t>
      </w:r>
    </w:p>
    <w:p w14:paraId="77AEF8F4" w14:textId="77777777" w:rsidR="00245972" w:rsidRDefault="00245972" w:rsidP="00AB1203">
      <w:pPr>
        <w:spacing w:before="240" w:after="240"/>
        <w:jc w:val="both"/>
        <w:rPr>
          <w:sz w:val="18"/>
          <w:szCs w:val="18"/>
        </w:rPr>
      </w:pPr>
    </w:p>
    <w:p w14:paraId="53E6331C" w14:textId="77777777" w:rsidR="00AB1203" w:rsidRDefault="00AB1203" w:rsidP="00AB1203">
      <w:pPr>
        <w:spacing w:before="240" w:after="240"/>
        <w:jc w:val="center"/>
        <w:rPr>
          <w:sz w:val="18"/>
          <w:szCs w:val="18"/>
        </w:rPr>
      </w:pPr>
      <w:r>
        <w:rPr>
          <w:noProof/>
        </w:rPr>
        <w:drawing>
          <wp:inline distT="0" distB="0" distL="0" distR="0" wp14:anchorId="05B6EE0C" wp14:editId="55D6FD41">
            <wp:extent cx="3068320" cy="2761615"/>
            <wp:effectExtent l="0" t="0" r="0" b="0"/>
            <wp:docPr id="1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9.png"/>
                    <pic:cNvPicPr>
                      <a:picLocks noChangeAspect="1" noChangeArrowheads="1"/>
                    </pic:cNvPicPr>
                  </pic:nvPicPr>
                  <pic:blipFill>
                    <a:blip r:embed="rId28"/>
                    <a:stretch>
                      <a:fillRect/>
                    </a:stretch>
                  </pic:blipFill>
                  <pic:spPr bwMode="auto">
                    <a:xfrm>
                      <a:off x="0" y="0"/>
                      <a:ext cx="3068320" cy="2761615"/>
                    </a:xfrm>
                    <a:prstGeom prst="rect">
                      <a:avLst/>
                    </a:prstGeom>
                  </pic:spPr>
                </pic:pic>
              </a:graphicData>
            </a:graphic>
          </wp:inline>
        </w:drawing>
      </w:r>
    </w:p>
    <w:p w14:paraId="55B0C021" w14:textId="7BA0D149" w:rsidR="00245972" w:rsidRPr="00245972" w:rsidRDefault="00AB1203" w:rsidP="00AB1203">
      <w:pPr>
        <w:spacing w:before="240" w:after="240"/>
        <w:jc w:val="both"/>
        <w:rPr>
          <w:color w:val="222222"/>
          <w:sz w:val="18"/>
          <w:szCs w:val="18"/>
        </w:rPr>
      </w:pPr>
      <w:r>
        <w:rPr>
          <w:b/>
          <w:bCs/>
          <w:color w:val="222222"/>
          <w:sz w:val="18"/>
          <w:szCs w:val="18"/>
        </w:rPr>
        <w:t>Figure S1</w:t>
      </w:r>
      <w:r w:rsidR="009016C2">
        <w:rPr>
          <w:b/>
          <w:bCs/>
          <w:color w:val="222222"/>
          <w:sz w:val="18"/>
          <w:szCs w:val="18"/>
        </w:rPr>
        <w:t>3</w:t>
      </w:r>
      <w:r>
        <w:rPr>
          <w:b/>
          <w:bCs/>
          <w:color w:val="222222"/>
          <w:sz w:val="18"/>
          <w:szCs w:val="18"/>
        </w:rPr>
        <w:t xml:space="preserve">. </w:t>
      </w:r>
      <w:r>
        <w:rPr>
          <w:color w:val="222222"/>
          <w:sz w:val="18"/>
          <w:szCs w:val="18"/>
        </w:rPr>
        <w:t>Peptide and fragment-ion coverage of AMBN; position 278 in specimen SF30.A (</w:t>
      </w:r>
      <w:r>
        <w:rPr>
          <w:i/>
          <w:iCs/>
          <w:color w:val="222222"/>
          <w:sz w:val="18"/>
          <w:szCs w:val="18"/>
        </w:rPr>
        <w:t>Ursus</w:t>
      </w:r>
      <w:r>
        <w:rPr>
          <w:color w:val="222222"/>
          <w:sz w:val="18"/>
          <w:szCs w:val="18"/>
        </w:rPr>
        <w:t xml:space="preserve"> sp.) marked with a red asterisk.</w:t>
      </w:r>
    </w:p>
    <w:p w14:paraId="451E8BF4" w14:textId="77777777" w:rsidR="00AB1203" w:rsidRDefault="00AB1203" w:rsidP="00AB1203">
      <w:pPr>
        <w:pStyle w:val="Heading4"/>
        <w:spacing w:before="240" w:after="240"/>
        <w:rPr>
          <w:b/>
          <w:bCs/>
          <w:color w:val="000000"/>
          <w:sz w:val="20"/>
          <w:szCs w:val="20"/>
        </w:rPr>
      </w:pPr>
      <w:bookmarkStart w:id="11" w:name="_89hy55ollmv5"/>
      <w:bookmarkEnd w:id="11"/>
      <w:r>
        <w:rPr>
          <w:rFonts w:ascii="Arial Unicode MS" w:eastAsia="Arial Unicode MS" w:hAnsi="Arial Unicode MS" w:cs="Arial Unicode MS"/>
          <w:b/>
          <w:bCs/>
          <w:color w:val="000000"/>
          <w:sz w:val="20"/>
          <w:szCs w:val="20"/>
        </w:rPr>
        <w:lastRenderedPageBreak/>
        <w:t>II.2.3. SAP SERPINA1-341 (N→T)</w:t>
      </w:r>
    </w:p>
    <w:p w14:paraId="3FEBF2B2" w14:textId="3FFB9FFB" w:rsidR="00AB1203" w:rsidRDefault="00AB1203" w:rsidP="00AB1203">
      <w:pPr>
        <w:spacing w:before="240" w:after="240" w:line="360" w:lineRule="auto"/>
        <w:jc w:val="both"/>
        <w:rPr>
          <w:sz w:val="20"/>
          <w:szCs w:val="20"/>
        </w:rPr>
      </w:pPr>
      <w:r>
        <w:rPr>
          <w:rFonts w:ascii="Arial Unicode MS" w:eastAsia="Arial Unicode MS" w:hAnsi="Arial Unicode MS" w:cs="Arial Unicode MS"/>
          <w:sz w:val="20"/>
          <w:szCs w:val="20"/>
        </w:rPr>
        <w:t>The substitution at SERPINA1-341 [asparagine (N) → threonine (T)],  is widespread among Middle and Late Pleistocene</w:t>
      </w:r>
      <w:r>
        <w:rPr>
          <w:i/>
          <w:iCs/>
          <w:sz w:val="20"/>
          <w:szCs w:val="20"/>
        </w:rPr>
        <w:t xml:space="preserve"> U. deningeri, U. spelaeus</w:t>
      </w:r>
      <w:r>
        <w:rPr>
          <w:sz w:val="20"/>
          <w:szCs w:val="20"/>
        </w:rPr>
        <w:t xml:space="preserve">, and several </w:t>
      </w:r>
      <w:r>
        <w:rPr>
          <w:i/>
          <w:iCs/>
          <w:sz w:val="20"/>
          <w:szCs w:val="20"/>
        </w:rPr>
        <w:t>Ursus</w:t>
      </w:r>
      <w:r>
        <w:rPr>
          <w:sz w:val="20"/>
          <w:szCs w:val="20"/>
        </w:rPr>
        <w:t xml:space="preserve"> sp. individuals, as well as one </w:t>
      </w:r>
      <w:r>
        <w:rPr>
          <w:i/>
          <w:iCs/>
          <w:sz w:val="20"/>
          <w:szCs w:val="20"/>
        </w:rPr>
        <w:t>U. arctos</w:t>
      </w:r>
      <w:r>
        <w:rPr>
          <w:sz w:val="20"/>
          <w:szCs w:val="20"/>
        </w:rPr>
        <w:t>. Early Pleistocene specimens consistently retain the N. High-confidence spectra from both search engines confirm the substitution</w:t>
      </w:r>
      <w:r w:rsidR="00776879">
        <w:rPr>
          <w:sz w:val="20"/>
          <w:szCs w:val="20"/>
        </w:rPr>
        <w:t xml:space="preserve"> (Figure S14- S17)</w:t>
      </w:r>
      <w:r w:rsidR="00953A02">
        <w:rPr>
          <w:sz w:val="20"/>
          <w:szCs w:val="20"/>
        </w:rPr>
        <w:t>.</w:t>
      </w:r>
    </w:p>
    <w:p w14:paraId="59CA7572" w14:textId="14834984" w:rsidR="00AB1203" w:rsidRDefault="00024007" w:rsidP="00953A02">
      <w:pPr>
        <w:spacing w:before="240" w:after="240"/>
        <w:jc w:val="center"/>
        <w:rPr>
          <w:sz w:val="20"/>
          <w:szCs w:val="20"/>
        </w:rPr>
      </w:pPr>
      <w:r>
        <w:rPr>
          <w:noProof/>
          <w:sz w:val="20"/>
          <w:szCs w:val="20"/>
        </w:rPr>
        <w:drawing>
          <wp:inline distT="0" distB="0" distL="0" distR="0" wp14:anchorId="126E2ED8" wp14:editId="3EC9B135">
            <wp:extent cx="5715000" cy="4301666"/>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2912" cy="4315149"/>
                    </a:xfrm>
                    <a:prstGeom prst="rect">
                      <a:avLst/>
                    </a:prstGeom>
                    <a:noFill/>
                  </pic:spPr>
                </pic:pic>
              </a:graphicData>
            </a:graphic>
          </wp:inline>
        </w:drawing>
      </w:r>
    </w:p>
    <w:p w14:paraId="47088E00" w14:textId="640AAC89" w:rsidR="00AB1203" w:rsidRDefault="00AB1203" w:rsidP="00AB1203">
      <w:pPr>
        <w:spacing w:before="240" w:after="240"/>
        <w:jc w:val="both"/>
        <w:rPr>
          <w:sz w:val="18"/>
          <w:szCs w:val="18"/>
        </w:rPr>
      </w:pPr>
      <w:r>
        <w:rPr>
          <w:b/>
          <w:bCs/>
          <w:sz w:val="18"/>
          <w:szCs w:val="18"/>
        </w:rPr>
        <w:t>Figure S1</w:t>
      </w:r>
      <w:r w:rsidR="00776879">
        <w:rPr>
          <w:b/>
          <w:bCs/>
          <w:sz w:val="18"/>
          <w:szCs w:val="18"/>
        </w:rPr>
        <w:t>4</w:t>
      </w:r>
      <w:r>
        <w:rPr>
          <w:b/>
          <w:bCs/>
          <w:sz w:val="18"/>
          <w:szCs w:val="18"/>
        </w:rPr>
        <w:t>.</w:t>
      </w:r>
      <w:r>
        <w:rPr>
          <w:sz w:val="18"/>
          <w:szCs w:val="18"/>
        </w:rPr>
        <w:t xml:space="preserve"> Mass spectra and corresponding fragment ions covering SERPINA1-341 in TD10.4.J11 </w:t>
      </w:r>
      <w:r>
        <w:rPr>
          <w:i/>
          <w:iCs/>
          <w:sz w:val="18"/>
          <w:szCs w:val="18"/>
        </w:rPr>
        <w:t>Ursus deningeri.</w:t>
      </w:r>
      <w:r>
        <w:rPr>
          <w:sz w:val="18"/>
          <w:szCs w:val="18"/>
        </w:rPr>
        <w:t xml:space="preserve"> (A) Unique peptides containing Threonine obtained by MaxQuant. (B) Unique peptides containing Threonine obtained by PEAKS.</w:t>
      </w:r>
    </w:p>
    <w:p w14:paraId="0889F54A" w14:textId="67BB6020" w:rsidR="00953A02" w:rsidRDefault="00953A02" w:rsidP="00953A02">
      <w:pPr>
        <w:spacing w:before="240" w:after="240"/>
        <w:jc w:val="center"/>
        <w:rPr>
          <w:sz w:val="20"/>
          <w:szCs w:val="20"/>
        </w:rPr>
      </w:pPr>
      <w:r>
        <w:rPr>
          <w:noProof/>
          <w:sz w:val="20"/>
          <w:szCs w:val="20"/>
        </w:rPr>
        <w:drawing>
          <wp:inline distT="0" distB="0" distL="0" distR="0" wp14:anchorId="2CEE43A4" wp14:editId="0D1E4B5A">
            <wp:extent cx="4586036" cy="2362200"/>
            <wp:effectExtent l="0" t="0" r="508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36284" cy="2388082"/>
                    </a:xfrm>
                    <a:prstGeom prst="rect">
                      <a:avLst/>
                    </a:prstGeom>
                    <a:noFill/>
                  </pic:spPr>
                </pic:pic>
              </a:graphicData>
            </a:graphic>
          </wp:inline>
        </w:drawing>
      </w:r>
    </w:p>
    <w:p w14:paraId="1A639A26" w14:textId="3A13E320" w:rsidR="00953A02" w:rsidRDefault="00953A02" w:rsidP="00953A02">
      <w:pPr>
        <w:spacing w:before="240" w:after="240"/>
        <w:jc w:val="both"/>
        <w:rPr>
          <w:sz w:val="18"/>
          <w:szCs w:val="18"/>
        </w:rPr>
      </w:pPr>
      <w:r>
        <w:rPr>
          <w:b/>
          <w:bCs/>
          <w:sz w:val="18"/>
          <w:szCs w:val="18"/>
        </w:rPr>
        <w:lastRenderedPageBreak/>
        <w:t>Figure S15.</w:t>
      </w:r>
      <w:r>
        <w:rPr>
          <w:sz w:val="18"/>
          <w:szCs w:val="18"/>
        </w:rPr>
        <w:t xml:space="preserve"> Mass spectra and corresponding fragment ions covering SERPINA1-341 in Vis.1 </w:t>
      </w:r>
      <w:r>
        <w:rPr>
          <w:i/>
          <w:iCs/>
          <w:sz w:val="18"/>
          <w:szCs w:val="18"/>
        </w:rPr>
        <w:t xml:space="preserve">Ursus deningeri </w:t>
      </w:r>
      <w:r>
        <w:rPr>
          <w:sz w:val="18"/>
          <w:szCs w:val="18"/>
        </w:rPr>
        <w:t>specimen using MaxQuant.</w:t>
      </w:r>
    </w:p>
    <w:p w14:paraId="27FD0FA7" w14:textId="500522FC" w:rsidR="00953A02" w:rsidRDefault="00953A02" w:rsidP="00953A02">
      <w:pPr>
        <w:spacing w:before="240" w:after="240"/>
        <w:jc w:val="center"/>
        <w:rPr>
          <w:sz w:val="20"/>
          <w:szCs w:val="20"/>
        </w:rPr>
      </w:pPr>
      <w:r>
        <w:rPr>
          <w:noProof/>
          <w:sz w:val="20"/>
          <w:szCs w:val="20"/>
        </w:rPr>
        <w:drawing>
          <wp:inline distT="0" distB="0" distL="0" distR="0" wp14:anchorId="40500695" wp14:editId="49DD7603">
            <wp:extent cx="5627370" cy="65595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27370" cy="6559550"/>
                    </a:xfrm>
                    <a:prstGeom prst="rect">
                      <a:avLst/>
                    </a:prstGeom>
                    <a:noFill/>
                  </pic:spPr>
                </pic:pic>
              </a:graphicData>
            </a:graphic>
          </wp:inline>
        </w:drawing>
      </w:r>
    </w:p>
    <w:p w14:paraId="5F05E380" w14:textId="1F846D14" w:rsidR="00AB1203" w:rsidRDefault="00AB1203" w:rsidP="00AB1203">
      <w:pPr>
        <w:spacing w:before="240" w:after="240"/>
        <w:jc w:val="both"/>
        <w:rPr>
          <w:sz w:val="18"/>
          <w:szCs w:val="18"/>
        </w:rPr>
      </w:pPr>
      <w:r>
        <w:rPr>
          <w:b/>
          <w:bCs/>
          <w:sz w:val="18"/>
          <w:szCs w:val="18"/>
        </w:rPr>
        <w:t>Figure S1</w:t>
      </w:r>
      <w:r w:rsidR="00953A02">
        <w:rPr>
          <w:b/>
          <w:bCs/>
          <w:sz w:val="18"/>
          <w:szCs w:val="18"/>
        </w:rPr>
        <w:t>6</w:t>
      </w:r>
      <w:r>
        <w:rPr>
          <w:b/>
          <w:bCs/>
          <w:sz w:val="18"/>
          <w:szCs w:val="18"/>
        </w:rPr>
        <w:t xml:space="preserve">. </w:t>
      </w:r>
      <w:r>
        <w:rPr>
          <w:sz w:val="18"/>
          <w:szCs w:val="18"/>
        </w:rPr>
        <w:t xml:space="preserve">Selection of mass spectra and corresponding fragment ions covering SERPINA1-341 obtained with MaxQuant from </w:t>
      </w:r>
      <w:r>
        <w:rPr>
          <w:i/>
          <w:iCs/>
          <w:sz w:val="18"/>
          <w:szCs w:val="18"/>
        </w:rPr>
        <w:t xml:space="preserve">Ursus spelaeus </w:t>
      </w:r>
      <w:r>
        <w:rPr>
          <w:sz w:val="18"/>
          <w:szCs w:val="18"/>
        </w:rPr>
        <w:t>specimens. (A) Sample EA.3. (B) Sample Ed.1. (C) Sample EG.1. (D) Sample EJ.1.</w:t>
      </w:r>
    </w:p>
    <w:p w14:paraId="7FF5955D" w14:textId="77777777" w:rsidR="00AB1203" w:rsidRDefault="00AB1203" w:rsidP="00AB1203">
      <w:pPr>
        <w:spacing w:before="240" w:after="240"/>
        <w:jc w:val="both"/>
        <w:rPr>
          <w:sz w:val="18"/>
          <w:szCs w:val="18"/>
        </w:rPr>
      </w:pPr>
    </w:p>
    <w:p w14:paraId="0B701842" w14:textId="10CD4EDA" w:rsidR="00AB1203" w:rsidRDefault="00AB1203" w:rsidP="00AB1203">
      <w:pPr>
        <w:spacing w:before="240" w:after="240"/>
        <w:jc w:val="center"/>
        <w:rPr>
          <w:sz w:val="20"/>
          <w:szCs w:val="20"/>
        </w:rPr>
      </w:pPr>
    </w:p>
    <w:p w14:paraId="73CDCBE9" w14:textId="3EADB74A" w:rsidR="00AB1203" w:rsidRDefault="00E522BE" w:rsidP="00AB1203">
      <w:pPr>
        <w:spacing w:before="240" w:after="240"/>
        <w:jc w:val="center"/>
        <w:rPr>
          <w:sz w:val="20"/>
          <w:szCs w:val="20"/>
        </w:rPr>
      </w:pPr>
      <w:r>
        <w:rPr>
          <w:noProof/>
          <w:sz w:val="20"/>
          <w:szCs w:val="20"/>
        </w:rPr>
        <w:lastRenderedPageBreak/>
        <w:drawing>
          <wp:inline distT="0" distB="0" distL="0" distR="0" wp14:anchorId="2451A500" wp14:editId="03A727C7">
            <wp:extent cx="5621020" cy="585279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21020" cy="5852795"/>
                    </a:xfrm>
                    <a:prstGeom prst="rect">
                      <a:avLst/>
                    </a:prstGeom>
                    <a:noFill/>
                  </pic:spPr>
                </pic:pic>
              </a:graphicData>
            </a:graphic>
          </wp:inline>
        </w:drawing>
      </w:r>
    </w:p>
    <w:p w14:paraId="39149C36" w14:textId="75D10930" w:rsidR="00AB1203" w:rsidRDefault="00AB1203" w:rsidP="00AB1203">
      <w:pPr>
        <w:spacing w:before="240" w:after="240"/>
        <w:jc w:val="both"/>
        <w:rPr>
          <w:sz w:val="18"/>
          <w:szCs w:val="18"/>
        </w:rPr>
      </w:pPr>
      <w:r>
        <w:rPr>
          <w:b/>
          <w:bCs/>
          <w:sz w:val="18"/>
          <w:szCs w:val="18"/>
        </w:rPr>
        <w:t>Figure S1</w:t>
      </w:r>
      <w:r w:rsidR="00776879">
        <w:rPr>
          <w:b/>
          <w:bCs/>
          <w:sz w:val="18"/>
          <w:szCs w:val="18"/>
        </w:rPr>
        <w:t>7</w:t>
      </w:r>
      <w:r>
        <w:rPr>
          <w:b/>
          <w:bCs/>
          <w:sz w:val="18"/>
          <w:szCs w:val="18"/>
        </w:rPr>
        <w:t>.</w:t>
      </w:r>
      <w:r>
        <w:rPr>
          <w:sz w:val="18"/>
          <w:szCs w:val="18"/>
        </w:rPr>
        <w:t xml:space="preserve"> Selection of mass spectra and corresponding fragment ions covering SERPINA1-341 obtained with MaxQuant from </w:t>
      </w:r>
      <w:r>
        <w:rPr>
          <w:i/>
          <w:iCs/>
          <w:sz w:val="18"/>
          <w:szCs w:val="18"/>
        </w:rPr>
        <w:t>Ursus deningeri</w:t>
      </w:r>
      <w:r>
        <w:rPr>
          <w:sz w:val="18"/>
          <w:szCs w:val="18"/>
        </w:rPr>
        <w:t xml:space="preserve"> specimens. (A) Sample SH.T18.L17. (B) Sample SH.Q20.F105. (C) Sample SH.T18.L75. (D) Sample SH.T16G.</w:t>
      </w:r>
    </w:p>
    <w:p w14:paraId="66B9931D" w14:textId="14D5456C" w:rsidR="00AB1203" w:rsidRDefault="00AB1203" w:rsidP="00AB1203">
      <w:pPr>
        <w:spacing w:before="240" w:after="240" w:line="360" w:lineRule="auto"/>
        <w:jc w:val="both"/>
        <w:rPr>
          <w:sz w:val="20"/>
          <w:szCs w:val="20"/>
        </w:rPr>
      </w:pPr>
      <w:r>
        <w:rPr>
          <w:sz w:val="20"/>
          <w:szCs w:val="20"/>
        </w:rPr>
        <w:t xml:space="preserve">The Monte Cucco </w:t>
      </w:r>
      <w:r>
        <w:rPr>
          <w:i/>
          <w:iCs/>
          <w:sz w:val="20"/>
          <w:szCs w:val="20"/>
        </w:rPr>
        <w:t>Ursus</w:t>
      </w:r>
      <w:r>
        <w:rPr>
          <w:sz w:val="20"/>
          <w:szCs w:val="20"/>
        </w:rPr>
        <w:t xml:space="preserve"> samples reveal unusual signatures in SERPINA1. At position 341, both MC.879 and MC.A3 display T instead of the conserved asparagine (N) observed in all reference sequences. This variant is supported by overlapping peptides identified with MaxQuant and PEAKS (Fig. S22). In addition, MC.804 exhibits allelic diversity at position 355, with peptides containing lysine (K, ~75%) and methionine (M, ~25%). While K only matches </w:t>
      </w:r>
      <w:r>
        <w:rPr>
          <w:i/>
          <w:iCs/>
          <w:sz w:val="20"/>
          <w:szCs w:val="20"/>
        </w:rPr>
        <w:t>U. americanus. T</w:t>
      </w:r>
      <w:r>
        <w:rPr>
          <w:sz w:val="20"/>
          <w:szCs w:val="20"/>
        </w:rPr>
        <w:t xml:space="preserve">heir co-occurrence suggests heterozygosity or unrecognized allelic variation at this site (Figure S20). These findings underscore that each Monte Cucco specimen carries a distinct proteomic signature, adding complexity to the evolutionary interpretation of the locus. A further possibility is misattribution of specimens, since </w:t>
      </w:r>
      <w:r>
        <w:rPr>
          <w:i/>
          <w:iCs/>
          <w:sz w:val="20"/>
          <w:szCs w:val="20"/>
        </w:rPr>
        <w:t>U. spelaeus</w:t>
      </w:r>
      <w:r>
        <w:rPr>
          <w:sz w:val="20"/>
          <w:szCs w:val="20"/>
        </w:rPr>
        <w:t xml:space="preserve"> is also reported from Monte Cucco. However, the morphometric data do not support a reassignment to this taxon [2</w:t>
      </w:r>
      <w:r w:rsidR="00F5716B">
        <w:rPr>
          <w:sz w:val="20"/>
          <w:szCs w:val="20"/>
        </w:rPr>
        <w:t>7</w:t>
      </w:r>
      <w:r>
        <w:rPr>
          <w:sz w:val="20"/>
          <w:szCs w:val="20"/>
        </w:rPr>
        <w:t>].</w:t>
      </w:r>
    </w:p>
    <w:p w14:paraId="784DB505" w14:textId="0FD5C8C1" w:rsidR="00AB1203" w:rsidRDefault="00024007" w:rsidP="00AB1203">
      <w:pPr>
        <w:spacing w:before="240" w:after="240"/>
        <w:jc w:val="both"/>
        <w:rPr>
          <w:sz w:val="18"/>
          <w:szCs w:val="18"/>
        </w:rPr>
      </w:pPr>
      <w:r>
        <w:rPr>
          <w:noProof/>
          <w:sz w:val="18"/>
          <w:szCs w:val="18"/>
        </w:rPr>
        <w:lastRenderedPageBreak/>
        <w:drawing>
          <wp:inline distT="0" distB="0" distL="0" distR="0" wp14:anchorId="1E1C39B7" wp14:editId="36431526">
            <wp:extent cx="5671457" cy="5974595"/>
            <wp:effectExtent l="0" t="0" r="5715"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9677" cy="6035927"/>
                    </a:xfrm>
                    <a:prstGeom prst="rect">
                      <a:avLst/>
                    </a:prstGeom>
                    <a:noFill/>
                  </pic:spPr>
                </pic:pic>
              </a:graphicData>
            </a:graphic>
          </wp:inline>
        </w:drawing>
      </w:r>
    </w:p>
    <w:p w14:paraId="582679D3" w14:textId="7F543B8B" w:rsidR="00AB1203" w:rsidRDefault="00AB1203" w:rsidP="00AB1203">
      <w:pPr>
        <w:spacing w:before="240" w:after="240"/>
        <w:jc w:val="both"/>
        <w:rPr>
          <w:sz w:val="18"/>
          <w:szCs w:val="18"/>
        </w:rPr>
      </w:pPr>
      <w:r>
        <w:rPr>
          <w:b/>
          <w:bCs/>
          <w:sz w:val="18"/>
          <w:szCs w:val="18"/>
        </w:rPr>
        <w:t>Figure S1</w:t>
      </w:r>
      <w:r w:rsidR="00776879">
        <w:rPr>
          <w:b/>
          <w:bCs/>
          <w:sz w:val="18"/>
          <w:szCs w:val="18"/>
        </w:rPr>
        <w:t>8</w:t>
      </w:r>
      <w:r>
        <w:rPr>
          <w:b/>
          <w:bCs/>
          <w:sz w:val="18"/>
          <w:szCs w:val="18"/>
        </w:rPr>
        <w:t xml:space="preserve">. Variability in SERPINA1 from Monte Cucco specimens. </w:t>
      </w:r>
      <w:r>
        <w:rPr>
          <w:sz w:val="18"/>
          <w:szCs w:val="18"/>
        </w:rPr>
        <w:t xml:space="preserve">(A) Multiple sequence alignment of SERPINA1 showing two variable sites (positions 341 and 355) in the Monte Cucco samples compared with the reference dataset. (B) Representative MS/MS spectra from MC.879 </w:t>
      </w:r>
      <w:r>
        <w:rPr>
          <w:i/>
          <w:iCs/>
          <w:sz w:val="18"/>
          <w:szCs w:val="18"/>
        </w:rPr>
        <w:t>Ursus arctos</w:t>
      </w:r>
      <w:r>
        <w:rPr>
          <w:sz w:val="18"/>
          <w:szCs w:val="18"/>
        </w:rPr>
        <w:t xml:space="preserve">, supporting the novel T substitution at position 341, identified with MaxQuant and PEAKS. (C) Equivalent spectra from MC.A3 </w:t>
      </w:r>
      <w:r>
        <w:rPr>
          <w:i/>
          <w:iCs/>
          <w:sz w:val="18"/>
          <w:szCs w:val="18"/>
        </w:rPr>
        <w:t>Ursus spelaeus</w:t>
      </w:r>
      <w:r>
        <w:rPr>
          <w:sz w:val="18"/>
          <w:szCs w:val="18"/>
        </w:rPr>
        <w:t xml:space="preserve"> confirming the same substitution, identified with MaxQuant and PEAKS.</w:t>
      </w:r>
    </w:p>
    <w:p w14:paraId="571C7AFA" w14:textId="7FBF769B" w:rsidR="00AB1203" w:rsidRDefault="00F1027A" w:rsidP="00F1027A">
      <w:pPr>
        <w:spacing w:before="240" w:after="240"/>
        <w:jc w:val="center"/>
        <w:rPr>
          <w:sz w:val="18"/>
          <w:szCs w:val="18"/>
        </w:rPr>
      </w:pPr>
      <w:r>
        <w:rPr>
          <w:noProof/>
          <w:sz w:val="18"/>
          <w:szCs w:val="18"/>
        </w:rPr>
        <w:lastRenderedPageBreak/>
        <w:drawing>
          <wp:inline distT="0" distB="0" distL="0" distR="0" wp14:anchorId="172418B9" wp14:editId="39356405">
            <wp:extent cx="6097270" cy="2320368"/>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88915" cy="2355244"/>
                    </a:xfrm>
                    <a:prstGeom prst="rect">
                      <a:avLst/>
                    </a:prstGeom>
                    <a:noFill/>
                  </pic:spPr>
                </pic:pic>
              </a:graphicData>
            </a:graphic>
          </wp:inline>
        </w:drawing>
      </w:r>
    </w:p>
    <w:p w14:paraId="7AA6B52A" w14:textId="2E175A88" w:rsidR="00AB1203" w:rsidRDefault="00AB1203" w:rsidP="00AB1203">
      <w:pPr>
        <w:spacing w:before="240" w:after="240"/>
        <w:jc w:val="both"/>
        <w:rPr>
          <w:sz w:val="18"/>
          <w:szCs w:val="18"/>
        </w:rPr>
      </w:pPr>
      <w:r>
        <w:rPr>
          <w:b/>
          <w:bCs/>
          <w:sz w:val="18"/>
          <w:szCs w:val="18"/>
        </w:rPr>
        <w:t>Figure S</w:t>
      </w:r>
      <w:r w:rsidR="00E14CE7">
        <w:rPr>
          <w:b/>
          <w:bCs/>
          <w:sz w:val="18"/>
          <w:szCs w:val="18"/>
        </w:rPr>
        <w:t>19</w:t>
      </w:r>
      <w:r>
        <w:rPr>
          <w:b/>
          <w:bCs/>
          <w:sz w:val="18"/>
          <w:szCs w:val="18"/>
        </w:rPr>
        <w:t xml:space="preserve">. SERPINA1-355 variation in MC.804. </w:t>
      </w:r>
      <w:r>
        <w:rPr>
          <w:sz w:val="18"/>
          <w:szCs w:val="18"/>
        </w:rPr>
        <w:t>Representative MS/MS spectra obtained with MaxQuant showing two coexisting variants at position 355</w:t>
      </w:r>
      <w:r w:rsidR="00F1027A">
        <w:rPr>
          <w:sz w:val="18"/>
          <w:szCs w:val="18"/>
        </w:rPr>
        <w:t>.</w:t>
      </w:r>
    </w:p>
    <w:p w14:paraId="6880FF1F" w14:textId="77777777" w:rsidR="00AB1203" w:rsidRDefault="00AB1203" w:rsidP="00AB1203">
      <w:pPr>
        <w:spacing w:before="240" w:after="240"/>
        <w:jc w:val="both"/>
        <w:rPr>
          <w:sz w:val="18"/>
          <w:szCs w:val="18"/>
        </w:rPr>
      </w:pPr>
    </w:p>
    <w:p w14:paraId="37C833A3" w14:textId="77777777" w:rsidR="00AB1203" w:rsidRDefault="00AB1203" w:rsidP="00AB1203">
      <w:pPr>
        <w:spacing w:before="240" w:after="240"/>
        <w:rPr>
          <w:sz w:val="18"/>
          <w:szCs w:val="18"/>
        </w:rPr>
      </w:pPr>
      <w:r>
        <w:rPr>
          <w:rFonts w:ascii="Arial Unicode MS" w:eastAsia="Arial Unicode MS" w:hAnsi="Arial Unicode MS" w:cs="Arial Unicode MS"/>
          <w:b/>
          <w:bCs/>
          <w:sz w:val="20"/>
          <w:szCs w:val="20"/>
        </w:rPr>
        <w:t>II.2.4. SAP ENAM-269 (N→I)</w:t>
      </w:r>
    </w:p>
    <w:p w14:paraId="1671B2DC" w14:textId="7FEFF199" w:rsidR="00AB1203" w:rsidRDefault="00AB1203" w:rsidP="00AB1203">
      <w:pPr>
        <w:spacing w:before="240" w:after="240" w:line="360" w:lineRule="auto"/>
        <w:jc w:val="both"/>
      </w:pPr>
      <w:r>
        <w:rPr>
          <w:rFonts w:ascii="Arial Unicode MS" w:eastAsia="Arial Unicode MS" w:hAnsi="Arial Unicode MS" w:cs="Arial Unicode MS"/>
          <w:sz w:val="20"/>
          <w:szCs w:val="20"/>
        </w:rPr>
        <w:t xml:space="preserve">ENAM-269 [asparagine (N)→ isoleucine (I)] was consistently detected in seven specimens of </w:t>
      </w:r>
      <w:r>
        <w:rPr>
          <w:i/>
          <w:iCs/>
          <w:sz w:val="20"/>
          <w:szCs w:val="20"/>
        </w:rPr>
        <w:t>U. deningeri</w:t>
      </w:r>
      <w:r>
        <w:rPr>
          <w:sz w:val="20"/>
          <w:szCs w:val="20"/>
        </w:rPr>
        <w:t xml:space="preserve"> and </w:t>
      </w:r>
      <w:r>
        <w:rPr>
          <w:i/>
          <w:iCs/>
          <w:sz w:val="20"/>
          <w:szCs w:val="20"/>
        </w:rPr>
        <w:t>U. spelaeus</w:t>
      </w:r>
      <w:r>
        <w:rPr>
          <w:sz w:val="20"/>
          <w:szCs w:val="20"/>
        </w:rPr>
        <w:t xml:space="preserve">, as well as in </w:t>
      </w:r>
      <w:r>
        <w:rPr>
          <w:i/>
          <w:iCs/>
          <w:sz w:val="20"/>
          <w:szCs w:val="20"/>
        </w:rPr>
        <w:t>U. maritimus</w:t>
      </w:r>
      <w:r>
        <w:rPr>
          <w:sz w:val="20"/>
          <w:szCs w:val="20"/>
        </w:rPr>
        <w:t xml:space="preserve">, but not in </w:t>
      </w:r>
      <w:r>
        <w:rPr>
          <w:i/>
          <w:iCs/>
          <w:sz w:val="20"/>
          <w:szCs w:val="20"/>
        </w:rPr>
        <w:t>U. dolinensis</w:t>
      </w:r>
      <w:r>
        <w:rPr>
          <w:rFonts w:ascii="Arial Unicode MS" w:eastAsia="Arial Unicode MS" w:hAnsi="Arial Unicode MS" w:cs="Arial Unicode MS"/>
          <w:sz w:val="20"/>
          <w:szCs w:val="20"/>
        </w:rPr>
        <w:t>, where no peptide coverage was recovered at this site</w:t>
      </w:r>
      <w:r w:rsidR="00E14CE7">
        <w:rPr>
          <w:rFonts w:ascii="Arial Unicode MS" w:eastAsia="Arial Unicode MS" w:hAnsi="Arial Unicode MS" w:cs="Arial Unicode MS"/>
          <w:sz w:val="20"/>
          <w:szCs w:val="20"/>
        </w:rPr>
        <w:t xml:space="preserve"> (Figure S20).</w:t>
      </w:r>
      <w:r>
        <w:rPr>
          <w:rFonts w:ascii="Arial Unicode MS" w:eastAsia="Arial Unicode MS" w:hAnsi="Arial Unicode MS" w:cs="Arial Unicode MS"/>
          <w:sz w:val="20"/>
          <w:szCs w:val="20"/>
        </w:rPr>
        <w:t xml:space="preserve"> High-confidence identifications and characteristic deamidation rates support authenticity [2</w:t>
      </w:r>
      <w:r w:rsidR="00F5716B">
        <w:rPr>
          <w:rFonts w:ascii="Arial Unicode MS" w:eastAsia="Arial Unicode MS" w:hAnsi="Arial Unicode MS" w:cs="Arial Unicode MS"/>
          <w:sz w:val="20"/>
          <w:szCs w:val="20"/>
        </w:rPr>
        <w:t>8</w:t>
      </w:r>
      <w:r>
        <w:rPr>
          <w:rFonts w:ascii="Arial Unicode MS" w:eastAsia="Arial Unicode MS" w:hAnsi="Arial Unicode MS" w:cs="Arial Unicode MS"/>
          <w:sz w:val="20"/>
          <w:szCs w:val="20"/>
        </w:rPr>
        <w:t>]. At the nucleotide level, this change could result from two possible single-base substitutions (A</w:t>
      </w:r>
      <w:r w:rsidRPr="00454425">
        <w:rPr>
          <w:rFonts w:ascii="Arial Unicode MS" w:eastAsia="Arial Unicode MS" w:hAnsi="Arial Unicode MS" w:cs="Arial Unicode MS"/>
          <w:b/>
          <w:sz w:val="20"/>
          <w:szCs w:val="20"/>
        </w:rPr>
        <w:t>A</w:t>
      </w:r>
      <w:r>
        <w:rPr>
          <w:rFonts w:ascii="Arial Unicode MS" w:eastAsia="Arial Unicode MS" w:hAnsi="Arial Unicode MS" w:cs="Arial Unicode MS"/>
          <w:sz w:val="20"/>
          <w:szCs w:val="20"/>
        </w:rPr>
        <w:t>U→A</w:t>
      </w:r>
      <w:r w:rsidRPr="00454425">
        <w:rPr>
          <w:rFonts w:ascii="Arial Unicode MS" w:eastAsia="Arial Unicode MS" w:hAnsi="Arial Unicode MS" w:cs="Arial Unicode MS"/>
          <w:b/>
          <w:sz w:val="20"/>
          <w:szCs w:val="20"/>
        </w:rPr>
        <w:t>U</w:t>
      </w:r>
      <w:r>
        <w:rPr>
          <w:rFonts w:ascii="Arial Unicode MS" w:eastAsia="Arial Unicode MS" w:hAnsi="Arial Unicode MS" w:cs="Arial Unicode MS"/>
          <w:sz w:val="20"/>
          <w:szCs w:val="20"/>
        </w:rPr>
        <w:t>U or A</w:t>
      </w:r>
      <w:r w:rsidRPr="00454425">
        <w:rPr>
          <w:rFonts w:ascii="Arial Unicode MS" w:eastAsia="Arial Unicode MS" w:hAnsi="Arial Unicode MS" w:cs="Arial Unicode MS"/>
          <w:b/>
          <w:sz w:val="20"/>
          <w:szCs w:val="20"/>
        </w:rPr>
        <w:t>A</w:t>
      </w:r>
      <w:r>
        <w:rPr>
          <w:rFonts w:ascii="Arial Unicode MS" w:eastAsia="Arial Unicode MS" w:hAnsi="Arial Unicode MS" w:cs="Arial Unicode MS"/>
          <w:sz w:val="20"/>
          <w:szCs w:val="20"/>
        </w:rPr>
        <w:t>C→A</w:t>
      </w:r>
      <w:r w:rsidRPr="00454425">
        <w:rPr>
          <w:rFonts w:ascii="Arial Unicode MS" w:eastAsia="Arial Unicode MS" w:hAnsi="Arial Unicode MS" w:cs="Arial Unicode MS"/>
          <w:b/>
          <w:sz w:val="20"/>
          <w:szCs w:val="20"/>
        </w:rPr>
        <w:t>U</w:t>
      </w:r>
      <w:r>
        <w:rPr>
          <w:rFonts w:ascii="Arial Unicode MS" w:eastAsia="Arial Unicode MS" w:hAnsi="Arial Unicode MS" w:cs="Arial Unicode MS"/>
          <w:sz w:val="20"/>
          <w:szCs w:val="20"/>
        </w:rPr>
        <w:t>C), both requiring an A→U transition at the second codon position</w:t>
      </w:r>
      <w:r w:rsidR="00454425">
        <w:rPr>
          <w:rFonts w:ascii="Arial Unicode MS" w:eastAsia="Arial Unicode MS" w:hAnsi="Arial Unicode MS" w:cs="Arial Unicode MS"/>
          <w:sz w:val="20"/>
          <w:szCs w:val="20"/>
        </w:rPr>
        <w:t xml:space="preserve">, </w:t>
      </w:r>
      <w:r w:rsidR="00454425" w:rsidRPr="00454425">
        <w:rPr>
          <w:rFonts w:ascii="Arial Unicode MS" w:eastAsia="Arial Unicode MS" w:hAnsi="Arial Unicode MS" w:cs="Arial Unicode MS"/>
          <w:sz w:val="20"/>
          <w:szCs w:val="20"/>
        </w:rPr>
        <w:t>although the exact codon change cannot be determined unambiguously from proteomic data alone</w:t>
      </w:r>
      <w:r>
        <w:rPr>
          <w:rFonts w:ascii="Arial Unicode MS" w:eastAsia="Arial Unicode MS" w:hAnsi="Arial Unicode MS" w:cs="Arial Unicode MS"/>
          <w:sz w:val="20"/>
          <w:szCs w:val="20"/>
        </w:rPr>
        <w:t xml:space="preserve">. The presence of the same substitution in both cave bears and </w:t>
      </w:r>
      <w:r>
        <w:rPr>
          <w:i/>
          <w:iCs/>
          <w:sz w:val="20"/>
          <w:szCs w:val="20"/>
        </w:rPr>
        <w:t>U. maritimus</w:t>
      </w:r>
      <w:r>
        <w:rPr>
          <w:sz w:val="20"/>
          <w:szCs w:val="20"/>
        </w:rPr>
        <w:t xml:space="preserve"> may reflect independent parallel evolution driven by similar selective pressures, or alternatively, complex demographic dynamics, given the documented hybridization of </w:t>
      </w:r>
      <w:r>
        <w:rPr>
          <w:i/>
          <w:iCs/>
          <w:sz w:val="20"/>
          <w:szCs w:val="20"/>
        </w:rPr>
        <w:t>U. arctos</w:t>
      </w:r>
      <w:r>
        <w:rPr>
          <w:sz w:val="20"/>
          <w:szCs w:val="20"/>
        </w:rPr>
        <w:t xml:space="preserve"> with both </w:t>
      </w:r>
      <w:r>
        <w:rPr>
          <w:i/>
          <w:iCs/>
          <w:sz w:val="20"/>
          <w:szCs w:val="20"/>
        </w:rPr>
        <w:t>U. maritimus</w:t>
      </w:r>
      <w:r>
        <w:rPr>
          <w:sz w:val="20"/>
          <w:szCs w:val="20"/>
        </w:rPr>
        <w:t xml:space="preserve"> and </w:t>
      </w:r>
      <w:r>
        <w:rPr>
          <w:i/>
          <w:iCs/>
          <w:sz w:val="20"/>
          <w:szCs w:val="20"/>
        </w:rPr>
        <w:t>U. spelaeus</w:t>
      </w:r>
      <w:r>
        <w:rPr>
          <w:sz w:val="20"/>
          <w:szCs w:val="20"/>
        </w:rPr>
        <w:t xml:space="preserve"> [2</w:t>
      </w:r>
      <w:r w:rsidR="00F5716B">
        <w:rPr>
          <w:sz w:val="20"/>
          <w:szCs w:val="20"/>
        </w:rPr>
        <w:t>9</w:t>
      </w:r>
      <w:r>
        <w:rPr>
          <w:sz w:val="20"/>
          <w:szCs w:val="20"/>
        </w:rPr>
        <w:t>,</w:t>
      </w:r>
      <w:r w:rsidR="00F5716B">
        <w:rPr>
          <w:sz w:val="20"/>
          <w:szCs w:val="20"/>
        </w:rPr>
        <w:t>30</w:t>
      </w:r>
      <w:r>
        <w:rPr>
          <w:sz w:val="20"/>
          <w:szCs w:val="20"/>
        </w:rPr>
        <w:t>]. Absence of Early Pleistocene coverage limits evaluation of its temporal origin</w:t>
      </w:r>
      <w:r w:rsidR="00E14CE7">
        <w:rPr>
          <w:sz w:val="20"/>
          <w:szCs w:val="20"/>
        </w:rPr>
        <w:t xml:space="preserve"> (Figure S21).</w:t>
      </w:r>
    </w:p>
    <w:p w14:paraId="22E74FB5" w14:textId="77777777" w:rsidR="00AB1203" w:rsidRDefault="00AB1203" w:rsidP="00AB1203">
      <w:pPr>
        <w:jc w:val="center"/>
        <w:rPr>
          <w:sz w:val="18"/>
          <w:szCs w:val="18"/>
        </w:rPr>
      </w:pPr>
      <w:r>
        <w:rPr>
          <w:noProof/>
        </w:rPr>
        <w:lastRenderedPageBreak/>
        <w:drawing>
          <wp:inline distT="0" distB="0" distL="0" distR="0" wp14:anchorId="60359B00" wp14:editId="03883C06">
            <wp:extent cx="4915535" cy="3471545"/>
            <wp:effectExtent l="0" t="0" r="0" b="0"/>
            <wp:docPr id="22"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0.png"/>
                    <pic:cNvPicPr>
                      <a:picLocks noChangeAspect="1" noChangeArrowheads="1"/>
                    </pic:cNvPicPr>
                  </pic:nvPicPr>
                  <pic:blipFill>
                    <a:blip r:embed="rId35"/>
                    <a:stretch>
                      <a:fillRect/>
                    </a:stretch>
                  </pic:blipFill>
                  <pic:spPr bwMode="auto">
                    <a:xfrm>
                      <a:off x="0" y="0"/>
                      <a:ext cx="4915535" cy="3471545"/>
                    </a:xfrm>
                    <a:prstGeom prst="rect">
                      <a:avLst/>
                    </a:prstGeom>
                  </pic:spPr>
                </pic:pic>
              </a:graphicData>
            </a:graphic>
          </wp:inline>
        </w:drawing>
      </w:r>
    </w:p>
    <w:p w14:paraId="1EE9858F" w14:textId="2FAA3B7D" w:rsidR="00AB1203" w:rsidRDefault="00AB1203" w:rsidP="00AB1203">
      <w:pPr>
        <w:spacing w:before="240" w:after="240"/>
        <w:jc w:val="both"/>
        <w:rPr>
          <w:sz w:val="18"/>
          <w:szCs w:val="18"/>
        </w:rPr>
      </w:pPr>
      <w:r>
        <w:rPr>
          <w:b/>
          <w:bCs/>
          <w:sz w:val="18"/>
          <w:szCs w:val="18"/>
        </w:rPr>
        <w:t>Figure S2</w:t>
      </w:r>
      <w:r w:rsidR="00E14CE7">
        <w:rPr>
          <w:b/>
          <w:bCs/>
          <w:sz w:val="18"/>
          <w:szCs w:val="18"/>
        </w:rPr>
        <w:t>0</w:t>
      </w:r>
      <w:r>
        <w:rPr>
          <w:b/>
          <w:bCs/>
          <w:sz w:val="18"/>
          <w:szCs w:val="18"/>
        </w:rPr>
        <w:t>.</w:t>
      </w:r>
      <w:r>
        <w:rPr>
          <w:sz w:val="18"/>
          <w:szCs w:val="18"/>
        </w:rPr>
        <w:t xml:space="preserve"> Mass spectra and corresponding fragment ions covering ENAM-</w:t>
      </w:r>
      <w:r w:rsidR="009A5221">
        <w:rPr>
          <w:sz w:val="18"/>
          <w:szCs w:val="18"/>
        </w:rPr>
        <w:t>269</w:t>
      </w:r>
      <w:r>
        <w:rPr>
          <w:sz w:val="18"/>
          <w:szCs w:val="18"/>
        </w:rPr>
        <w:t xml:space="preserve"> in several samples from the Middle and Late Pleistocene using MaxQuant. ENAM-1328 position is highlighted by a red asterisk.</w:t>
      </w:r>
    </w:p>
    <w:p w14:paraId="7FB57844" w14:textId="77777777" w:rsidR="00AB1203" w:rsidRDefault="00AB1203" w:rsidP="00AB1203">
      <w:pPr>
        <w:jc w:val="center"/>
        <w:rPr>
          <w:sz w:val="18"/>
          <w:szCs w:val="18"/>
        </w:rPr>
      </w:pPr>
      <w:r>
        <w:rPr>
          <w:noProof/>
        </w:rPr>
        <w:drawing>
          <wp:inline distT="0" distB="0" distL="0" distR="0" wp14:anchorId="1C7370AC" wp14:editId="13B63CB2">
            <wp:extent cx="3710305" cy="2684780"/>
            <wp:effectExtent l="0" t="0" r="0" b="0"/>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png"/>
                    <pic:cNvPicPr>
                      <a:picLocks noChangeAspect="1" noChangeArrowheads="1"/>
                    </pic:cNvPicPr>
                  </pic:nvPicPr>
                  <pic:blipFill>
                    <a:blip r:embed="rId36"/>
                    <a:srcRect t="10933"/>
                    <a:stretch>
                      <a:fillRect/>
                    </a:stretch>
                  </pic:blipFill>
                  <pic:spPr bwMode="auto">
                    <a:xfrm>
                      <a:off x="0" y="0"/>
                      <a:ext cx="3710305" cy="2684780"/>
                    </a:xfrm>
                    <a:prstGeom prst="rect">
                      <a:avLst/>
                    </a:prstGeom>
                  </pic:spPr>
                </pic:pic>
              </a:graphicData>
            </a:graphic>
          </wp:inline>
        </w:drawing>
      </w:r>
    </w:p>
    <w:p w14:paraId="09B89A9F" w14:textId="77777777" w:rsidR="00F1027A" w:rsidRDefault="00F1027A" w:rsidP="00AB1203">
      <w:pPr>
        <w:jc w:val="both"/>
        <w:rPr>
          <w:b/>
          <w:bCs/>
          <w:sz w:val="18"/>
          <w:szCs w:val="18"/>
        </w:rPr>
      </w:pPr>
    </w:p>
    <w:p w14:paraId="6FD3C72E" w14:textId="7ABEEDE0" w:rsidR="00AB1203" w:rsidRDefault="00AB1203" w:rsidP="00AB1203">
      <w:pPr>
        <w:jc w:val="both"/>
        <w:rPr>
          <w:sz w:val="18"/>
          <w:szCs w:val="18"/>
        </w:rPr>
      </w:pPr>
      <w:r>
        <w:rPr>
          <w:b/>
          <w:bCs/>
          <w:sz w:val="18"/>
          <w:szCs w:val="18"/>
        </w:rPr>
        <w:t>Figure S2</w:t>
      </w:r>
      <w:r w:rsidR="00E14CE7">
        <w:rPr>
          <w:b/>
          <w:bCs/>
          <w:sz w:val="18"/>
          <w:szCs w:val="18"/>
        </w:rPr>
        <w:t>1</w:t>
      </w:r>
      <w:r>
        <w:rPr>
          <w:b/>
          <w:bCs/>
          <w:sz w:val="18"/>
          <w:szCs w:val="18"/>
        </w:rPr>
        <w:t xml:space="preserve">. </w:t>
      </w:r>
      <w:r>
        <w:rPr>
          <w:sz w:val="18"/>
          <w:szCs w:val="18"/>
        </w:rPr>
        <w:t>Multiple sequence alignment of ENAM across different Carnivora species. ENAM-</w:t>
      </w:r>
      <w:r w:rsidR="009A5221">
        <w:rPr>
          <w:sz w:val="18"/>
          <w:szCs w:val="18"/>
        </w:rPr>
        <w:t>269</w:t>
      </w:r>
      <w:r>
        <w:rPr>
          <w:sz w:val="18"/>
          <w:szCs w:val="18"/>
        </w:rPr>
        <w:t xml:space="preserve"> position is highlighted by a red asterisk.</w:t>
      </w:r>
    </w:p>
    <w:p w14:paraId="4A183E95" w14:textId="77777777" w:rsidR="00E22931" w:rsidRDefault="00E22931" w:rsidP="00AB1203">
      <w:pPr>
        <w:spacing w:before="240" w:after="240" w:line="240" w:lineRule="auto"/>
        <w:rPr>
          <w:b/>
          <w:bCs/>
        </w:rPr>
      </w:pPr>
    </w:p>
    <w:p w14:paraId="2A8D20EE" w14:textId="037C1402" w:rsidR="00AB1203" w:rsidRDefault="00AB1203" w:rsidP="00AB1203">
      <w:pPr>
        <w:spacing w:before="240" w:after="240" w:line="240" w:lineRule="auto"/>
        <w:rPr>
          <w:b/>
          <w:bCs/>
        </w:rPr>
      </w:pPr>
      <w:r>
        <w:rPr>
          <w:b/>
          <w:bCs/>
        </w:rPr>
        <w:t>II.3. Expanded Phylogenetic Trees</w:t>
      </w:r>
    </w:p>
    <w:p w14:paraId="583839DF" w14:textId="3615FBD6" w:rsidR="0006392E" w:rsidRPr="00BA348F" w:rsidRDefault="00AB1203" w:rsidP="00BA348F">
      <w:pPr>
        <w:spacing w:before="240" w:after="240" w:line="360" w:lineRule="auto"/>
        <w:jc w:val="both"/>
        <w:rPr>
          <w:sz w:val="20"/>
          <w:szCs w:val="20"/>
        </w:rPr>
      </w:pPr>
      <w:r>
        <w:rPr>
          <w:sz w:val="20"/>
          <w:szCs w:val="20"/>
        </w:rPr>
        <w:t>To complement the phylogenetic analyses presented in the Main Text, additional reconstructions were generated using both comparative datasets (Carnivora and Ursidae) and including all available specimens at the individual level</w:t>
      </w:r>
      <w:r w:rsidR="00E14CE7">
        <w:rPr>
          <w:sz w:val="20"/>
          <w:szCs w:val="20"/>
        </w:rPr>
        <w:t xml:space="preserve"> (Figure S22- Figure</w:t>
      </w:r>
      <w:r w:rsidR="00717EB7">
        <w:rPr>
          <w:sz w:val="20"/>
          <w:szCs w:val="20"/>
        </w:rPr>
        <w:t xml:space="preserve"> </w:t>
      </w:r>
      <w:r w:rsidR="00E14CE7">
        <w:rPr>
          <w:sz w:val="20"/>
          <w:szCs w:val="20"/>
        </w:rPr>
        <w:t xml:space="preserve">S23). </w:t>
      </w:r>
      <w:bookmarkStart w:id="12" w:name="_GoBack"/>
      <w:bookmarkEnd w:id="12"/>
    </w:p>
    <w:p w14:paraId="1095DB31" w14:textId="7CD5D6D3" w:rsidR="00BA348F" w:rsidRDefault="00BA348F" w:rsidP="00AB1203">
      <w:pPr>
        <w:spacing w:before="240" w:after="240" w:line="240" w:lineRule="auto"/>
        <w:rPr>
          <w:b/>
          <w:bCs/>
        </w:rPr>
      </w:pPr>
      <w:r w:rsidRPr="00BA348F">
        <w:rPr>
          <w:b/>
          <w:bCs/>
        </w:rPr>
        <w:lastRenderedPageBreak/>
        <w:drawing>
          <wp:inline distT="0" distB="0" distL="0" distR="0" wp14:anchorId="329F4A20" wp14:editId="7C29923E">
            <wp:extent cx="5940195" cy="3503833"/>
            <wp:effectExtent l="0" t="0" r="381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7313" cy="3508032"/>
                    </a:xfrm>
                    <a:prstGeom prst="rect">
                      <a:avLst/>
                    </a:prstGeom>
                  </pic:spPr>
                </pic:pic>
              </a:graphicData>
            </a:graphic>
          </wp:inline>
        </w:drawing>
      </w:r>
    </w:p>
    <w:p w14:paraId="45BDF68C" w14:textId="04AF483A" w:rsidR="00AB1203" w:rsidRDefault="00AB1203" w:rsidP="005C42E8">
      <w:pPr>
        <w:spacing w:before="240" w:after="240" w:line="240" w:lineRule="auto"/>
        <w:jc w:val="center"/>
        <w:rPr>
          <w:sz w:val="18"/>
          <w:szCs w:val="18"/>
        </w:rPr>
      </w:pPr>
      <w:r>
        <w:rPr>
          <w:b/>
          <w:bCs/>
          <w:sz w:val="18"/>
          <w:szCs w:val="18"/>
        </w:rPr>
        <w:t>Figure S2</w:t>
      </w:r>
      <w:r w:rsidR="00E14CE7">
        <w:rPr>
          <w:b/>
          <w:bCs/>
          <w:sz w:val="18"/>
          <w:szCs w:val="18"/>
        </w:rPr>
        <w:t>2</w:t>
      </w:r>
      <w:r>
        <w:rPr>
          <w:b/>
          <w:bCs/>
          <w:sz w:val="18"/>
          <w:szCs w:val="18"/>
        </w:rPr>
        <w:t xml:space="preserve">. </w:t>
      </w:r>
      <w:r>
        <w:rPr>
          <w:sz w:val="18"/>
          <w:szCs w:val="18"/>
        </w:rPr>
        <w:t>Bayesian phylogenetic tree generated using MrBayes and the “Carnivora Dataset”.</w:t>
      </w:r>
    </w:p>
    <w:p w14:paraId="04FBC23B" w14:textId="2AAA5929" w:rsidR="00AB1203" w:rsidRDefault="00AB1203" w:rsidP="00AB1203">
      <w:pPr>
        <w:spacing w:before="240" w:after="240" w:line="240" w:lineRule="auto"/>
        <w:jc w:val="both"/>
        <w:rPr>
          <w:b/>
          <w:bCs/>
        </w:rPr>
      </w:pPr>
    </w:p>
    <w:p w14:paraId="0D343A6A" w14:textId="6D4986F7" w:rsidR="00501258" w:rsidRDefault="00501258" w:rsidP="00AB1203">
      <w:pPr>
        <w:spacing w:before="240" w:after="240" w:line="240" w:lineRule="auto"/>
        <w:jc w:val="both"/>
        <w:rPr>
          <w:b/>
          <w:bCs/>
        </w:rPr>
      </w:pPr>
      <w:r>
        <w:rPr>
          <w:noProof/>
        </w:rPr>
        <w:drawing>
          <wp:inline distT="0" distB="0" distL="0" distR="0" wp14:anchorId="33056A9C" wp14:editId="53A3D441">
            <wp:extent cx="5731510" cy="3823254"/>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3823254"/>
                    </a:xfrm>
                    <a:prstGeom prst="rect">
                      <a:avLst/>
                    </a:prstGeom>
                    <a:noFill/>
                    <a:ln>
                      <a:noFill/>
                    </a:ln>
                  </pic:spPr>
                </pic:pic>
              </a:graphicData>
            </a:graphic>
          </wp:inline>
        </w:drawing>
      </w:r>
    </w:p>
    <w:p w14:paraId="3233147B" w14:textId="3E573031" w:rsidR="00AB1203" w:rsidRDefault="00AB1203" w:rsidP="005C42E8">
      <w:pPr>
        <w:spacing w:before="240" w:after="240" w:line="240" w:lineRule="auto"/>
        <w:jc w:val="center"/>
        <w:rPr>
          <w:sz w:val="18"/>
          <w:szCs w:val="18"/>
        </w:rPr>
      </w:pPr>
      <w:r>
        <w:rPr>
          <w:b/>
          <w:bCs/>
          <w:sz w:val="18"/>
          <w:szCs w:val="18"/>
        </w:rPr>
        <w:t>Figure S2</w:t>
      </w:r>
      <w:r w:rsidR="00E14CE7">
        <w:rPr>
          <w:b/>
          <w:bCs/>
          <w:sz w:val="18"/>
          <w:szCs w:val="18"/>
        </w:rPr>
        <w:t>3</w:t>
      </w:r>
      <w:r>
        <w:rPr>
          <w:b/>
          <w:bCs/>
          <w:sz w:val="18"/>
          <w:szCs w:val="18"/>
        </w:rPr>
        <w:t>.</w:t>
      </w:r>
      <w:r>
        <w:rPr>
          <w:sz w:val="18"/>
          <w:szCs w:val="18"/>
        </w:rPr>
        <w:t xml:space="preserve"> Maximum likelihood phylogenetic tree generated using IQTree and the “Ursidae Dataset”.</w:t>
      </w:r>
    </w:p>
    <w:p w14:paraId="6849A6E4" w14:textId="77777777" w:rsidR="005C42E8" w:rsidRPr="005C42E8" w:rsidRDefault="005C42E8" w:rsidP="005C42E8">
      <w:pPr>
        <w:spacing w:before="240" w:after="240" w:line="240" w:lineRule="auto"/>
        <w:jc w:val="center"/>
        <w:rPr>
          <w:sz w:val="18"/>
          <w:szCs w:val="18"/>
        </w:rPr>
      </w:pPr>
    </w:p>
    <w:p w14:paraId="6CA57392" w14:textId="5B39148F" w:rsidR="00AB1203" w:rsidRDefault="00AB1203" w:rsidP="00AB1203">
      <w:pPr>
        <w:spacing w:before="240" w:after="240" w:line="360" w:lineRule="auto"/>
        <w:jc w:val="both"/>
        <w:rPr>
          <w:sz w:val="20"/>
          <w:szCs w:val="20"/>
        </w:rPr>
      </w:pPr>
      <w:r>
        <w:rPr>
          <w:sz w:val="20"/>
          <w:szCs w:val="20"/>
        </w:rPr>
        <w:lastRenderedPageBreak/>
        <w:t xml:space="preserve">Analyses were restricted to specimens with sufficient peptide coverage. Individuals from Pirro Nord and Estació Vallparadís were excluded due to extensive fragmentation and limited SAP recovery: among the seven most informative sites, only AMBN-278 was detected consistently, and SERPINA1-355 </w:t>
      </w:r>
      <w:r w:rsidR="00B56A62">
        <w:rPr>
          <w:sz w:val="20"/>
          <w:szCs w:val="20"/>
        </w:rPr>
        <w:t>was identified</w:t>
      </w:r>
      <w:r>
        <w:rPr>
          <w:sz w:val="20"/>
          <w:szCs w:val="20"/>
        </w:rPr>
        <w:t xml:space="preserve"> in </w:t>
      </w:r>
      <w:r w:rsidR="00B56A62">
        <w:rPr>
          <w:sz w:val="20"/>
          <w:szCs w:val="20"/>
        </w:rPr>
        <w:t>two</w:t>
      </w:r>
      <w:r>
        <w:rPr>
          <w:sz w:val="20"/>
          <w:szCs w:val="20"/>
        </w:rPr>
        <w:t xml:space="preserve"> Vallparadís specimen</w:t>
      </w:r>
      <w:r w:rsidR="003A20D8">
        <w:rPr>
          <w:sz w:val="20"/>
          <w:szCs w:val="20"/>
        </w:rPr>
        <w:t>s</w:t>
      </w:r>
      <w:r>
        <w:rPr>
          <w:sz w:val="20"/>
          <w:szCs w:val="20"/>
        </w:rPr>
        <w:t xml:space="preserve"> (</w:t>
      </w:r>
      <w:r w:rsidR="003A20D8">
        <w:rPr>
          <w:sz w:val="20"/>
          <w:szCs w:val="20"/>
        </w:rPr>
        <w:t xml:space="preserve">EVT7.1 and </w:t>
      </w:r>
      <w:r>
        <w:rPr>
          <w:sz w:val="20"/>
          <w:szCs w:val="20"/>
        </w:rPr>
        <w:t>EVT12.2). Including these individuals would have introduced excessive missing data and reduced resolution.</w:t>
      </w:r>
    </w:p>
    <w:p w14:paraId="51BDF158" w14:textId="7A93F474" w:rsidR="00A16730" w:rsidRPr="00A16730" w:rsidRDefault="00A16730" w:rsidP="00A16730">
      <w:pPr>
        <w:spacing w:before="240" w:after="240" w:line="360" w:lineRule="auto"/>
        <w:jc w:val="both"/>
        <w:rPr>
          <w:sz w:val="20"/>
          <w:szCs w:val="20"/>
        </w:rPr>
      </w:pPr>
      <w:r w:rsidRPr="00A16730">
        <w:rPr>
          <w:sz w:val="20"/>
          <w:szCs w:val="20"/>
        </w:rPr>
        <w:t>Maximum likelihood analysis (</w:t>
      </w:r>
      <w:r>
        <w:rPr>
          <w:sz w:val="20"/>
          <w:szCs w:val="20"/>
        </w:rPr>
        <w:t>Figure S24</w:t>
      </w:r>
      <w:r w:rsidRPr="00A16730">
        <w:rPr>
          <w:sz w:val="20"/>
          <w:szCs w:val="20"/>
        </w:rPr>
        <w:t xml:space="preserve">) recovered the expected split between arctoid and </w:t>
      </w:r>
      <w:r w:rsidR="007D71EC">
        <w:rPr>
          <w:sz w:val="20"/>
          <w:szCs w:val="20"/>
        </w:rPr>
        <w:t>speleoid</w:t>
      </w:r>
      <w:r w:rsidRPr="00A16730">
        <w:rPr>
          <w:sz w:val="20"/>
          <w:szCs w:val="20"/>
        </w:rPr>
        <w:t xml:space="preserve"> lineages, consistent with previous studies, although support values were moderate (bootstrap = 58/100). As in earlier analyses, </w:t>
      </w:r>
      <w:r w:rsidRPr="00A16730">
        <w:rPr>
          <w:i/>
          <w:sz w:val="20"/>
          <w:szCs w:val="20"/>
        </w:rPr>
        <w:t>Ursus maritimus</w:t>
      </w:r>
      <w:r w:rsidRPr="00A16730">
        <w:rPr>
          <w:sz w:val="20"/>
          <w:szCs w:val="20"/>
        </w:rPr>
        <w:t xml:space="preserve"> clustered within the </w:t>
      </w:r>
      <w:r w:rsidR="007D71EC">
        <w:rPr>
          <w:sz w:val="20"/>
          <w:szCs w:val="20"/>
        </w:rPr>
        <w:t>speleoid</w:t>
      </w:r>
      <w:r w:rsidRPr="00A16730">
        <w:rPr>
          <w:sz w:val="20"/>
          <w:szCs w:val="20"/>
        </w:rPr>
        <w:t xml:space="preserve"> lineage, close to the divergence with </w:t>
      </w:r>
      <w:r w:rsidRPr="00A16730">
        <w:rPr>
          <w:i/>
          <w:sz w:val="20"/>
          <w:szCs w:val="20"/>
        </w:rPr>
        <w:t>U. arctos</w:t>
      </w:r>
      <w:r w:rsidRPr="00A16730">
        <w:rPr>
          <w:sz w:val="20"/>
          <w:szCs w:val="20"/>
        </w:rPr>
        <w:t xml:space="preserve">, albeit with weak support (IQ-TREE = 34/100). Notably, specimen SF30.A.G30 (Sala Fantasma, </w:t>
      </w:r>
      <w:r w:rsidRPr="00A16730">
        <w:rPr>
          <w:i/>
          <w:sz w:val="20"/>
          <w:szCs w:val="20"/>
        </w:rPr>
        <w:t>Ursus sp</w:t>
      </w:r>
      <w:r w:rsidRPr="00A16730">
        <w:rPr>
          <w:sz w:val="20"/>
          <w:szCs w:val="20"/>
        </w:rPr>
        <w:t xml:space="preserve">.) grouped with </w:t>
      </w:r>
      <w:r w:rsidRPr="00A16730">
        <w:rPr>
          <w:i/>
          <w:sz w:val="20"/>
          <w:szCs w:val="20"/>
        </w:rPr>
        <w:t>U. arctos</w:t>
      </w:r>
      <w:r w:rsidRPr="00A16730">
        <w:rPr>
          <w:sz w:val="20"/>
          <w:szCs w:val="20"/>
        </w:rPr>
        <w:t xml:space="preserve"> with moderate support (IQ-TREE = 49/100), suggesting shared ancestry.</w:t>
      </w:r>
    </w:p>
    <w:p w14:paraId="37D6ABA2" w14:textId="7EA79C92" w:rsidR="00A16730" w:rsidRDefault="00A16730" w:rsidP="00A16730">
      <w:pPr>
        <w:spacing w:before="240" w:after="240" w:line="360" w:lineRule="auto"/>
        <w:jc w:val="both"/>
        <w:rPr>
          <w:sz w:val="20"/>
          <w:szCs w:val="20"/>
        </w:rPr>
      </w:pPr>
      <w:r w:rsidRPr="00A16730">
        <w:rPr>
          <w:sz w:val="20"/>
          <w:szCs w:val="20"/>
        </w:rPr>
        <w:t>Bayesian inference (</w:t>
      </w:r>
      <w:r>
        <w:rPr>
          <w:sz w:val="20"/>
          <w:szCs w:val="20"/>
        </w:rPr>
        <w:t>Figure S25</w:t>
      </w:r>
      <w:r w:rsidRPr="00A16730">
        <w:rPr>
          <w:sz w:val="20"/>
          <w:szCs w:val="20"/>
        </w:rPr>
        <w:t xml:space="preserve">) yielded a broadly congruent topology, generally recovering fewer resolved nodes but with higher posterior probabilities. </w:t>
      </w:r>
      <w:r w:rsidR="00D95D0D" w:rsidRPr="00D95D0D">
        <w:rPr>
          <w:sz w:val="20"/>
          <w:szCs w:val="20"/>
        </w:rPr>
        <w:t xml:space="preserve">In this framework, the separation between arctoid and </w:t>
      </w:r>
      <w:r w:rsidR="007D71EC">
        <w:rPr>
          <w:sz w:val="20"/>
          <w:szCs w:val="20"/>
        </w:rPr>
        <w:t>speleoid</w:t>
      </w:r>
      <w:r w:rsidR="00D95D0D" w:rsidRPr="00D95D0D">
        <w:rPr>
          <w:sz w:val="20"/>
          <w:szCs w:val="20"/>
        </w:rPr>
        <w:t xml:space="preserve"> lineages was not clearly recovered, and the placement of some specimens differed from the maximum likelihood reconstruction</w:t>
      </w:r>
      <w:r w:rsidRPr="00A16730">
        <w:rPr>
          <w:sz w:val="20"/>
          <w:szCs w:val="20"/>
        </w:rPr>
        <w:t>.</w:t>
      </w:r>
    </w:p>
    <w:p w14:paraId="60F11291" w14:textId="178A1BA7" w:rsidR="00AB1203" w:rsidRDefault="00954C00" w:rsidP="00AB1203">
      <w:pPr>
        <w:spacing w:before="240" w:after="240" w:line="240" w:lineRule="auto"/>
        <w:rPr>
          <w:b/>
          <w:bCs/>
        </w:rPr>
      </w:pPr>
      <w:r>
        <w:rPr>
          <w:noProof/>
        </w:rPr>
        <w:drawing>
          <wp:inline distT="0" distB="0" distL="0" distR="0" wp14:anchorId="386564E5" wp14:editId="50A6CBAA">
            <wp:extent cx="5731510" cy="3823254"/>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3823254"/>
                    </a:xfrm>
                    <a:prstGeom prst="rect">
                      <a:avLst/>
                    </a:prstGeom>
                    <a:noFill/>
                    <a:ln>
                      <a:noFill/>
                    </a:ln>
                  </pic:spPr>
                </pic:pic>
              </a:graphicData>
            </a:graphic>
          </wp:inline>
        </w:drawing>
      </w:r>
    </w:p>
    <w:p w14:paraId="601E59A9" w14:textId="5038FBE1" w:rsidR="003B46FE" w:rsidRPr="005C42E8" w:rsidRDefault="00AB1203" w:rsidP="00AB1203">
      <w:pPr>
        <w:spacing w:before="240" w:after="240" w:line="240" w:lineRule="auto"/>
        <w:jc w:val="both"/>
        <w:rPr>
          <w:sz w:val="18"/>
          <w:szCs w:val="18"/>
        </w:rPr>
      </w:pPr>
      <w:r>
        <w:rPr>
          <w:b/>
          <w:bCs/>
          <w:sz w:val="18"/>
          <w:szCs w:val="18"/>
        </w:rPr>
        <w:t>Figure S2</w:t>
      </w:r>
      <w:r w:rsidR="00E14CE7">
        <w:rPr>
          <w:b/>
          <w:bCs/>
          <w:sz w:val="18"/>
          <w:szCs w:val="18"/>
        </w:rPr>
        <w:t>4</w:t>
      </w:r>
      <w:r>
        <w:rPr>
          <w:b/>
          <w:bCs/>
          <w:sz w:val="18"/>
          <w:szCs w:val="18"/>
        </w:rPr>
        <w:t xml:space="preserve">. </w:t>
      </w:r>
      <w:r>
        <w:rPr>
          <w:sz w:val="18"/>
          <w:szCs w:val="18"/>
        </w:rPr>
        <w:t>Maximum likelihood phylogenetic tree generated using IQTree and the “Ursidae Dataset”  including all recovered specimens.</w:t>
      </w:r>
    </w:p>
    <w:p w14:paraId="18835259" w14:textId="77777777" w:rsidR="003B46FE" w:rsidRDefault="003B46FE" w:rsidP="00AB1203">
      <w:pPr>
        <w:spacing w:before="240" w:after="240" w:line="240" w:lineRule="auto"/>
        <w:jc w:val="both"/>
        <w:rPr>
          <w:b/>
          <w:bCs/>
          <w:sz w:val="18"/>
          <w:szCs w:val="18"/>
        </w:rPr>
      </w:pPr>
    </w:p>
    <w:p w14:paraId="3C0ADC07" w14:textId="78FFC7C7" w:rsidR="003B46FE" w:rsidRDefault="003B46FE" w:rsidP="00AB1203">
      <w:pPr>
        <w:spacing w:before="240" w:after="240" w:line="240" w:lineRule="auto"/>
        <w:jc w:val="both"/>
        <w:rPr>
          <w:b/>
          <w:bCs/>
          <w:sz w:val="18"/>
          <w:szCs w:val="18"/>
        </w:rPr>
      </w:pPr>
      <w:r>
        <w:rPr>
          <w:noProof/>
        </w:rPr>
        <w:lastRenderedPageBreak/>
        <w:drawing>
          <wp:inline distT="0" distB="0" distL="0" distR="0" wp14:anchorId="5CDC06CC" wp14:editId="5432FB39">
            <wp:extent cx="5731510" cy="3824940"/>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3824940"/>
                    </a:xfrm>
                    <a:prstGeom prst="rect">
                      <a:avLst/>
                    </a:prstGeom>
                    <a:noFill/>
                    <a:ln>
                      <a:noFill/>
                    </a:ln>
                  </pic:spPr>
                </pic:pic>
              </a:graphicData>
            </a:graphic>
          </wp:inline>
        </w:drawing>
      </w:r>
    </w:p>
    <w:p w14:paraId="4F8D0A2D" w14:textId="09DADB91" w:rsidR="00AB1203" w:rsidRDefault="00AB1203" w:rsidP="00AB1203">
      <w:pPr>
        <w:spacing w:before="240" w:after="240" w:line="240" w:lineRule="auto"/>
        <w:jc w:val="both"/>
        <w:rPr>
          <w:sz w:val="18"/>
          <w:szCs w:val="18"/>
        </w:rPr>
      </w:pPr>
      <w:r>
        <w:rPr>
          <w:b/>
          <w:bCs/>
          <w:sz w:val="18"/>
          <w:szCs w:val="18"/>
        </w:rPr>
        <w:t>Figure S2</w:t>
      </w:r>
      <w:r w:rsidR="00E14CE7">
        <w:rPr>
          <w:b/>
          <w:bCs/>
          <w:sz w:val="18"/>
          <w:szCs w:val="18"/>
        </w:rPr>
        <w:t>5</w:t>
      </w:r>
      <w:r>
        <w:rPr>
          <w:b/>
          <w:bCs/>
          <w:sz w:val="18"/>
          <w:szCs w:val="18"/>
        </w:rPr>
        <w:t xml:space="preserve">. </w:t>
      </w:r>
      <w:r>
        <w:rPr>
          <w:sz w:val="18"/>
          <w:szCs w:val="18"/>
        </w:rPr>
        <w:t>Bayesian phylogenetic tree generated using MrBayes and the “Ursidae Dataset” including all recovered specimens.</w:t>
      </w:r>
    </w:p>
    <w:p w14:paraId="70CC402E" w14:textId="77777777" w:rsidR="00AB1203" w:rsidRDefault="00AB1203" w:rsidP="00AB1203">
      <w:pPr>
        <w:spacing w:before="240" w:after="240" w:line="240" w:lineRule="auto"/>
        <w:jc w:val="both"/>
        <w:rPr>
          <w:b/>
          <w:bCs/>
        </w:rPr>
      </w:pPr>
    </w:p>
    <w:p w14:paraId="66C70AC3" w14:textId="77777777" w:rsidR="00AB1203" w:rsidRDefault="00AB1203" w:rsidP="00AB1203">
      <w:pPr>
        <w:spacing w:before="240" w:after="240" w:line="240" w:lineRule="auto"/>
        <w:rPr>
          <w:b/>
          <w:bCs/>
        </w:rPr>
      </w:pPr>
      <w:r>
        <w:rPr>
          <w:b/>
          <w:bCs/>
        </w:rPr>
        <w:t>II.4. Sex Determination: Peptides from AMELX/AMELY</w:t>
      </w:r>
    </w:p>
    <w:p w14:paraId="7CF4C3F6" w14:textId="0BBEB01F" w:rsidR="00AB1203" w:rsidRDefault="00EA1942" w:rsidP="00AB1203">
      <w:pPr>
        <w:spacing w:before="240" w:after="240" w:line="360" w:lineRule="auto"/>
        <w:jc w:val="both"/>
        <w:rPr>
          <w:sz w:val="20"/>
          <w:szCs w:val="20"/>
        </w:rPr>
      </w:pPr>
      <w:r w:rsidRPr="00EA1942">
        <w:rPr>
          <w:sz w:val="20"/>
          <w:szCs w:val="20"/>
        </w:rPr>
        <w:t xml:space="preserve">The reconstructed </w:t>
      </w:r>
      <w:r w:rsidRPr="00B73890">
        <w:rPr>
          <w:i/>
          <w:sz w:val="20"/>
          <w:szCs w:val="20"/>
        </w:rPr>
        <w:t>Ursus arctos</w:t>
      </w:r>
      <w:r w:rsidRPr="00EA1942">
        <w:rPr>
          <w:sz w:val="20"/>
          <w:szCs w:val="20"/>
        </w:rPr>
        <w:t xml:space="preserve"> AMELX and AMELY sequences correspond to the canonical X- and Y-linked amelogenin isoforms. </w:t>
      </w:r>
      <w:r>
        <w:rPr>
          <w:sz w:val="20"/>
          <w:szCs w:val="20"/>
        </w:rPr>
        <w:t>T</w:t>
      </w:r>
      <w:r w:rsidRPr="00EA1942">
        <w:rPr>
          <w:sz w:val="20"/>
          <w:szCs w:val="20"/>
        </w:rPr>
        <w:t>he present analysis focuses on the reference protein sequences used for database construction and peptide mapping. For consistency, amino acid positions are reported according to the AMELX sequence.</w:t>
      </w:r>
      <w:r>
        <w:rPr>
          <w:sz w:val="20"/>
          <w:szCs w:val="20"/>
        </w:rPr>
        <w:t xml:space="preserve"> </w:t>
      </w:r>
      <w:r w:rsidR="00AB1203">
        <w:rPr>
          <w:sz w:val="20"/>
          <w:szCs w:val="20"/>
        </w:rPr>
        <w:t>The</w:t>
      </w:r>
      <w:r w:rsidR="00B73890">
        <w:rPr>
          <w:sz w:val="20"/>
          <w:szCs w:val="20"/>
        </w:rPr>
        <w:t>se sequences</w:t>
      </w:r>
      <w:r w:rsidR="00AB1203">
        <w:rPr>
          <w:sz w:val="20"/>
          <w:szCs w:val="20"/>
        </w:rPr>
        <w:t xml:space="preserve"> reveal diagnostic sequence differences that enable sex determination in </w:t>
      </w:r>
      <w:r w:rsidR="00B73890">
        <w:rPr>
          <w:sz w:val="20"/>
          <w:szCs w:val="20"/>
        </w:rPr>
        <w:t>cave bear specimens</w:t>
      </w:r>
      <w:r w:rsidR="00AB1203">
        <w:rPr>
          <w:sz w:val="20"/>
          <w:szCs w:val="20"/>
        </w:rPr>
        <w:t>. AMELX spans 201 amino acids, whereas AMELY comprises 182 amino acids, consistent with typical mammalian amelogenin divergence. Despite high overall identity (89.05%), several isoform-specific markers provide robust peptide-level differentiation: At the N-terminal region, AMELX contains an alanine at position 16, whereas AMELY displays a threonine (T), marking the earliest divergence point between the sequences (Figure S</w:t>
      </w:r>
      <w:r w:rsidR="00E14CE7">
        <w:rPr>
          <w:sz w:val="20"/>
          <w:szCs w:val="20"/>
        </w:rPr>
        <w:t>26</w:t>
      </w:r>
      <w:r w:rsidR="00AB1203">
        <w:rPr>
          <w:sz w:val="20"/>
          <w:szCs w:val="20"/>
        </w:rPr>
        <w:t>). A single-residue deletion is observed</w:t>
      </w:r>
      <w:r>
        <w:rPr>
          <w:sz w:val="20"/>
          <w:szCs w:val="20"/>
        </w:rPr>
        <w:t xml:space="preserve"> relative to AMELX</w:t>
      </w:r>
      <w:r w:rsidR="00AB1203">
        <w:rPr>
          <w:sz w:val="20"/>
          <w:szCs w:val="20"/>
        </w:rPr>
        <w:t xml:space="preserve"> at position 45, where AMELY lacks a methionine present in AMELX. Further substitutions occur in the central portion of the sequence: at position 101, methionine in AMELX is replaced by valine in AMELY, while at position 104, leucine is replaced by valine. The most striking difference is located in the C-terminal domain, where AMELY exhibits an 18</w:t>
      </w:r>
      <w:r w:rsidR="00B73890">
        <w:rPr>
          <w:sz w:val="20"/>
          <w:szCs w:val="20"/>
        </w:rPr>
        <w:t xml:space="preserve"> </w:t>
      </w:r>
      <w:r w:rsidR="00AB1203">
        <w:rPr>
          <w:sz w:val="20"/>
          <w:szCs w:val="20"/>
        </w:rPr>
        <w:t>amino acid deletion spanning positions 138–156</w:t>
      </w:r>
      <w:r>
        <w:rPr>
          <w:sz w:val="20"/>
          <w:szCs w:val="20"/>
        </w:rPr>
        <w:t xml:space="preserve"> relative to the AMELX sequence, as defined in the reference sequence used for database construction</w:t>
      </w:r>
      <w:r w:rsidR="00AB1203">
        <w:rPr>
          <w:sz w:val="20"/>
          <w:szCs w:val="20"/>
        </w:rPr>
        <w:t>.</w:t>
      </w:r>
      <w:r w:rsidR="00AB1203">
        <w:rPr>
          <w:sz w:val="18"/>
          <w:szCs w:val="18"/>
        </w:rPr>
        <w:t xml:space="preserve"> </w:t>
      </w:r>
      <w:r w:rsidR="00AB1203">
        <w:rPr>
          <w:sz w:val="20"/>
          <w:szCs w:val="20"/>
        </w:rPr>
        <w:t>These features, particularly the deletion at position 45, substitutions at positions 101 and 104, and the C-terminal 18</w:t>
      </w:r>
      <w:r w:rsidR="00B73890">
        <w:rPr>
          <w:sz w:val="20"/>
          <w:szCs w:val="20"/>
        </w:rPr>
        <w:t xml:space="preserve"> </w:t>
      </w:r>
      <w:r w:rsidR="00AB1203">
        <w:rPr>
          <w:sz w:val="20"/>
          <w:szCs w:val="20"/>
        </w:rPr>
        <w:t xml:space="preserve">aa deletion, produce distinct peptide signatures that were consistently detected in male individuals across the dataset. Multiple high-confidence MS/MS spectra </w:t>
      </w:r>
      <w:r w:rsidR="00AB1203">
        <w:rPr>
          <w:sz w:val="20"/>
          <w:szCs w:val="20"/>
        </w:rPr>
        <w:lastRenderedPageBreak/>
        <w:t>from both MaxQuant and PEAKS confirm the presence of AMELY-specific peptides, ensuring reliable assignment. Importantly, absence of AMELY peptides must be interpreted cautiously: AMELY is naturally expressed at much lower levels (~10% of AMELX) [3</w:t>
      </w:r>
      <w:r w:rsidR="00F5716B">
        <w:rPr>
          <w:sz w:val="20"/>
          <w:szCs w:val="20"/>
        </w:rPr>
        <w:t>1</w:t>
      </w:r>
      <w:r w:rsidR="00AB1203">
        <w:rPr>
          <w:sz w:val="20"/>
          <w:szCs w:val="20"/>
        </w:rPr>
        <w:t>], and allelic loss or taphonomic degradation can obscure its detection.</w:t>
      </w:r>
    </w:p>
    <w:p w14:paraId="550EAE80" w14:textId="77777777" w:rsidR="00AB1203" w:rsidRDefault="00AB1203" w:rsidP="00AB1203">
      <w:pPr>
        <w:spacing w:before="240" w:after="240"/>
        <w:jc w:val="both"/>
        <w:rPr>
          <w:sz w:val="20"/>
          <w:szCs w:val="20"/>
        </w:rPr>
      </w:pPr>
      <w:r>
        <w:rPr>
          <w:noProof/>
        </w:rPr>
        <w:drawing>
          <wp:inline distT="0" distB="0" distL="0" distR="0" wp14:anchorId="0EF94C11" wp14:editId="268177B8">
            <wp:extent cx="5722722" cy="3070860"/>
            <wp:effectExtent l="0" t="0" r="0" b="0"/>
            <wp:docPr id="3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3.png"/>
                    <pic:cNvPicPr>
                      <a:picLocks noChangeAspect="1" noChangeArrowheads="1"/>
                    </pic:cNvPicPr>
                  </pic:nvPicPr>
                  <pic:blipFill>
                    <a:blip r:embed="rId41"/>
                    <a:stretch>
                      <a:fillRect/>
                    </a:stretch>
                  </pic:blipFill>
                  <pic:spPr bwMode="auto">
                    <a:xfrm>
                      <a:off x="0" y="0"/>
                      <a:ext cx="5753187" cy="3087208"/>
                    </a:xfrm>
                    <a:prstGeom prst="rect">
                      <a:avLst/>
                    </a:prstGeom>
                  </pic:spPr>
                </pic:pic>
              </a:graphicData>
            </a:graphic>
          </wp:inline>
        </w:drawing>
      </w:r>
    </w:p>
    <w:p w14:paraId="2F494156" w14:textId="653758CC" w:rsidR="00AB1203" w:rsidRDefault="00AB1203" w:rsidP="00AB1203">
      <w:pPr>
        <w:spacing w:before="240" w:after="240"/>
        <w:jc w:val="both"/>
        <w:rPr>
          <w:b/>
          <w:bCs/>
        </w:rPr>
        <w:sectPr w:rsidR="00AB1203">
          <w:footerReference w:type="default" r:id="rId42"/>
          <w:footerReference w:type="first" r:id="rId43"/>
          <w:pgSz w:w="11906" w:h="16838"/>
          <w:pgMar w:top="1440" w:right="1440" w:bottom="1440" w:left="1440" w:header="0" w:footer="720" w:gutter="0"/>
          <w:lnNumType w:countBy="1" w:distance="283" w:restart="continuous"/>
          <w:cols w:space="720"/>
          <w:formProt w:val="0"/>
          <w:docGrid w:linePitch="100" w:charSpace="4096"/>
        </w:sectPr>
      </w:pPr>
      <w:r>
        <w:rPr>
          <w:b/>
          <w:bCs/>
          <w:sz w:val="18"/>
          <w:szCs w:val="18"/>
        </w:rPr>
        <w:t>Figure S</w:t>
      </w:r>
      <w:r w:rsidR="00501258">
        <w:rPr>
          <w:b/>
          <w:bCs/>
          <w:sz w:val="18"/>
          <w:szCs w:val="18"/>
        </w:rPr>
        <w:t>2</w:t>
      </w:r>
      <w:r w:rsidR="00E14CE7">
        <w:rPr>
          <w:b/>
          <w:bCs/>
          <w:sz w:val="18"/>
          <w:szCs w:val="18"/>
        </w:rPr>
        <w:t>6</w:t>
      </w:r>
      <w:r>
        <w:rPr>
          <w:b/>
          <w:bCs/>
          <w:sz w:val="18"/>
          <w:szCs w:val="18"/>
        </w:rPr>
        <w:t xml:space="preserve">. Alignment of reconstructed </w:t>
      </w:r>
      <w:r>
        <w:rPr>
          <w:b/>
          <w:bCs/>
          <w:i/>
          <w:iCs/>
          <w:sz w:val="18"/>
          <w:szCs w:val="18"/>
        </w:rPr>
        <w:t>Ursus arctos</w:t>
      </w:r>
      <w:r>
        <w:rPr>
          <w:b/>
          <w:bCs/>
          <w:sz w:val="18"/>
          <w:szCs w:val="18"/>
        </w:rPr>
        <w:t xml:space="preserve"> AMELX and AMELY sequences. </w:t>
      </w:r>
      <w:r>
        <w:rPr>
          <w:sz w:val="18"/>
          <w:szCs w:val="18"/>
        </w:rPr>
        <w:t>Amino acid alignment highlighting diagnostic differences between X- and Y-linked isoforms. Diagnostic ion series from representative peptides are shown below, illustrating the MS/MS fragmentation patterns that confirm the presence of the Y-specific isoform in male specimens</w:t>
      </w:r>
      <w:r w:rsidR="00EA1942">
        <w:rPr>
          <w:sz w:val="18"/>
          <w:szCs w:val="18"/>
        </w:rPr>
        <w:t>. Amino acid positions are reported relative to the AMELX sequence.</w:t>
      </w:r>
    </w:p>
    <w:p w14:paraId="285C5C1B" w14:textId="77777777" w:rsidR="00AB1203" w:rsidRDefault="00AB1203" w:rsidP="00AB1203">
      <w:pPr>
        <w:pStyle w:val="Heading4"/>
        <w:keepNext w:val="0"/>
        <w:keepLines w:val="0"/>
        <w:spacing w:before="240" w:after="40"/>
        <w:rPr>
          <w:b/>
          <w:bCs/>
          <w:color w:val="000000"/>
        </w:rPr>
      </w:pPr>
      <w:bookmarkStart w:id="13" w:name="_yixesg12n4wq"/>
      <w:bookmarkEnd w:id="13"/>
      <w:r>
        <w:rPr>
          <w:b/>
          <w:bCs/>
          <w:color w:val="000000"/>
        </w:rPr>
        <w:lastRenderedPageBreak/>
        <w:t>III. Supplementary References</w:t>
      </w:r>
    </w:p>
    <w:p w14:paraId="7A4645CE" w14:textId="77777777" w:rsidR="00AB1203" w:rsidRDefault="00AB1203" w:rsidP="00AB1203">
      <w:pPr>
        <w:spacing w:after="240"/>
        <w:rPr>
          <w:sz w:val="18"/>
          <w:szCs w:val="18"/>
        </w:rPr>
      </w:pPr>
    </w:p>
    <w:p w14:paraId="1B9E4554" w14:textId="77777777" w:rsidR="00363188" w:rsidRDefault="00363188" w:rsidP="00363188">
      <w:pPr>
        <w:numPr>
          <w:ilvl w:val="0"/>
          <w:numId w:val="8"/>
        </w:numPr>
        <w:jc w:val="both"/>
      </w:pPr>
      <w:bookmarkStart w:id="14" w:name="_Hlk231554733"/>
      <w:r>
        <w:rPr>
          <w:sz w:val="18"/>
          <w:szCs w:val="18"/>
        </w:rPr>
        <w:t xml:space="preserve">C. Froment, </w:t>
      </w:r>
      <w:r>
        <w:rPr>
          <w:i/>
          <w:iCs/>
          <w:sz w:val="18"/>
          <w:szCs w:val="18"/>
        </w:rPr>
        <w:t>et al.</w:t>
      </w:r>
      <w:r>
        <w:rPr>
          <w:sz w:val="18"/>
          <w:szCs w:val="18"/>
        </w:rPr>
        <w:t xml:space="preserve">, Protein sequence comparison of human and non-human primate tooth proteomes. </w:t>
      </w:r>
      <w:r>
        <w:rPr>
          <w:i/>
          <w:iCs/>
          <w:sz w:val="18"/>
          <w:szCs w:val="18"/>
        </w:rPr>
        <w:t>Journal of Proteomics</w:t>
      </w:r>
      <w:r>
        <w:rPr>
          <w:sz w:val="18"/>
          <w:szCs w:val="18"/>
        </w:rPr>
        <w:t xml:space="preserve"> 231, 104045 (2021).</w:t>
      </w:r>
    </w:p>
    <w:p w14:paraId="718E8F8A" w14:textId="4AE694DA" w:rsidR="00363188" w:rsidRDefault="00363188" w:rsidP="00363188">
      <w:pPr>
        <w:numPr>
          <w:ilvl w:val="0"/>
          <w:numId w:val="8"/>
        </w:numPr>
        <w:jc w:val="both"/>
        <w:rPr>
          <w:sz w:val="18"/>
          <w:szCs w:val="18"/>
        </w:rPr>
      </w:pPr>
      <w:r>
        <w:rPr>
          <w:sz w:val="18"/>
          <w:szCs w:val="18"/>
        </w:rPr>
        <w:t xml:space="preserve">R. Fong-Zazueta, </w:t>
      </w:r>
      <w:r>
        <w:rPr>
          <w:i/>
          <w:iCs/>
          <w:sz w:val="18"/>
          <w:szCs w:val="18"/>
        </w:rPr>
        <w:t>et al.</w:t>
      </w:r>
      <w:r>
        <w:rPr>
          <w:sz w:val="18"/>
          <w:szCs w:val="18"/>
        </w:rPr>
        <w:t xml:space="preserve">, Phylogenetic Signal in Primate Tooth Enamel Proteins and its Relevance for Paleoproteomics. </w:t>
      </w:r>
      <w:r>
        <w:rPr>
          <w:i/>
          <w:iCs/>
          <w:sz w:val="18"/>
          <w:szCs w:val="18"/>
        </w:rPr>
        <w:t>Genome Biol Evol</w:t>
      </w:r>
      <w:r>
        <w:rPr>
          <w:sz w:val="18"/>
          <w:szCs w:val="18"/>
        </w:rPr>
        <w:t xml:space="preserve"> 17, evaf007 (2025).</w:t>
      </w:r>
    </w:p>
    <w:p w14:paraId="0AE945D1" w14:textId="18F85A57" w:rsidR="00363188" w:rsidRPr="00363188" w:rsidRDefault="00363188" w:rsidP="00363188">
      <w:pPr>
        <w:numPr>
          <w:ilvl w:val="0"/>
          <w:numId w:val="8"/>
        </w:numPr>
        <w:jc w:val="both"/>
        <w:rPr>
          <w:sz w:val="18"/>
          <w:szCs w:val="18"/>
        </w:rPr>
      </w:pPr>
      <w:r w:rsidRPr="00363188">
        <w:rPr>
          <w:sz w:val="18"/>
          <w:szCs w:val="18"/>
        </w:rPr>
        <w:t xml:space="preserve">Fu, Q. et al. Enamel proteins from six </w:t>
      </w:r>
      <w:r w:rsidRPr="00363188">
        <w:rPr>
          <w:i/>
          <w:sz w:val="18"/>
          <w:szCs w:val="18"/>
        </w:rPr>
        <w:t>Homo erectus</w:t>
      </w:r>
      <w:r w:rsidRPr="00363188">
        <w:rPr>
          <w:sz w:val="18"/>
          <w:szCs w:val="18"/>
        </w:rPr>
        <w:t xml:space="preserve"> specimens across China. Nature 1–7 (2026) doi:10.1038/s41586-026-10478-8.</w:t>
      </w:r>
    </w:p>
    <w:bookmarkEnd w:id="14"/>
    <w:p w14:paraId="74F0F368" w14:textId="36E7B16E" w:rsidR="00AB1203" w:rsidRDefault="00AB1203" w:rsidP="00AB1203">
      <w:pPr>
        <w:numPr>
          <w:ilvl w:val="0"/>
          <w:numId w:val="8"/>
        </w:numPr>
        <w:jc w:val="both"/>
        <w:rPr>
          <w:sz w:val="18"/>
          <w:szCs w:val="18"/>
        </w:rPr>
      </w:pPr>
      <w:r>
        <w:rPr>
          <w:sz w:val="18"/>
          <w:szCs w:val="18"/>
        </w:rPr>
        <w:t xml:space="preserve">T. Kishida, M. Ohashi, Y. Komatsu, Genetic diversity and population history of the Japanese black bear ( </w:t>
      </w:r>
      <w:r>
        <w:rPr>
          <w:i/>
          <w:iCs/>
          <w:sz w:val="18"/>
          <w:szCs w:val="18"/>
        </w:rPr>
        <w:t>Ursus thibetanus japonicus</w:t>
      </w:r>
      <w:r>
        <w:rPr>
          <w:sz w:val="18"/>
          <w:szCs w:val="18"/>
        </w:rPr>
        <w:t xml:space="preserve"> ) based on the genome‐wide analyses. </w:t>
      </w:r>
      <w:r>
        <w:rPr>
          <w:i/>
          <w:iCs/>
          <w:sz w:val="18"/>
          <w:szCs w:val="18"/>
        </w:rPr>
        <w:t>Ecological Research</w:t>
      </w:r>
      <w:r>
        <w:rPr>
          <w:sz w:val="18"/>
          <w:szCs w:val="18"/>
        </w:rPr>
        <w:t xml:space="preserve"> 37, 647–657 (2022).</w:t>
      </w:r>
    </w:p>
    <w:p w14:paraId="5AB6DB7C" w14:textId="77777777" w:rsidR="00AB1203" w:rsidRDefault="00AB1203" w:rsidP="00AB1203">
      <w:pPr>
        <w:numPr>
          <w:ilvl w:val="0"/>
          <w:numId w:val="8"/>
        </w:numPr>
        <w:jc w:val="both"/>
        <w:rPr>
          <w:sz w:val="18"/>
          <w:szCs w:val="18"/>
        </w:rPr>
      </w:pPr>
      <w:r>
        <w:rPr>
          <w:sz w:val="18"/>
          <w:szCs w:val="18"/>
        </w:rPr>
        <w:t xml:space="preserve">S. Chen, Y. Zhou, Y. Chen, J. Gu, fastp: an ultra-fast all-in-one FASTQ preprocessor. </w:t>
      </w:r>
      <w:r>
        <w:rPr>
          <w:i/>
          <w:iCs/>
          <w:sz w:val="18"/>
          <w:szCs w:val="18"/>
        </w:rPr>
        <w:t>Bioinformatics</w:t>
      </w:r>
      <w:r>
        <w:rPr>
          <w:sz w:val="18"/>
          <w:szCs w:val="18"/>
        </w:rPr>
        <w:t xml:space="preserve"> 34, i884–i890 (2018).</w:t>
      </w:r>
    </w:p>
    <w:p w14:paraId="340F03E2" w14:textId="77777777" w:rsidR="00AB1203" w:rsidRDefault="00AB1203" w:rsidP="00AB1203">
      <w:pPr>
        <w:numPr>
          <w:ilvl w:val="0"/>
          <w:numId w:val="8"/>
        </w:numPr>
        <w:jc w:val="both"/>
        <w:rPr>
          <w:sz w:val="18"/>
          <w:szCs w:val="18"/>
        </w:rPr>
      </w:pPr>
      <w:r>
        <w:rPr>
          <w:sz w:val="18"/>
          <w:szCs w:val="18"/>
        </w:rPr>
        <w:t xml:space="preserve">E. E. Armstrong, </w:t>
      </w:r>
      <w:r>
        <w:rPr>
          <w:i/>
          <w:iCs/>
          <w:sz w:val="18"/>
          <w:szCs w:val="18"/>
        </w:rPr>
        <w:t>et al.</w:t>
      </w:r>
      <w:r>
        <w:rPr>
          <w:sz w:val="18"/>
          <w:szCs w:val="18"/>
        </w:rPr>
        <w:t>, A Beary Good Genome: Haplotype-Resolved, Chromosome-Level Assembly of the Brown Bear (</w:t>
      </w:r>
      <w:r>
        <w:rPr>
          <w:i/>
          <w:iCs/>
          <w:sz w:val="18"/>
          <w:szCs w:val="18"/>
        </w:rPr>
        <w:t>Ursus arctos</w:t>
      </w:r>
      <w:r>
        <w:rPr>
          <w:sz w:val="18"/>
          <w:szCs w:val="18"/>
        </w:rPr>
        <w:t xml:space="preserve">). </w:t>
      </w:r>
      <w:r>
        <w:rPr>
          <w:i/>
          <w:iCs/>
          <w:sz w:val="18"/>
          <w:szCs w:val="18"/>
        </w:rPr>
        <w:t>Genome Biology and Evolution</w:t>
      </w:r>
      <w:r>
        <w:rPr>
          <w:sz w:val="18"/>
          <w:szCs w:val="18"/>
        </w:rPr>
        <w:t xml:space="preserve"> 14, evac125 (2022).</w:t>
      </w:r>
    </w:p>
    <w:p w14:paraId="3F14B4CA" w14:textId="77777777" w:rsidR="00AB1203" w:rsidRDefault="00AB1203" w:rsidP="00AB1203">
      <w:pPr>
        <w:numPr>
          <w:ilvl w:val="0"/>
          <w:numId w:val="8"/>
        </w:numPr>
        <w:jc w:val="both"/>
        <w:rPr>
          <w:sz w:val="18"/>
          <w:szCs w:val="18"/>
        </w:rPr>
      </w:pPr>
      <w:r>
        <w:rPr>
          <w:sz w:val="18"/>
          <w:szCs w:val="18"/>
        </w:rPr>
        <w:t xml:space="preserve">H. Li, </w:t>
      </w:r>
      <w:proofErr w:type="gramStart"/>
      <w:r>
        <w:rPr>
          <w:sz w:val="18"/>
          <w:szCs w:val="18"/>
        </w:rPr>
        <w:t>Aligning</w:t>
      </w:r>
      <w:proofErr w:type="gramEnd"/>
      <w:r>
        <w:rPr>
          <w:sz w:val="18"/>
          <w:szCs w:val="18"/>
        </w:rPr>
        <w:t xml:space="preserve"> sequence reads, clone sequences and assembly contigs with BWA-MEM. </w:t>
      </w:r>
      <w:r>
        <w:rPr>
          <w:i/>
          <w:iCs/>
          <w:sz w:val="18"/>
          <w:szCs w:val="18"/>
        </w:rPr>
        <w:t>arXiv preprint arXiv:1303.3997</w:t>
      </w:r>
      <w:r>
        <w:rPr>
          <w:sz w:val="18"/>
          <w:szCs w:val="18"/>
        </w:rPr>
        <w:t xml:space="preserve"> (2013). </w:t>
      </w:r>
    </w:p>
    <w:p w14:paraId="1868925C" w14:textId="77777777" w:rsidR="00AB1203" w:rsidRDefault="00AB1203" w:rsidP="00AB1203">
      <w:pPr>
        <w:numPr>
          <w:ilvl w:val="0"/>
          <w:numId w:val="8"/>
        </w:numPr>
        <w:jc w:val="both"/>
        <w:rPr>
          <w:sz w:val="18"/>
          <w:szCs w:val="18"/>
        </w:rPr>
      </w:pPr>
      <w:r>
        <w:rPr>
          <w:sz w:val="18"/>
          <w:szCs w:val="18"/>
        </w:rPr>
        <w:t xml:space="preserve">G. Tischler, S. Leonard, </w:t>
      </w:r>
      <w:proofErr w:type="spellStart"/>
      <w:r>
        <w:rPr>
          <w:sz w:val="18"/>
          <w:szCs w:val="18"/>
        </w:rPr>
        <w:t>biobambam</w:t>
      </w:r>
      <w:proofErr w:type="spellEnd"/>
      <w:r>
        <w:rPr>
          <w:sz w:val="18"/>
          <w:szCs w:val="18"/>
        </w:rPr>
        <w:t xml:space="preserve">: tools for read pair </w:t>
      </w:r>
      <w:proofErr w:type="gramStart"/>
      <w:r>
        <w:rPr>
          <w:sz w:val="18"/>
          <w:szCs w:val="18"/>
        </w:rPr>
        <w:t>collation based</w:t>
      </w:r>
      <w:proofErr w:type="gramEnd"/>
      <w:r>
        <w:rPr>
          <w:sz w:val="18"/>
          <w:szCs w:val="18"/>
        </w:rPr>
        <w:t xml:space="preserve"> algorithms on BAM files.   </w:t>
      </w:r>
      <w:r>
        <w:rPr>
          <w:i/>
          <w:iCs/>
          <w:sz w:val="18"/>
          <w:szCs w:val="18"/>
        </w:rPr>
        <w:t>Source Code Biol Med</w:t>
      </w:r>
      <w:r>
        <w:rPr>
          <w:sz w:val="18"/>
          <w:szCs w:val="18"/>
        </w:rPr>
        <w:t xml:space="preserve"> 9, 13 (2014).    </w:t>
      </w:r>
    </w:p>
    <w:p w14:paraId="30DB378B" w14:textId="15A08997" w:rsidR="00AB1203" w:rsidRPr="00363188" w:rsidRDefault="00AB1203" w:rsidP="00363188">
      <w:pPr>
        <w:numPr>
          <w:ilvl w:val="0"/>
          <w:numId w:val="8"/>
        </w:numPr>
        <w:jc w:val="both"/>
        <w:rPr>
          <w:sz w:val="18"/>
          <w:szCs w:val="18"/>
        </w:rPr>
      </w:pPr>
      <w:r>
        <w:rPr>
          <w:sz w:val="18"/>
          <w:szCs w:val="18"/>
        </w:rPr>
        <w:t xml:space="preserve">A. McKenna, </w:t>
      </w:r>
      <w:r>
        <w:rPr>
          <w:i/>
          <w:iCs/>
          <w:sz w:val="18"/>
          <w:szCs w:val="18"/>
        </w:rPr>
        <w:t>et al.</w:t>
      </w:r>
      <w:r>
        <w:rPr>
          <w:sz w:val="18"/>
          <w:szCs w:val="18"/>
        </w:rPr>
        <w:t xml:space="preserve">, The Genome Analysis Toolkit: A MapReduce framework for analyzing next-generation DNA sequencing data. </w:t>
      </w:r>
      <w:r>
        <w:rPr>
          <w:i/>
          <w:iCs/>
          <w:sz w:val="18"/>
          <w:szCs w:val="18"/>
        </w:rPr>
        <w:t>Genome Res.</w:t>
      </w:r>
      <w:r>
        <w:rPr>
          <w:sz w:val="18"/>
          <w:szCs w:val="18"/>
        </w:rPr>
        <w:t xml:space="preserve"> 20, 1297–1303 (2010).  </w:t>
      </w:r>
    </w:p>
    <w:p w14:paraId="64EE9CBF" w14:textId="77777777" w:rsidR="00AB1203" w:rsidRDefault="00AB1203" w:rsidP="00AB1203">
      <w:pPr>
        <w:numPr>
          <w:ilvl w:val="0"/>
          <w:numId w:val="8"/>
        </w:numPr>
        <w:jc w:val="both"/>
        <w:rPr>
          <w:sz w:val="18"/>
          <w:szCs w:val="18"/>
        </w:rPr>
      </w:pPr>
      <w:r>
        <w:rPr>
          <w:sz w:val="18"/>
          <w:szCs w:val="18"/>
        </w:rPr>
        <w:t xml:space="preserve">A. Barlow, </w:t>
      </w:r>
      <w:r>
        <w:rPr>
          <w:i/>
          <w:iCs/>
          <w:sz w:val="18"/>
          <w:szCs w:val="18"/>
        </w:rPr>
        <w:t>et al.</w:t>
      </w:r>
      <w:r>
        <w:rPr>
          <w:sz w:val="18"/>
          <w:szCs w:val="18"/>
        </w:rPr>
        <w:t xml:space="preserve">, Partial genomic survival of cave bears in living brown bears. </w:t>
      </w:r>
      <w:r>
        <w:rPr>
          <w:i/>
          <w:iCs/>
          <w:sz w:val="18"/>
          <w:szCs w:val="18"/>
        </w:rPr>
        <w:t>Nat Ecol Evol</w:t>
      </w:r>
      <w:r>
        <w:rPr>
          <w:sz w:val="18"/>
          <w:szCs w:val="18"/>
        </w:rPr>
        <w:t xml:space="preserve"> 2, 1563–1570 (2018).  </w:t>
      </w:r>
    </w:p>
    <w:p w14:paraId="31002FA4" w14:textId="77777777" w:rsidR="00AB1203" w:rsidRDefault="00AB1203" w:rsidP="00AB1203">
      <w:pPr>
        <w:numPr>
          <w:ilvl w:val="0"/>
          <w:numId w:val="8"/>
        </w:numPr>
        <w:jc w:val="both"/>
        <w:rPr>
          <w:sz w:val="18"/>
          <w:szCs w:val="18"/>
        </w:rPr>
      </w:pPr>
      <w:r>
        <w:rPr>
          <w:sz w:val="18"/>
          <w:szCs w:val="18"/>
        </w:rPr>
        <w:t xml:space="preserve">G. G. Fortes, </w:t>
      </w:r>
      <w:r>
        <w:rPr>
          <w:i/>
          <w:iCs/>
          <w:sz w:val="18"/>
          <w:szCs w:val="18"/>
        </w:rPr>
        <w:t>et al.</w:t>
      </w:r>
      <w:r>
        <w:rPr>
          <w:sz w:val="18"/>
          <w:szCs w:val="18"/>
        </w:rPr>
        <w:t xml:space="preserve">, Ancient DNA reveals differences in behaviour and sociality between brown bears and extinct cave bears. </w:t>
      </w:r>
      <w:r>
        <w:rPr>
          <w:i/>
          <w:iCs/>
          <w:sz w:val="18"/>
          <w:szCs w:val="18"/>
        </w:rPr>
        <w:t>Molecular Ecology</w:t>
      </w:r>
      <w:r>
        <w:rPr>
          <w:sz w:val="18"/>
          <w:szCs w:val="18"/>
        </w:rPr>
        <w:t xml:space="preserve"> 25, 4907–4918 (2016).</w:t>
      </w:r>
    </w:p>
    <w:p w14:paraId="6F3081C3" w14:textId="77777777" w:rsidR="00AB1203" w:rsidRDefault="00AB1203" w:rsidP="00AB1203">
      <w:pPr>
        <w:numPr>
          <w:ilvl w:val="0"/>
          <w:numId w:val="8"/>
        </w:numPr>
        <w:jc w:val="both"/>
        <w:rPr>
          <w:sz w:val="18"/>
          <w:szCs w:val="18"/>
        </w:rPr>
      </w:pPr>
      <w:r>
        <w:rPr>
          <w:sz w:val="18"/>
          <w:szCs w:val="18"/>
        </w:rPr>
        <w:t xml:space="preserve">H. Li, R. Durbin, Fast and accurate short read alignment with Burrows-Wheeler transform. </w:t>
      </w:r>
      <w:r>
        <w:rPr>
          <w:i/>
          <w:iCs/>
          <w:sz w:val="18"/>
          <w:szCs w:val="18"/>
        </w:rPr>
        <w:t>Bioinformatics</w:t>
      </w:r>
      <w:r>
        <w:rPr>
          <w:sz w:val="18"/>
          <w:szCs w:val="18"/>
        </w:rPr>
        <w:t xml:space="preserve"> 25, 1754–1760 (2009).  </w:t>
      </w:r>
    </w:p>
    <w:p w14:paraId="32EF1837" w14:textId="77777777" w:rsidR="00AB1203" w:rsidRDefault="00AB1203" w:rsidP="00AB1203">
      <w:pPr>
        <w:numPr>
          <w:ilvl w:val="0"/>
          <w:numId w:val="8"/>
        </w:numPr>
        <w:jc w:val="both"/>
        <w:rPr>
          <w:sz w:val="18"/>
          <w:szCs w:val="18"/>
        </w:rPr>
      </w:pPr>
      <w:r>
        <w:rPr>
          <w:sz w:val="18"/>
          <w:szCs w:val="18"/>
        </w:rPr>
        <w:t xml:space="preserve">T. S. Korneliussen, A. Albrechtsen, R. Nielsen, ANGSD: Analysis of Next Generation Sequencing Data. </w:t>
      </w:r>
      <w:r>
        <w:rPr>
          <w:i/>
          <w:iCs/>
          <w:sz w:val="18"/>
          <w:szCs w:val="18"/>
        </w:rPr>
        <w:t>BMC Bioinformatics</w:t>
      </w:r>
      <w:r>
        <w:rPr>
          <w:sz w:val="18"/>
          <w:szCs w:val="18"/>
        </w:rPr>
        <w:t xml:space="preserve"> 15, 356 (2014).</w:t>
      </w:r>
    </w:p>
    <w:p w14:paraId="1980D1EC" w14:textId="77777777" w:rsidR="00AB1203" w:rsidRDefault="00AB1203" w:rsidP="00AB1203">
      <w:pPr>
        <w:numPr>
          <w:ilvl w:val="0"/>
          <w:numId w:val="8"/>
        </w:numPr>
        <w:jc w:val="both"/>
        <w:rPr>
          <w:sz w:val="18"/>
          <w:szCs w:val="18"/>
        </w:rPr>
      </w:pPr>
      <w:r>
        <w:rPr>
          <w:sz w:val="18"/>
          <w:szCs w:val="18"/>
        </w:rPr>
        <w:t xml:space="preserve">F. Madeira, </w:t>
      </w:r>
      <w:r>
        <w:rPr>
          <w:i/>
          <w:iCs/>
          <w:sz w:val="18"/>
          <w:szCs w:val="18"/>
        </w:rPr>
        <w:t>et al.</w:t>
      </w:r>
      <w:r>
        <w:rPr>
          <w:sz w:val="18"/>
          <w:szCs w:val="18"/>
        </w:rPr>
        <w:t xml:space="preserve">, Search and sequence analysis tools services from EMBL-EBI in 2022. </w:t>
      </w:r>
      <w:r>
        <w:rPr>
          <w:i/>
          <w:iCs/>
          <w:sz w:val="18"/>
          <w:szCs w:val="18"/>
        </w:rPr>
        <w:t>Nucleic acids research</w:t>
      </w:r>
      <w:r>
        <w:rPr>
          <w:sz w:val="18"/>
          <w:szCs w:val="18"/>
        </w:rPr>
        <w:t xml:space="preserve"> 50, W276–W279 (2022).</w:t>
      </w:r>
    </w:p>
    <w:p w14:paraId="7E01F956" w14:textId="77777777" w:rsidR="00AB1203" w:rsidRDefault="00AB1203" w:rsidP="00AB1203">
      <w:pPr>
        <w:numPr>
          <w:ilvl w:val="0"/>
          <w:numId w:val="8"/>
        </w:numPr>
        <w:jc w:val="both"/>
        <w:rPr>
          <w:sz w:val="18"/>
          <w:szCs w:val="18"/>
        </w:rPr>
      </w:pPr>
      <w:r>
        <w:rPr>
          <w:sz w:val="18"/>
          <w:szCs w:val="18"/>
        </w:rPr>
        <w:t xml:space="preserve">E. Gasteiger, </w:t>
      </w:r>
      <w:r>
        <w:rPr>
          <w:i/>
          <w:iCs/>
          <w:sz w:val="18"/>
          <w:szCs w:val="18"/>
        </w:rPr>
        <w:t>et al.</w:t>
      </w:r>
      <w:r>
        <w:rPr>
          <w:sz w:val="18"/>
          <w:szCs w:val="18"/>
        </w:rPr>
        <w:t xml:space="preserve">, ExPASy: the proteomics server for in-depth protein knowledge and analysis. </w:t>
      </w:r>
      <w:r>
        <w:rPr>
          <w:i/>
          <w:iCs/>
          <w:sz w:val="18"/>
          <w:szCs w:val="18"/>
        </w:rPr>
        <w:t>Nucleic acids research</w:t>
      </w:r>
      <w:r>
        <w:rPr>
          <w:sz w:val="18"/>
          <w:szCs w:val="18"/>
        </w:rPr>
        <w:t xml:space="preserve"> 31, 3784–3788 (2003).</w:t>
      </w:r>
    </w:p>
    <w:p w14:paraId="2CC757B2" w14:textId="77777777" w:rsidR="00AB1203" w:rsidRDefault="00AB1203" w:rsidP="00AB1203">
      <w:pPr>
        <w:numPr>
          <w:ilvl w:val="0"/>
          <w:numId w:val="8"/>
        </w:numPr>
        <w:jc w:val="both"/>
        <w:rPr>
          <w:sz w:val="18"/>
          <w:szCs w:val="18"/>
        </w:rPr>
      </w:pPr>
      <w:r>
        <w:rPr>
          <w:sz w:val="18"/>
          <w:szCs w:val="18"/>
        </w:rPr>
        <w:t xml:space="preserve">J. Cox, M. Mann, MaxQuant enables high peptide identification rates, individualized ppb-range mass accuracies and proteome-wide protein quantification. </w:t>
      </w:r>
      <w:r>
        <w:rPr>
          <w:i/>
          <w:iCs/>
          <w:sz w:val="18"/>
          <w:szCs w:val="18"/>
        </w:rPr>
        <w:t>Nature biotechnology</w:t>
      </w:r>
      <w:r>
        <w:rPr>
          <w:sz w:val="18"/>
          <w:szCs w:val="18"/>
        </w:rPr>
        <w:t xml:space="preserve"> 26, 1367–1372 (2008).</w:t>
      </w:r>
    </w:p>
    <w:p w14:paraId="767C2073" w14:textId="77777777" w:rsidR="00AB1203" w:rsidRDefault="00AB1203" w:rsidP="00AB1203">
      <w:pPr>
        <w:numPr>
          <w:ilvl w:val="0"/>
          <w:numId w:val="8"/>
        </w:numPr>
        <w:jc w:val="both"/>
        <w:rPr>
          <w:sz w:val="18"/>
          <w:szCs w:val="18"/>
        </w:rPr>
      </w:pPr>
      <w:r>
        <w:rPr>
          <w:sz w:val="18"/>
          <w:szCs w:val="18"/>
        </w:rPr>
        <w:t xml:space="preserve">P. P. Madupe, </w:t>
      </w:r>
      <w:r>
        <w:rPr>
          <w:i/>
          <w:iCs/>
          <w:sz w:val="18"/>
          <w:szCs w:val="18"/>
        </w:rPr>
        <w:t>et al.</w:t>
      </w:r>
      <w:r>
        <w:rPr>
          <w:sz w:val="18"/>
          <w:szCs w:val="18"/>
        </w:rPr>
        <w:t xml:space="preserve">, Enamel proteins reveal biological sex and genetic variability in southern African </w:t>
      </w:r>
      <w:r>
        <w:rPr>
          <w:i/>
          <w:iCs/>
          <w:sz w:val="18"/>
          <w:szCs w:val="18"/>
        </w:rPr>
        <w:t>Paranthropus</w:t>
      </w:r>
      <w:r>
        <w:rPr>
          <w:sz w:val="18"/>
          <w:szCs w:val="18"/>
        </w:rPr>
        <w:t xml:space="preserve">. </w:t>
      </w:r>
      <w:r>
        <w:rPr>
          <w:i/>
          <w:iCs/>
          <w:sz w:val="18"/>
          <w:szCs w:val="18"/>
        </w:rPr>
        <w:t>Science</w:t>
      </w:r>
      <w:r>
        <w:rPr>
          <w:sz w:val="18"/>
          <w:szCs w:val="18"/>
        </w:rPr>
        <w:t xml:space="preserve"> 388, 969–973 (2025).</w:t>
      </w:r>
    </w:p>
    <w:p w14:paraId="7E6C4DB0" w14:textId="77777777" w:rsidR="00AB1203" w:rsidRDefault="00AB1203" w:rsidP="00AB1203">
      <w:pPr>
        <w:numPr>
          <w:ilvl w:val="0"/>
          <w:numId w:val="8"/>
        </w:numPr>
        <w:jc w:val="both"/>
        <w:rPr>
          <w:sz w:val="18"/>
          <w:szCs w:val="18"/>
        </w:rPr>
      </w:pPr>
      <w:r>
        <w:rPr>
          <w:sz w:val="18"/>
          <w:szCs w:val="18"/>
        </w:rPr>
        <w:t xml:space="preserve">A. J. Taurozzi, </w:t>
      </w:r>
      <w:r>
        <w:rPr>
          <w:i/>
          <w:iCs/>
          <w:sz w:val="18"/>
          <w:szCs w:val="18"/>
        </w:rPr>
        <w:t>et al.</w:t>
      </w:r>
      <w:r>
        <w:rPr>
          <w:sz w:val="18"/>
          <w:szCs w:val="18"/>
        </w:rPr>
        <w:t xml:space="preserve">, Deep-time phylogenetic inference by paleoproteomic analysis of dental enamel. </w:t>
      </w:r>
      <w:r>
        <w:rPr>
          <w:i/>
          <w:iCs/>
          <w:sz w:val="18"/>
          <w:szCs w:val="18"/>
        </w:rPr>
        <w:t>Nat Protoc</w:t>
      </w:r>
      <w:r>
        <w:rPr>
          <w:sz w:val="18"/>
          <w:szCs w:val="18"/>
        </w:rPr>
        <w:t xml:space="preserve"> 19, 2085–2116 (2024).</w:t>
      </w:r>
    </w:p>
    <w:p w14:paraId="1BED4849" w14:textId="77777777" w:rsidR="00AB1203" w:rsidRDefault="00AB1203" w:rsidP="00AB1203">
      <w:pPr>
        <w:numPr>
          <w:ilvl w:val="0"/>
          <w:numId w:val="8"/>
        </w:numPr>
        <w:jc w:val="both"/>
        <w:rPr>
          <w:sz w:val="18"/>
          <w:szCs w:val="18"/>
        </w:rPr>
      </w:pPr>
      <w:bookmarkStart w:id="15" w:name="_Hlk227496287"/>
      <w:r>
        <w:rPr>
          <w:sz w:val="18"/>
          <w:szCs w:val="18"/>
        </w:rPr>
        <w:t xml:space="preserve">E. Cappellini, et al., Early Pleistocene enamel proteome from Dmanisi resolves </w:t>
      </w:r>
      <w:r>
        <w:rPr>
          <w:i/>
          <w:iCs/>
          <w:sz w:val="18"/>
          <w:szCs w:val="18"/>
        </w:rPr>
        <w:t>Stephanorhinus</w:t>
      </w:r>
      <w:r>
        <w:rPr>
          <w:sz w:val="18"/>
          <w:szCs w:val="18"/>
        </w:rPr>
        <w:t xml:space="preserve"> phylogeny. Nature 574, 103–107 (2019). </w:t>
      </w:r>
    </w:p>
    <w:bookmarkEnd w:id="15"/>
    <w:p w14:paraId="78FAC8FF" w14:textId="77777777" w:rsidR="00AB1203" w:rsidRDefault="00AB1203" w:rsidP="00AB1203">
      <w:pPr>
        <w:numPr>
          <w:ilvl w:val="0"/>
          <w:numId w:val="8"/>
        </w:numPr>
        <w:jc w:val="both"/>
        <w:rPr>
          <w:sz w:val="18"/>
          <w:szCs w:val="18"/>
        </w:rPr>
      </w:pPr>
      <w:r>
        <w:rPr>
          <w:sz w:val="18"/>
          <w:szCs w:val="18"/>
        </w:rPr>
        <w:t xml:space="preserve">F. Welker, </w:t>
      </w:r>
      <w:r>
        <w:rPr>
          <w:i/>
          <w:iCs/>
          <w:sz w:val="18"/>
          <w:szCs w:val="18"/>
        </w:rPr>
        <w:t>et al.</w:t>
      </w:r>
      <w:r>
        <w:rPr>
          <w:sz w:val="18"/>
          <w:szCs w:val="18"/>
        </w:rPr>
        <w:t xml:space="preserve">, The dental proteome of </w:t>
      </w:r>
      <w:r>
        <w:rPr>
          <w:i/>
          <w:iCs/>
          <w:sz w:val="18"/>
          <w:szCs w:val="18"/>
        </w:rPr>
        <w:t>Homo antecessor</w:t>
      </w:r>
      <w:r>
        <w:rPr>
          <w:sz w:val="18"/>
          <w:szCs w:val="18"/>
        </w:rPr>
        <w:t xml:space="preserve">. </w:t>
      </w:r>
      <w:r>
        <w:rPr>
          <w:i/>
          <w:iCs/>
          <w:sz w:val="18"/>
          <w:szCs w:val="18"/>
        </w:rPr>
        <w:t>Nature</w:t>
      </w:r>
      <w:r>
        <w:rPr>
          <w:sz w:val="18"/>
          <w:szCs w:val="18"/>
        </w:rPr>
        <w:t xml:space="preserve"> 580, 235–238 (2020). </w:t>
      </w:r>
    </w:p>
    <w:p w14:paraId="1512B7D5" w14:textId="702E953D" w:rsidR="00826D8E" w:rsidRDefault="00DF2D49" w:rsidP="00AB1203">
      <w:pPr>
        <w:numPr>
          <w:ilvl w:val="0"/>
          <w:numId w:val="8"/>
        </w:numPr>
        <w:jc w:val="both"/>
        <w:rPr>
          <w:sz w:val="18"/>
          <w:szCs w:val="18"/>
        </w:rPr>
      </w:pPr>
      <w:r>
        <w:rPr>
          <w:sz w:val="18"/>
          <w:szCs w:val="18"/>
        </w:rPr>
        <w:t xml:space="preserve">I. </w:t>
      </w:r>
      <w:r w:rsidR="00826D8E" w:rsidRPr="00826D8E">
        <w:rPr>
          <w:sz w:val="18"/>
          <w:szCs w:val="18"/>
        </w:rPr>
        <w:t xml:space="preserve">Patramanis, </w:t>
      </w:r>
      <w:r w:rsidR="00826D8E" w:rsidRPr="00DF2D49">
        <w:rPr>
          <w:i/>
          <w:sz w:val="18"/>
          <w:szCs w:val="18"/>
        </w:rPr>
        <w:t>et</w:t>
      </w:r>
      <w:r>
        <w:rPr>
          <w:i/>
          <w:sz w:val="18"/>
          <w:szCs w:val="18"/>
        </w:rPr>
        <w:t xml:space="preserve"> </w:t>
      </w:r>
      <w:r w:rsidR="00826D8E" w:rsidRPr="00DF2D49">
        <w:rPr>
          <w:i/>
          <w:sz w:val="18"/>
          <w:szCs w:val="18"/>
        </w:rPr>
        <w:t>al.</w:t>
      </w:r>
      <w:r w:rsidRPr="00DF2D49">
        <w:rPr>
          <w:i/>
          <w:sz w:val="18"/>
          <w:szCs w:val="18"/>
        </w:rPr>
        <w:t>,</w:t>
      </w:r>
      <w:r>
        <w:rPr>
          <w:sz w:val="18"/>
          <w:szCs w:val="18"/>
        </w:rPr>
        <w:t xml:space="preserve"> </w:t>
      </w:r>
      <w:r w:rsidR="00826D8E" w:rsidRPr="00826D8E">
        <w:rPr>
          <w:sz w:val="18"/>
          <w:szCs w:val="18"/>
        </w:rPr>
        <w:t>Assessing the potential of ancient protein sequences in the study of hominid evolution.</w:t>
      </w:r>
      <w:r>
        <w:rPr>
          <w:sz w:val="18"/>
          <w:szCs w:val="18"/>
        </w:rPr>
        <w:t xml:space="preserve"> </w:t>
      </w:r>
      <w:r w:rsidRPr="00DF2D49">
        <w:rPr>
          <w:sz w:val="18"/>
          <w:szCs w:val="18"/>
        </w:rPr>
        <w:t>Genome Biol. Evol. 18, evag035 (2026).</w:t>
      </w:r>
    </w:p>
    <w:p w14:paraId="47FDCC7B" w14:textId="7A868113" w:rsidR="00AB1203" w:rsidRDefault="00AB1203" w:rsidP="00AB1203">
      <w:pPr>
        <w:numPr>
          <w:ilvl w:val="0"/>
          <w:numId w:val="8"/>
        </w:numPr>
        <w:jc w:val="both"/>
        <w:rPr>
          <w:sz w:val="18"/>
          <w:szCs w:val="18"/>
        </w:rPr>
      </w:pPr>
      <w:r>
        <w:rPr>
          <w:sz w:val="18"/>
          <w:szCs w:val="18"/>
        </w:rPr>
        <w:t xml:space="preserve">K. Katoh, K. Misawa, K. Kuma, T. Miyata, MAFFT: a novel method for rapid multiple sequence alignment based on fast Fourier transform. </w:t>
      </w:r>
      <w:r>
        <w:rPr>
          <w:i/>
          <w:iCs/>
          <w:sz w:val="18"/>
          <w:szCs w:val="18"/>
        </w:rPr>
        <w:t>Nucleic Acids Research</w:t>
      </w:r>
      <w:r>
        <w:rPr>
          <w:sz w:val="18"/>
          <w:szCs w:val="18"/>
        </w:rPr>
        <w:t xml:space="preserve"> </w:t>
      </w:r>
      <w:r>
        <w:rPr>
          <w:b/>
          <w:bCs/>
          <w:sz w:val="18"/>
          <w:szCs w:val="18"/>
        </w:rPr>
        <w:t>30</w:t>
      </w:r>
      <w:r>
        <w:rPr>
          <w:sz w:val="18"/>
          <w:szCs w:val="18"/>
        </w:rPr>
        <w:t>, 3059–3066 (2002).</w:t>
      </w:r>
    </w:p>
    <w:p w14:paraId="6E9A6F9C" w14:textId="77777777" w:rsidR="00AB1203" w:rsidRDefault="00AB1203" w:rsidP="00AB1203">
      <w:pPr>
        <w:numPr>
          <w:ilvl w:val="0"/>
          <w:numId w:val="8"/>
        </w:numPr>
        <w:jc w:val="both"/>
        <w:rPr>
          <w:sz w:val="18"/>
          <w:szCs w:val="18"/>
        </w:rPr>
      </w:pPr>
      <w:r>
        <w:rPr>
          <w:sz w:val="18"/>
          <w:szCs w:val="18"/>
        </w:rPr>
        <w:t xml:space="preserve">J. Castresana, Selection of Conserved Blocks from Multiple Alignments for Their Use in Phylogenetic Analysis. </w:t>
      </w:r>
      <w:r>
        <w:rPr>
          <w:i/>
          <w:iCs/>
          <w:sz w:val="18"/>
          <w:szCs w:val="18"/>
        </w:rPr>
        <w:t>Molecular Biology and Evolution</w:t>
      </w:r>
      <w:r>
        <w:rPr>
          <w:sz w:val="18"/>
          <w:szCs w:val="18"/>
        </w:rPr>
        <w:t xml:space="preserve"> </w:t>
      </w:r>
      <w:r>
        <w:rPr>
          <w:b/>
          <w:bCs/>
          <w:sz w:val="18"/>
          <w:szCs w:val="18"/>
        </w:rPr>
        <w:t>17</w:t>
      </w:r>
      <w:r>
        <w:rPr>
          <w:sz w:val="18"/>
          <w:szCs w:val="18"/>
        </w:rPr>
        <w:t>, 540–552 (2000).</w:t>
      </w:r>
    </w:p>
    <w:p w14:paraId="35B8A736" w14:textId="77777777" w:rsidR="00AB1203" w:rsidRDefault="00AB1203" w:rsidP="00AB1203">
      <w:pPr>
        <w:numPr>
          <w:ilvl w:val="0"/>
          <w:numId w:val="8"/>
        </w:numPr>
        <w:jc w:val="both"/>
        <w:rPr>
          <w:sz w:val="18"/>
          <w:szCs w:val="18"/>
        </w:rPr>
      </w:pPr>
      <w:r>
        <w:rPr>
          <w:sz w:val="18"/>
          <w:szCs w:val="18"/>
        </w:rPr>
        <w:t xml:space="preserve">L.-T. Nguyen, H. A. Schmidt, A. Von Haeseler, B. Q. Minh, IQ-TREE: a fast and effective stochastic algorithm for estimating maximum-likelihood phylogenies. </w:t>
      </w:r>
      <w:r>
        <w:rPr>
          <w:i/>
          <w:iCs/>
          <w:sz w:val="18"/>
          <w:szCs w:val="18"/>
        </w:rPr>
        <w:t>Molecular biology and evolution</w:t>
      </w:r>
      <w:r>
        <w:rPr>
          <w:sz w:val="18"/>
          <w:szCs w:val="18"/>
        </w:rPr>
        <w:t xml:space="preserve"> </w:t>
      </w:r>
      <w:r>
        <w:rPr>
          <w:b/>
          <w:bCs/>
          <w:sz w:val="18"/>
          <w:szCs w:val="18"/>
        </w:rPr>
        <w:t>32</w:t>
      </w:r>
      <w:r>
        <w:rPr>
          <w:sz w:val="18"/>
          <w:szCs w:val="18"/>
        </w:rPr>
        <w:t>, 268–274 (2015).</w:t>
      </w:r>
    </w:p>
    <w:p w14:paraId="284FFFF8" w14:textId="2668057B" w:rsidR="00AB1203" w:rsidRPr="00B979E6" w:rsidRDefault="00AB1203" w:rsidP="00B979E6">
      <w:pPr>
        <w:numPr>
          <w:ilvl w:val="0"/>
          <w:numId w:val="8"/>
        </w:numPr>
        <w:jc w:val="both"/>
        <w:rPr>
          <w:sz w:val="18"/>
          <w:szCs w:val="18"/>
        </w:rPr>
      </w:pPr>
      <w:r>
        <w:rPr>
          <w:sz w:val="18"/>
          <w:szCs w:val="18"/>
        </w:rPr>
        <w:t xml:space="preserve">S. Kalyaanamoorthy, B. Q. Minh, T. K. Wong, A. Von Haeseler, L. S. Jermiin, ModelFinder: fast model selection for accurate phylogenetic estimates. </w:t>
      </w:r>
      <w:r>
        <w:rPr>
          <w:i/>
          <w:iCs/>
          <w:sz w:val="18"/>
          <w:szCs w:val="18"/>
        </w:rPr>
        <w:t>Nature methods</w:t>
      </w:r>
      <w:r>
        <w:rPr>
          <w:sz w:val="18"/>
          <w:szCs w:val="18"/>
        </w:rPr>
        <w:t xml:space="preserve"> </w:t>
      </w:r>
      <w:r>
        <w:rPr>
          <w:b/>
          <w:bCs/>
          <w:sz w:val="18"/>
          <w:szCs w:val="18"/>
        </w:rPr>
        <w:t>14</w:t>
      </w:r>
      <w:r>
        <w:rPr>
          <w:sz w:val="18"/>
          <w:szCs w:val="18"/>
        </w:rPr>
        <w:t>, 587–589 (2017).</w:t>
      </w:r>
    </w:p>
    <w:p w14:paraId="201BA07E" w14:textId="77777777" w:rsidR="00AB1203" w:rsidRDefault="00AB1203" w:rsidP="00AB1203">
      <w:pPr>
        <w:numPr>
          <w:ilvl w:val="0"/>
          <w:numId w:val="8"/>
        </w:numPr>
        <w:jc w:val="both"/>
        <w:rPr>
          <w:sz w:val="18"/>
          <w:szCs w:val="18"/>
        </w:rPr>
      </w:pPr>
      <w:r>
        <w:rPr>
          <w:sz w:val="18"/>
          <w:szCs w:val="18"/>
        </w:rPr>
        <w:t xml:space="preserve">F. Ronquist, </w:t>
      </w:r>
      <w:r>
        <w:rPr>
          <w:i/>
          <w:iCs/>
          <w:sz w:val="18"/>
          <w:szCs w:val="18"/>
        </w:rPr>
        <w:t>et al.</w:t>
      </w:r>
      <w:r>
        <w:rPr>
          <w:sz w:val="18"/>
          <w:szCs w:val="18"/>
        </w:rPr>
        <w:t xml:space="preserve">, MrBayes 3.2: Efficient Bayesian Phylogenetic Inference and Model Choice Across a Large Model Space. </w:t>
      </w:r>
      <w:r>
        <w:rPr>
          <w:i/>
          <w:iCs/>
          <w:sz w:val="18"/>
          <w:szCs w:val="18"/>
        </w:rPr>
        <w:t>Systematic Biology</w:t>
      </w:r>
      <w:r>
        <w:rPr>
          <w:sz w:val="18"/>
          <w:szCs w:val="18"/>
        </w:rPr>
        <w:t xml:space="preserve"> </w:t>
      </w:r>
      <w:r>
        <w:rPr>
          <w:b/>
          <w:bCs/>
          <w:sz w:val="18"/>
          <w:szCs w:val="18"/>
        </w:rPr>
        <w:t>61</w:t>
      </w:r>
      <w:r>
        <w:rPr>
          <w:sz w:val="18"/>
          <w:szCs w:val="18"/>
        </w:rPr>
        <w:t>, 539–542 (2012).</w:t>
      </w:r>
    </w:p>
    <w:p w14:paraId="5EE8BB9E" w14:textId="77777777" w:rsidR="00AB1203" w:rsidRDefault="00AB1203" w:rsidP="00AB1203">
      <w:pPr>
        <w:numPr>
          <w:ilvl w:val="0"/>
          <w:numId w:val="8"/>
        </w:numPr>
        <w:jc w:val="both"/>
        <w:rPr>
          <w:sz w:val="18"/>
          <w:szCs w:val="18"/>
        </w:rPr>
      </w:pPr>
      <w:r w:rsidRPr="00D25DAF">
        <w:rPr>
          <w:sz w:val="18"/>
          <w:szCs w:val="18"/>
          <w:lang w:val="es-ES"/>
        </w:rPr>
        <w:lastRenderedPageBreak/>
        <w:t xml:space="preserve">L. Capasso Barbato, M. R. Minieri, C. Petronio, A. Vigna Taglianti, Strutture dentarie di </w:t>
      </w:r>
      <w:r w:rsidRPr="00D25DAF">
        <w:rPr>
          <w:i/>
          <w:iCs/>
          <w:sz w:val="18"/>
          <w:szCs w:val="18"/>
          <w:lang w:val="es-ES"/>
        </w:rPr>
        <w:t>Ursus arctos</w:t>
      </w:r>
      <w:r w:rsidRPr="00D25DAF">
        <w:rPr>
          <w:sz w:val="18"/>
          <w:szCs w:val="18"/>
          <w:lang w:val="es-ES"/>
        </w:rPr>
        <w:t xml:space="preserve"> e di </w:t>
      </w:r>
      <w:r w:rsidRPr="00D25DAF">
        <w:rPr>
          <w:i/>
          <w:iCs/>
          <w:sz w:val="18"/>
          <w:szCs w:val="18"/>
          <w:lang w:val="es-ES"/>
        </w:rPr>
        <w:t>Ursus spelaeu</w:t>
      </w:r>
      <w:r w:rsidRPr="00D25DAF">
        <w:rPr>
          <w:sz w:val="18"/>
          <w:szCs w:val="18"/>
          <w:lang w:val="es-ES"/>
        </w:rPr>
        <w:t xml:space="preserve">s della Grotta di Monte Cucco (Sigillo, Perugia, Italia). </w:t>
      </w:r>
      <w:r>
        <w:rPr>
          <w:i/>
          <w:iCs/>
          <w:sz w:val="18"/>
          <w:szCs w:val="18"/>
        </w:rPr>
        <w:t xml:space="preserve">Bollettino della Società </w:t>
      </w:r>
      <w:proofErr w:type="spellStart"/>
      <w:r>
        <w:rPr>
          <w:i/>
          <w:iCs/>
          <w:sz w:val="18"/>
          <w:szCs w:val="18"/>
        </w:rPr>
        <w:t>paleontologica</w:t>
      </w:r>
      <w:proofErr w:type="spellEnd"/>
      <w:r>
        <w:rPr>
          <w:i/>
          <w:iCs/>
          <w:sz w:val="18"/>
          <w:szCs w:val="18"/>
        </w:rPr>
        <w:t xml:space="preserve"> </w:t>
      </w:r>
      <w:proofErr w:type="spellStart"/>
      <w:r>
        <w:rPr>
          <w:i/>
          <w:iCs/>
          <w:sz w:val="18"/>
          <w:szCs w:val="18"/>
        </w:rPr>
        <w:t>italiana</w:t>
      </w:r>
      <w:proofErr w:type="spellEnd"/>
      <w:r>
        <w:rPr>
          <w:sz w:val="18"/>
          <w:szCs w:val="18"/>
        </w:rPr>
        <w:t xml:space="preserve"> 29 (1990).</w:t>
      </w:r>
    </w:p>
    <w:p w14:paraId="21727EEE" w14:textId="77777777" w:rsidR="00AB1203" w:rsidRDefault="00AB1203" w:rsidP="00AB1203">
      <w:pPr>
        <w:numPr>
          <w:ilvl w:val="0"/>
          <w:numId w:val="8"/>
        </w:numPr>
        <w:jc w:val="both"/>
        <w:rPr>
          <w:sz w:val="18"/>
          <w:szCs w:val="18"/>
        </w:rPr>
      </w:pPr>
      <w:r>
        <w:rPr>
          <w:sz w:val="18"/>
          <w:szCs w:val="18"/>
        </w:rPr>
        <w:t xml:space="preserve">E. R. Schroeter, T. P. Cleland, Glutamine deamidation: an indicator of antiquity, or preservational quality? </w:t>
      </w:r>
      <w:r>
        <w:rPr>
          <w:i/>
          <w:iCs/>
          <w:sz w:val="18"/>
          <w:szCs w:val="18"/>
        </w:rPr>
        <w:t>Rapid Communications in Mass Spectrometry</w:t>
      </w:r>
      <w:r>
        <w:rPr>
          <w:sz w:val="18"/>
          <w:szCs w:val="18"/>
        </w:rPr>
        <w:t xml:space="preserve"> 30, 251–255 (2016).</w:t>
      </w:r>
    </w:p>
    <w:p w14:paraId="407C44D5" w14:textId="77777777" w:rsidR="00AB1203" w:rsidRDefault="00AB1203" w:rsidP="00AB1203">
      <w:pPr>
        <w:numPr>
          <w:ilvl w:val="0"/>
          <w:numId w:val="8"/>
        </w:numPr>
        <w:jc w:val="both"/>
        <w:rPr>
          <w:sz w:val="18"/>
          <w:szCs w:val="18"/>
        </w:rPr>
      </w:pPr>
      <w:r>
        <w:rPr>
          <w:sz w:val="18"/>
          <w:szCs w:val="18"/>
        </w:rPr>
        <w:t xml:space="preserve">J. D. Pongracz, D. Paetkau, M. Branigan, E. Richardson, Recent Hybridization between a Polar Bear and Grizzly Bears in the Canadian Arctic. </w:t>
      </w:r>
      <w:r>
        <w:rPr>
          <w:i/>
          <w:iCs/>
          <w:sz w:val="18"/>
          <w:szCs w:val="18"/>
        </w:rPr>
        <w:t>Arctic</w:t>
      </w:r>
      <w:r>
        <w:rPr>
          <w:sz w:val="18"/>
          <w:szCs w:val="18"/>
        </w:rPr>
        <w:t xml:space="preserve"> 70, 151–160 (2017).</w:t>
      </w:r>
    </w:p>
    <w:p w14:paraId="7A696715" w14:textId="77777777" w:rsidR="00AB1203" w:rsidRDefault="00AB1203" w:rsidP="00AB1203">
      <w:pPr>
        <w:numPr>
          <w:ilvl w:val="0"/>
          <w:numId w:val="8"/>
        </w:numPr>
        <w:jc w:val="both"/>
        <w:rPr>
          <w:sz w:val="18"/>
          <w:szCs w:val="18"/>
        </w:rPr>
      </w:pPr>
      <w:r>
        <w:rPr>
          <w:sz w:val="18"/>
          <w:szCs w:val="18"/>
        </w:rPr>
        <w:t xml:space="preserve">J. A. Cahill, </w:t>
      </w:r>
      <w:r>
        <w:rPr>
          <w:i/>
          <w:iCs/>
          <w:sz w:val="18"/>
          <w:szCs w:val="18"/>
        </w:rPr>
        <w:t>et al.</w:t>
      </w:r>
      <w:r>
        <w:rPr>
          <w:sz w:val="18"/>
          <w:szCs w:val="18"/>
        </w:rPr>
        <w:t xml:space="preserve">, Genomic evidence of widespread admixture from polar bears into brown bears during the last ice age. </w:t>
      </w:r>
      <w:r>
        <w:rPr>
          <w:i/>
          <w:iCs/>
          <w:sz w:val="18"/>
          <w:szCs w:val="18"/>
        </w:rPr>
        <w:t>Molecular Biology and Evolution</w:t>
      </w:r>
      <w:r>
        <w:rPr>
          <w:sz w:val="18"/>
          <w:szCs w:val="18"/>
        </w:rPr>
        <w:t xml:space="preserve"> 35, 1120–1129 (2018).</w:t>
      </w:r>
    </w:p>
    <w:p w14:paraId="38A48A50" w14:textId="77777777" w:rsidR="00AB1203" w:rsidRDefault="00AB1203" w:rsidP="00AB1203">
      <w:pPr>
        <w:numPr>
          <w:ilvl w:val="0"/>
          <w:numId w:val="8"/>
        </w:numPr>
        <w:jc w:val="both"/>
        <w:rPr>
          <w:sz w:val="18"/>
          <w:szCs w:val="18"/>
        </w:rPr>
      </w:pPr>
      <w:r>
        <w:rPr>
          <w:sz w:val="18"/>
          <w:szCs w:val="18"/>
        </w:rPr>
        <w:t xml:space="preserve">E. C. Salido, P. H. Yen, K. Koprivnikar, L.-C. Yu, L. J. Shapiro, </w:t>
      </w:r>
      <w:proofErr w:type="gramStart"/>
      <w:r>
        <w:rPr>
          <w:sz w:val="18"/>
          <w:szCs w:val="18"/>
        </w:rPr>
        <w:t>The</w:t>
      </w:r>
      <w:proofErr w:type="gramEnd"/>
      <w:r>
        <w:rPr>
          <w:sz w:val="18"/>
          <w:szCs w:val="18"/>
        </w:rPr>
        <w:t xml:space="preserve"> human enamel protein gene amelogenin is expressed from both the X and the Y chromosomes. </w:t>
      </w:r>
      <w:r>
        <w:rPr>
          <w:i/>
          <w:iCs/>
          <w:sz w:val="18"/>
          <w:szCs w:val="18"/>
        </w:rPr>
        <w:t>American journal of human genetics</w:t>
      </w:r>
      <w:r>
        <w:rPr>
          <w:sz w:val="18"/>
          <w:szCs w:val="18"/>
        </w:rPr>
        <w:t xml:space="preserve"> 50, 303 (1992).</w:t>
      </w:r>
    </w:p>
    <w:p w14:paraId="1B5AF84E" w14:textId="77777777" w:rsidR="00AB1203" w:rsidRDefault="00AB1203" w:rsidP="00AB1203">
      <w:pPr>
        <w:numPr>
          <w:ilvl w:val="0"/>
          <w:numId w:val="8"/>
        </w:numPr>
        <w:jc w:val="both"/>
        <w:rPr>
          <w:sz w:val="18"/>
          <w:szCs w:val="18"/>
        </w:rPr>
      </w:pPr>
      <w:r>
        <w:rPr>
          <w:sz w:val="18"/>
          <w:szCs w:val="18"/>
        </w:rPr>
        <w:t>A. Grandal-D’Anglade, J. R. Vidal Romaní, A population study on the cave bear (</w:t>
      </w:r>
      <w:r>
        <w:rPr>
          <w:i/>
          <w:iCs/>
          <w:sz w:val="18"/>
          <w:szCs w:val="18"/>
        </w:rPr>
        <w:t>Ursus spelaeus</w:t>
      </w:r>
      <w:r>
        <w:rPr>
          <w:sz w:val="18"/>
          <w:szCs w:val="18"/>
        </w:rPr>
        <w:t xml:space="preserve"> Ros.-Hein.) from Cova Eirós (Triacastela, Galicia, Spain). </w:t>
      </w:r>
      <w:r>
        <w:rPr>
          <w:i/>
          <w:iCs/>
          <w:sz w:val="18"/>
          <w:szCs w:val="18"/>
        </w:rPr>
        <w:t>Geobios</w:t>
      </w:r>
      <w:r>
        <w:rPr>
          <w:sz w:val="18"/>
          <w:szCs w:val="18"/>
        </w:rPr>
        <w:t xml:space="preserve"> 30, 723–731 (1997).</w:t>
      </w:r>
    </w:p>
    <w:p w14:paraId="0BF488A1" w14:textId="77777777" w:rsidR="00AB1203" w:rsidRDefault="00AB1203" w:rsidP="00AB1203">
      <w:pPr>
        <w:numPr>
          <w:ilvl w:val="0"/>
          <w:numId w:val="8"/>
        </w:numPr>
        <w:jc w:val="both"/>
        <w:rPr>
          <w:sz w:val="18"/>
          <w:szCs w:val="18"/>
          <w:highlight w:val="white"/>
        </w:rPr>
      </w:pPr>
      <w:r w:rsidRPr="00D25DAF">
        <w:rPr>
          <w:sz w:val="18"/>
          <w:szCs w:val="18"/>
          <w:highlight w:val="white"/>
          <w:lang w:val="es-ES"/>
        </w:rPr>
        <w:t xml:space="preserve">T. J. Torres Pérez-Hidalgo, Cueva Coro Tracito (Tella Sin, Huesca) el primer yacimiento de alta montaña español de Ursus spelaeus Ros-Hein. </w:t>
      </w:r>
      <w:r>
        <w:rPr>
          <w:sz w:val="18"/>
          <w:szCs w:val="18"/>
          <w:highlight w:val="white"/>
        </w:rPr>
        <w:t xml:space="preserve">Nota </w:t>
      </w:r>
      <w:proofErr w:type="spellStart"/>
      <w:r>
        <w:rPr>
          <w:sz w:val="18"/>
          <w:szCs w:val="18"/>
          <w:highlight w:val="white"/>
        </w:rPr>
        <w:t>preliminar</w:t>
      </w:r>
      <w:proofErr w:type="spellEnd"/>
      <w:r>
        <w:rPr>
          <w:sz w:val="18"/>
          <w:szCs w:val="18"/>
          <w:highlight w:val="white"/>
        </w:rPr>
        <w:t xml:space="preserve">. </w:t>
      </w:r>
      <w:r>
        <w:rPr>
          <w:i/>
          <w:iCs/>
          <w:sz w:val="18"/>
          <w:szCs w:val="18"/>
          <w:highlight w:val="white"/>
        </w:rPr>
        <w:t>Geogaceta</w:t>
      </w:r>
      <w:r>
        <w:rPr>
          <w:sz w:val="18"/>
          <w:szCs w:val="18"/>
          <w:highlight w:val="white"/>
        </w:rPr>
        <w:t xml:space="preserve"> 303–306 (1998).</w:t>
      </w:r>
    </w:p>
    <w:p w14:paraId="3F2A361F" w14:textId="77777777" w:rsidR="00AB1203" w:rsidRDefault="00AB1203" w:rsidP="00AB1203">
      <w:pPr>
        <w:numPr>
          <w:ilvl w:val="0"/>
          <w:numId w:val="8"/>
        </w:numPr>
        <w:jc w:val="both"/>
        <w:rPr>
          <w:sz w:val="18"/>
          <w:szCs w:val="18"/>
        </w:rPr>
      </w:pPr>
      <w:r>
        <w:rPr>
          <w:sz w:val="18"/>
          <w:szCs w:val="18"/>
        </w:rPr>
        <w:t xml:space="preserve">J. Rodríguez, </w:t>
      </w:r>
      <w:r>
        <w:rPr>
          <w:i/>
          <w:iCs/>
          <w:sz w:val="18"/>
          <w:szCs w:val="18"/>
        </w:rPr>
        <w:t>et al.</w:t>
      </w:r>
      <w:r>
        <w:rPr>
          <w:sz w:val="18"/>
          <w:szCs w:val="18"/>
        </w:rPr>
        <w:t xml:space="preserve">, One million years of cultural evolution in a stable environment at Atapuerca (Burgos, Spain). </w:t>
      </w:r>
      <w:r>
        <w:rPr>
          <w:i/>
          <w:iCs/>
          <w:sz w:val="18"/>
          <w:szCs w:val="18"/>
        </w:rPr>
        <w:t>Quaternary Science Reviews</w:t>
      </w:r>
      <w:r>
        <w:rPr>
          <w:sz w:val="18"/>
          <w:szCs w:val="18"/>
        </w:rPr>
        <w:t xml:space="preserve"> 30, 1396–1412 (2011).</w:t>
      </w:r>
    </w:p>
    <w:p w14:paraId="516B0E7D" w14:textId="77777777" w:rsidR="00AB1203" w:rsidRPr="00D25DAF" w:rsidRDefault="00AB1203" w:rsidP="00AB1203">
      <w:pPr>
        <w:numPr>
          <w:ilvl w:val="0"/>
          <w:numId w:val="8"/>
        </w:numPr>
        <w:jc w:val="both"/>
        <w:rPr>
          <w:sz w:val="18"/>
          <w:szCs w:val="18"/>
          <w:highlight w:val="white"/>
          <w:lang w:val="es-ES"/>
        </w:rPr>
      </w:pPr>
      <w:r w:rsidRPr="00D25DAF">
        <w:rPr>
          <w:sz w:val="18"/>
          <w:szCs w:val="18"/>
          <w:highlight w:val="white"/>
          <w:lang w:val="es-ES"/>
        </w:rPr>
        <w:t>A. Gómez-Olivencia &amp; M. M. Villalba de Alvarado, Informe de Baio.(2020).</w:t>
      </w:r>
    </w:p>
    <w:p w14:paraId="1317B957" w14:textId="77777777" w:rsidR="00AB1203" w:rsidRPr="00D25DAF" w:rsidRDefault="00AB1203" w:rsidP="00AB1203">
      <w:pPr>
        <w:numPr>
          <w:ilvl w:val="0"/>
          <w:numId w:val="8"/>
        </w:numPr>
        <w:jc w:val="both"/>
        <w:rPr>
          <w:sz w:val="18"/>
          <w:szCs w:val="18"/>
          <w:lang w:val="es-ES"/>
        </w:rPr>
      </w:pPr>
      <w:r w:rsidRPr="00D25DAF">
        <w:rPr>
          <w:sz w:val="18"/>
          <w:szCs w:val="18"/>
          <w:highlight w:val="white"/>
          <w:lang w:val="es-ES"/>
        </w:rPr>
        <w:t xml:space="preserve">M. M. Villalba de Alvarado, “Aportes paleobiológicos sobre la familia Ursidae en la península ibérica durante el Pleistoceno Medio.: </w:t>
      </w:r>
      <w:r w:rsidRPr="00D25DAF">
        <w:rPr>
          <w:i/>
          <w:iCs/>
          <w:sz w:val="18"/>
          <w:szCs w:val="18"/>
          <w:highlight w:val="white"/>
          <w:lang w:val="es-ES"/>
        </w:rPr>
        <w:t>Ursus arctos</w:t>
      </w:r>
      <w:r w:rsidRPr="00D25DAF">
        <w:rPr>
          <w:sz w:val="18"/>
          <w:szCs w:val="18"/>
          <w:highlight w:val="white"/>
          <w:lang w:val="es-ES"/>
        </w:rPr>
        <w:t xml:space="preserve"> Linnaeus, 1789, </w:t>
      </w:r>
      <w:r w:rsidRPr="00D25DAF">
        <w:rPr>
          <w:i/>
          <w:iCs/>
          <w:sz w:val="18"/>
          <w:szCs w:val="18"/>
          <w:highlight w:val="white"/>
          <w:lang w:val="es-ES"/>
        </w:rPr>
        <w:t>Ursus thibetanus</w:t>
      </w:r>
      <w:r w:rsidRPr="00D25DAF">
        <w:rPr>
          <w:sz w:val="18"/>
          <w:szCs w:val="18"/>
          <w:highlight w:val="white"/>
          <w:lang w:val="es-ES"/>
        </w:rPr>
        <w:t xml:space="preserve"> (Cuvier, 1823) y </w:t>
      </w:r>
      <w:r w:rsidRPr="00D25DAF">
        <w:rPr>
          <w:i/>
          <w:iCs/>
          <w:sz w:val="18"/>
          <w:szCs w:val="18"/>
          <w:highlight w:val="white"/>
          <w:lang w:val="es-ES"/>
        </w:rPr>
        <w:t>Ursus deningeri</w:t>
      </w:r>
      <w:r w:rsidRPr="00D25DAF">
        <w:rPr>
          <w:sz w:val="18"/>
          <w:szCs w:val="18"/>
          <w:highlight w:val="white"/>
          <w:lang w:val="es-ES"/>
        </w:rPr>
        <w:t xml:space="preserve"> von Reichenau, 1904,”  Universidad Complutense de Madrid. (2022).</w:t>
      </w:r>
    </w:p>
    <w:p w14:paraId="102DEF9D" w14:textId="77777777" w:rsidR="00AB1203" w:rsidRDefault="00AB1203" w:rsidP="00AB1203">
      <w:pPr>
        <w:numPr>
          <w:ilvl w:val="0"/>
          <w:numId w:val="8"/>
        </w:numPr>
        <w:jc w:val="both"/>
        <w:rPr>
          <w:sz w:val="18"/>
          <w:szCs w:val="18"/>
          <w:highlight w:val="white"/>
        </w:rPr>
      </w:pPr>
      <w:r>
        <w:rPr>
          <w:sz w:val="18"/>
          <w:szCs w:val="18"/>
          <w:highlight w:val="white"/>
        </w:rPr>
        <w:t xml:space="preserve">J. Daura, </w:t>
      </w:r>
      <w:r>
        <w:rPr>
          <w:i/>
          <w:iCs/>
          <w:sz w:val="18"/>
          <w:szCs w:val="18"/>
          <w:highlight w:val="white"/>
        </w:rPr>
        <w:t>et al.</w:t>
      </w:r>
      <w:r>
        <w:rPr>
          <w:sz w:val="18"/>
          <w:szCs w:val="18"/>
          <w:highlight w:val="white"/>
        </w:rPr>
        <w:t xml:space="preserve">, New Middle Pleistocene hominin cranium from Gruta da Aroeira (Portugal). </w:t>
      </w:r>
      <w:r>
        <w:rPr>
          <w:i/>
          <w:iCs/>
          <w:sz w:val="18"/>
          <w:szCs w:val="18"/>
          <w:highlight w:val="white"/>
        </w:rPr>
        <w:t>Proceedings of the National Academy of Sciences</w:t>
      </w:r>
      <w:r>
        <w:rPr>
          <w:sz w:val="18"/>
          <w:szCs w:val="18"/>
          <w:highlight w:val="white"/>
        </w:rPr>
        <w:t xml:space="preserve"> 114, 3397–3402 (2017).</w:t>
      </w:r>
    </w:p>
    <w:p w14:paraId="4D4E0591" w14:textId="77777777" w:rsidR="00AB1203" w:rsidRDefault="00AB1203" w:rsidP="00AB1203">
      <w:pPr>
        <w:numPr>
          <w:ilvl w:val="0"/>
          <w:numId w:val="8"/>
        </w:numPr>
        <w:jc w:val="both"/>
        <w:rPr>
          <w:sz w:val="18"/>
          <w:szCs w:val="18"/>
          <w:highlight w:val="white"/>
        </w:rPr>
      </w:pPr>
      <w:r>
        <w:rPr>
          <w:sz w:val="18"/>
          <w:szCs w:val="18"/>
          <w:highlight w:val="white"/>
        </w:rPr>
        <w:t xml:space="preserve">N. Garcı́a, J. L. Arsuaga, T. Torres, </w:t>
      </w:r>
      <w:proofErr w:type="gramStart"/>
      <w:r>
        <w:rPr>
          <w:sz w:val="18"/>
          <w:szCs w:val="18"/>
          <w:highlight w:val="white"/>
        </w:rPr>
        <w:t>The</w:t>
      </w:r>
      <w:proofErr w:type="gramEnd"/>
      <w:r>
        <w:rPr>
          <w:sz w:val="18"/>
          <w:szCs w:val="18"/>
          <w:highlight w:val="white"/>
        </w:rPr>
        <w:t xml:space="preserve"> carnivore remains from the Sima de los Huesos Middle Pleistocene site (Sierra de Atapuerca, Spain). </w:t>
      </w:r>
      <w:r>
        <w:rPr>
          <w:i/>
          <w:iCs/>
          <w:sz w:val="18"/>
          <w:szCs w:val="18"/>
          <w:highlight w:val="white"/>
        </w:rPr>
        <w:t>Journal of Human Evolution</w:t>
      </w:r>
      <w:r>
        <w:rPr>
          <w:sz w:val="18"/>
          <w:szCs w:val="18"/>
          <w:highlight w:val="white"/>
        </w:rPr>
        <w:t xml:space="preserve"> 33, 155–174 (1997).</w:t>
      </w:r>
    </w:p>
    <w:p w14:paraId="453879F8" w14:textId="77777777" w:rsidR="00AB1203" w:rsidRPr="00D25DAF" w:rsidRDefault="00AB1203" w:rsidP="00AB1203">
      <w:pPr>
        <w:numPr>
          <w:ilvl w:val="0"/>
          <w:numId w:val="8"/>
        </w:numPr>
        <w:jc w:val="both"/>
        <w:rPr>
          <w:sz w:val="18"/>
          <w:szCs w:val="18"/>
          <w:highlight w:val="white"/>
          <w:lang w:val="es-ES"/>
        </w:rPr>
      </w:pPr>
      <w:r w:rsidRPr="00D25DAF">
        <w:rPr>
          <w:sz w:val="18"/>
          <w:szCs w:val="18"/>
          <w:highlight w:val="white"/>
          <w:lang w:val="es-ES"/>
        </w:rPr>
        <w:t xml:space="preserve">N. García, </w:t>
      </w:r>
      <w:r w:rsidRPr="00D25DAF">
        <w:rPr>
          <w:i/>
          <w:iCs/>
          <w:sz w:val="18"/>
          <w:szCs w:val="18"/>
          <w:highlight w:val="white"/>
          <w:lang w:val="es-ES"/>
        </w:rPr>
        <w:t>Osos y otros carnívoros de la Sierra de Atapuerca</w:t>
      </w:r>
      <w:r w:rsidRPr="00D25DAF">
        <w:rPr>
          <w:sz w:val="18"/>
          <w:szCs w:val="18"/>
          <w:highlight w:val="white"/>
          <w:lang w:val="es-ES"/>
        </w:rPr>
        <w:t xml:space="preserve"> (Asturias : Fundación Oso de Asturias, 2003, 2003).</w:t>
      </w:r>
    </w:p>
    <w:p w14:paraId="22AC0752" w14:textId="77777777" w:rsidR="00AB1203" w:rsidRPr="00D25DAF" w:rsidRDefault="00AB1203" w:rsidP="00AB1203">
      <w:pPr>
        <w:numPr>
          <w:ilvl w:val="0"/>
          <w:numId w:val="8"/>
        </w:numPr>
        <w:jc w:val="both"/>
        <w:rPr>
          <w:sz w:val="18"/>
          <w:szCs w:val="18"/>
          <w:highlight w:val="white"/>
          <w:lang w:val="es-ES"/>
        </w:rPr>
      </w:pPr>
      <w:r w:rsidRPr="00D25DAF">
        <w:rPr>
          <w:sz w:val="18"/>
          <w:szCs w:val="18"/>
          <w:highlight w:val="white"/>
          <w:lang w:val="es-ES"/>
        </w:rPr>
        <w:t xml:space="preserve">T. J. Torres Pérez-Hidalgo, Análisis Multivariante de la morfología dental de los Ursidos del Plio-Pleistoceno, con algunas consideraciones sobre la posición filogenética de Ursus deningeri von REICHENAU de Cueva Mayor (Sima de los Huesos) in </w:t>
      </w:r>
      <w:r w:rsidRPr="00D25DAF">
        <w:rPr>
          <w:i/>
          <w:iCs/>
          <w:sz w:val="18"/>
          <w:szCs w:val="18"/>
          <w:highlight w:val="white"/>
          <w:lang w:val="es-ES"/>
        </w:rPr>
        <w:t>Evolución humana en Europa y los yacimientos de la Sierra de Atapuerca : Jornadas Científicas = Human evolution in Europa and the Atapuerca evidence : Workshop. | Jornadas Científicas Internacionales sobre “Evolución Humana en Europa y los Yacimientos de la Sierra de Atapuerca” | Junio-Julio 1992 | Castillo de la Mota, Medina del Campo, Valladolid</w:t>
      </w:r>
      <w:r w:rsidRPr="00D25DAF">
        <w:rPr>
          <w:sz w:val="18"/>
          <w:szCs w:val="18"/>
          <w:highlight w:val="white"/>
          <w:lang w:val="es-ES"/>
        </w:rPr>
        <w:t>, (E.T.S.I. Minas (UPM), 1995).</w:t>
      </w:r>
    </w:p>
    <w:p w14:paraId="3CA1A1AB" w14:textId="77777777" w:rsidR="00AB1203" w:rsidRDefault="00AB1203" w:rsidP="00AB1203">
      <w:pPr>
        <w:numPr>
          <w:ilvl w:val="0"/>
          <w:numId w:val="8"/>
        </w:numPr>
        <w:jc w:val="both"/>
        <w:rPr>
          <w:sz w:val="18"/>
          <w:szCs w:val="18"/>
          <w:highlight w:val="white"/>
        </w:rPr>
      </w:pPr>
      <w:r w:rsidRPr="00D25DAF">
        <w:rPr>
          <w:sz w:val="18"/>
          <w:szCs w:val="18"/>
          <w:highlight w:val="white"/>
          <w:lang w:val="es-ES"/>
        </w:rPr>
        <w:t xml:space="preserve">L. Cattani, </w:t>
      </w:r>
      <w:r w:rsidRPr="00D25DAF">
        <w:rPr>
          <w:i/>
          <w:iCs/>
          <w:sz w:val="18"/>
          <w:szCs w:val="18"/>
          <w:highlight w:val="white"/>
          <w:lang w:val="es-ES"/>
        </w:rPr>
        <w:t>et al.</w:t>
      </w:r>
      <w:r w:rsidRPr="00D25DAF">
        <w:rPr>
          <w:sz w:val="18"/>
          <w:szCs w:val="18"/>
          <w:highlight w:val="white"/>
          <w:lang w:val="es-ES"/>
        </w:rPr>
        <w:t xml:space="preserve">, Le gisement du Pléistocène moyen de Visogliano (Trieste): restes humains, industries, environnement. </w:t>
      </w:r>
      <w:r>
        <w:rPr>
          <w:i/>
          <w:iCs/>
          <w:sz w:val="18"/>
          <w:szCs w:val="18"/>
          <w:highlight w:val="white"/>
        </w:rPr>
        <w:t>L’anthropologie</w:t>
      </w:r>
      <w:r>
        <w:rPr>
          <w:sz w:val="18"/>
          <w:szCs w:val="18"/>
          <w:highlight w:val="white"/>
        </w:rPr>
        <w:t xml:space="preserve"> 95, 9–36 (1991).</w:t>
      </w:r>
    </w:p>
    <w:p w14:paraId="1FC3DE89" w14:textId="77777777" w:rsidR="00AB1203" w:rsidRDefault="00AB1203" w:rsidP="00AB1203">
      <w:pPr>
        <w:numPr>
          <w:ilvl w:val="0"/>
          <w:numId w:val="8"/>
        </w:numPr>
        <w:jc w:val="both"/>
        <w:rPr>
          <w:sz w:val="18"/>
          <w:szCs w:val="18"/>
        </w:rPr>
      </w:pPr>
      <w:r w:rsidRPr="00D25DAF">
        <w:rPr>
          <w:sz w:val="18"/>
          <w:szCs w:val="18"/>
          <w:lang w:val="es-ES"/>
        </w:rPr>
        <w:t xml:space="preserve">N. García, J. L. Arsuaga, Les carnivores (Mammalia) des </w:t>
      </w:r>
      <w:proofErr w:type="spellStart"/>
      <w:r w:rsidRPr="00D25DAF">
        <w:rPr>
          <w:sz w:val="18"/>
          <w:szCs w:val="18"/>
          <w:lang w:val="es-ES"/>
        </w:rPr>
        <w:t>sites</w:t>
      </w:r>
      <w:proofErr w:type="spellEnd"/>
      <w:r w:rsidRPr="00D25DAF">
        <w:rPr>
          <w:sz w:val="18"/>
          <w:szCs w:val="18"/>
          <w:lang w:val="es-ES"/>
        </w:rPr>
        <w:t xml:space="preserve"> du Pléistocène ancien et moyen d’Atapuerca (Espagne). </w:t>
      </w:r>
      <w:r>
        <w:rPr>
          <w:i/>
          <w:iCs/>
          <w:sz w:val="18"/>
          <w:szCs w:val="18"/>
        </w:rPr>
        <w:t>L’Anthropologie</w:t>
      </w:r>
      <w:r>
        <w:rPr>
          <w:sz w:val="18"/>
          <w:szCs w:val="18"/>
        </w:rPr>
        <w:t xml:space="preserve"> 105, 83–93 (2001).</w:t>
      </w:r>
    </w:p>
    <w:p w14:paraId="383CF733" w14:textId="77777777" w:rsidR="00AB1203" w:rsidRDefault="00AB1203" w:rsidP="00AB1203">
      <w:pPr>
        <w:numPr>
          <w:ilvl w:val="0"/>
          <w:numId w:val="8"/>
        </w:numPr>
        <w:jc w:val="both"/>
        <w:rPr>
          <w:sz w:val="18"/>
          <w:szCs w:val="18"/>
        </w:rPr>
      </w:pPr>
      <w:r>
        <w:rPr>
          <w:sz w:val="18"/>
          <w:szCs w:val="18"/>
          <w:highlight w:val="white"/>
        </w:rPr>
        <w:t xml:space="preserve">J. Madurell-Malapeira, J. Aurell, D. M. Alba, S. Moyà-Solà, The Epivillafranchian fossiliferous levels of Vallparadís (Terrassa, Barcelona, Spain). </w:t>
      </w:r>
      <w:r>
        <w:rPr>
          <w:i/>
          <w:iCs/>
          <w:sz w:val="18"/>
          <w:szCs w:val="18"/>
          <w:highlight w:val="white"/>
        </w:rPr>
        <w:t>Paleolusitana</w:t>
      </w:r>
      <w:r>
        <w:rPr>
          <w:sz w:val="18"/>
          <w:szCs w:val="18"/>
          <w:highlight w:val="white"/>
        </w:rPr>
        <w:t xml:space="preserve"> 1, 237–243 (2009b).</w:t>
      </w:r>
    </w:p>
    <w:p w14:paraId="15E439AB" w14:textId="77777777" w:rsidR="00094489" w:rsidRPr="00AB1203" w:rsidRDefault="00AB1203" w:rsidP="00AB1203">
      <w:pPr>
        <w:numPr>
          <w:ilvl w:val="0"/>
          <w:numId w:val="8"/>
        </w:numPr>
        <w:spacing w:after="240"/>
        <w:jc w:val="both"/>
        <w:rPr>
          <w:sz w:val="18"/>
          <w:szCs w:val="18"/>
          <w:highlight w:val="white"/>
          <w:lang w:val="es-ES"/>
        </w:rPr>
      </w:pPr>
      <w:r w:rsidRPr="00D25DAF">
        <w:rPr>
          <w:sz w:val="18"/>
          <w:szCs w:val="18"/>
          <w:highlight w:val="white"/>
          <w:lang w:val="es-ES"/>
        </w:rPr>
        <w:t xml:space="preserve">M. Petrucci, </w:t>
      </w:r>
      <w:r w:rsidRPr="00D25DAF">
        <w:rPr>
          <w:i/>
          <w:iCs/>
          <w:sz w:val="18"/>
          <w:szCs w:val="18"/>
          <w:highlight w:val="white"/>
          <w:lang w:val="es-ES"/>
        </w:rPr>
        <w:t>Analisi sistematica dei macromammiferi di Pirro Nord (Apricena, Foggia, Puglia)</w:t>
      </w:r>
      <w:r w:rsidRPr="00D25DAF">
        <w:rPr>
          <w:sz w:val="18"/>
          <w:szCs w:val="18"/>
          <w:highlight w:val="white"/>
          <w:lang w:val="es-ES"/>
        </w:rPr>
        <w:t xml:space="preserve"> (Università degli Studi, 2008).</w:t>
      </w:r>
    </w:p>
    <w:sectPr w:rsidR="00094489" w:rsidRPr="00AB1203">
      <w:footerReference w:type="default" r:id="rId44"/>
      <w:footerReference w:type="first" r:id="rId45"/>
      <w:pgSz w:w="11906" w:h="16838"/>
      <w:pgMar w:top="1440" w:right="1440" w:bottom="1440" w:left="1440" w:header="0" w:footer="720" w:gutter="0"/>
      <w:lnNumType w:countBy="1" w:distance="283" w:restart="continuous"/>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3B49E" w14:textId="77777777" w:rsidR="003728E7" w:rsidRDefault="003728E7">
      <w:pPr>
        <w:spacing w:line="240" w:lineRule="auto"/>
      </w:pPr>
      <w:r>
        <w:separator/>
      </w:r>
    </w:p>
  </w:endnote>
  <w:endnote w:type="continuationSeparator" w:id="0">
    <w:p w14:paraId="0A1B083D" w14:textId="77777777" w:rsidR="003728E7" w:rsidRDefault="003728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279C5" w14:textId="77777777" w:rsidR="003B46FE" w:rsidRDefault="003B46FE">
    <w:pPr>
      <w:jc w:val="right"/>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4418E" w14:textId="77777777" w:rsidR="003B46FE" w:rsidRDefault="003B46FE">
    <w:pPr>
      <w:jc w:val="right"/>
    </w:pPr>
    <w:r>
      <w:fldChar w:fldCharType="begin"/>
    </w:r>
    <w:r>
      <w:instrText xml:space="preserve"> PAGE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16312" w14:textId="77777777" w:rsidR="003B46FE" w:rsidRDefault="003B46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9C761" w14:textId="77777777" w:rsidR="003B46FE" w:rsidRDefault="003B46FE">
    <w:pPr>
      <w:jc w:val="right"/>
    </w:pPr>
    <w:r>
      <w:fldChar w:fldCharType="begin"/>
    </w:r>
    <w:r>
      <w:instrText xml:space="preserve"> PAGE </w:instrText>
    </w:r>
    <w:r>
      <w:fldChar w:fldCharType="separate"/>
    </w:r>
    <w: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492D6" w14:textId="77777777" w:rsidR="003B46FE" w:rsidRDefault="003B46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96F56" w14:textId="77777777" w:rsidR="003B46FE" w:rsidRDefault="003B46FE">
    <w:pPr>
      <w:jc w:val="right"/>
    </w:pPr>
    <w:r>
      <w:fldChar w:fldCharType="begin"/>
    </w:r>
    <w:r>
      <w:instrText xml:space="preserve"> PAGE </w:instrText>
    </w:r>
    <w:r>
      <w:fldChar w:fldCharType="separate"/>
    </w:r>
    <w:r>
      <w:t>26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5C221" w14:textId="77777777" w:rsidR="003B46FE" w:rsidRDefault="003B46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E7C1F" w14:textId="77777777" w:rsidR="003B46FE" w:rsidRDefault="003B46FE">
    <w:pPr>
      <w:jc w:val="right"/>
    </w:pPr>
    <w:r>
      <w:fldChar w:fldCharType="begin"/>
    </w:r>
    <w:r>
      <w:instrText xml:space="preserve"> PAGE </w:instrText>
    </w:r>
    <w:r>
      <w:fldChar w:fldCharType="separate"/>
    </w:r>
    <w:r>
      <w:t>28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7CFB4" w14:textId="77777777" w:rsidR="003B46FE" w:rsidRDefault="003B46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2325B" w14:textId="77777777" w:rsidR="003728E7" w:rsidRDefault="003728E7">
      <w:pPr>
        <w:spacing w:line="240" w:lineRule="auto"/>
      </w:pPr>
      <w:r>
        <w:separator/>
      </w:r>
    </w:p>
  </w:footnote>
  <w:footnote w:type="continuationSeparator" w:id="0">
    <w:p w14:paraId="306BBEA8" w14:textId="77777777" w:rsidR="003728E7" w:rsidRDefault="003728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4D91"/>
    <w:multiLevelType w:val="multilevel"/>
    <w:tmpl w:val="08AE596A"/>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 w15:restartNumberingAfterBreak="0">
    <w:nsid w:val="096F276A"/>
    <w:multiLevelType w:val="multilevel"/>
    <w:tmpl w:val="94C02F6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15:restartNumberingAfterBreak="0">
    <w:nsid w:val="2AB51906"/>
    <w:multiLevelType w:val="multilevel"/>
    <w:tmpl w:val="5100CA78"/>
    <w:lvl w:ilvl="0">
      <w:start w:val="1"/>
      <w:numFmt w:val="decimal"/>
      <w:lvlText w:val="%1."/>
      <w:lvlJc w:val="left"/>
      <w:pPr>
        <w:tabs>
          <w:tab w:val="num" w:pos="0"/>
        </w:tabs>
        <w:ind w:left="720" w:hanging="360"/>
      </w:pPr>
      <w:rPr>
        <w:rFonts w:ascii="Arial" w:eastAsia="Arial" w:hAnsi="Arial" w:cs="Arial"/>
        <w:b w:val="0"/>
        <w:bCs w:val="0"/>
        <w:color w:val="000000"/>
        <w:sz w:val="18"/>
        <w:szCs w:val="18"/>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313209DC"/>
    <w:multiLevelType w:val="multilevel"/>
    <w:tmpl w:val="E6FC1128"/>
    <w:lvl w:ilvl="0">
      <w:start w:val="1"/>
      <w:numFmt w:val="bullet"/>
      <w:lvlText w:val=""/>
      <w:lvlJc w:val="left"/>
      <w:pPr>
        <w:tabs>
          <w:tab w:val="num" w:pos="0"/>
        </w:tabs>
        <w:ind w:left="720" w:hanging="360"/>
      </w:pPr>
      <w:rPr>
        <w:rFonts w:ascii="Symbol" w:hAnsi="Symbo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15:restartNumberingAfterBreak="0">
    <w:nsid w:val="41F16AF4"/>
    <w:multiLevelType w:val="multilevel"/>
    <w:tmpl w:val="D23E29A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15:restartNumberingAfterBreak="0">
    <w:nsid w:val="4A112F48"/>
    <w:multiLevelType w:val="multilevel"/>
    <w:tmpl w:val="4E4E613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4E0E3B57"/>
    <w:multiLevelType w:val="multilevel"/>
    <w:tmpl w:val="7F8806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15:restartNumberingAfterBreak="0">
    <w:nsid w:val="54C434DC"/>
    <w:multiLevelType w:val="multilevel"/>
    <w:tmpl w:val="1164692A"/>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8" w15:restartNumberingAfterBreak="0">
    <w:nsid w:val="55D506E7"/>
    <w:multiLevelType w:val="hybridMultilevel"/>
    <w:tmpl w:val="183C23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97471CA"/>
    <w:multiLevelType w:val="multilevel"/>
    <w:tmpl w:val="34B8047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0" w15:restartNumberingAfterBreak="0">
    <w:nsid w:val="5AAA0403"/>
    <w:multiLevelType w:val="hybridMultilevel"/>
    <w:tmpl w:val="166EE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1C368B"/>
    <w:multiLevelType w:val="multilevel"/>
    <w:tmpl w:val="445A9B8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2" w15:restartNumberingAfterBreak="0">
    <w:nsid w:val="71273489"/>
    <w:multiLevelType w:val="multilevel"/>
    <w:tmpl w:val="619AEE2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3" w15:restartNumberingAfterBreak="0">
    <w:nsid w:val="7DC9529A"/>
    <w:multiLevelType w:val="multilevel"/>
    <w:tmpl w:val="248EA9D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num w:numId="1">
    <w:abstractNumId w:val="11"/>
  </w:num>
  <w:num w:numId="2">
    <w:abstractNumId w:val="12"/>
  </w:num>
  <w:num w:numId="3">
    <w:abstractNumId w:val="1"/>
  </w:num>
  <w:num w:numId="4">
    <w:abstractNumId w:val="13"/>
  </w:num>
  <w:num w:numId="5">
    <w:abstractNumId w:val="5"/>
  </w:num>
  <w:num w:numId="6">
    <w:abstractNumId w:val="9"/>
  </w:num>
  <w:num w:numId="7">
    <w:abstractNumId w:val="4"/>
  </w:num>
  <w:num w:numId="8">
    <w:abstractNumId w:val="7"/>
  </w:num>
  <w:num w:numId="9">
    <w:abstractNumId w:val="0"/>
  </w:num>
  <w:num w:numId="10">
    <w:abstractNumId w:val="6"/>
  </w:num>
  <w:num w:numId="11">
    <w:abstractNumId w:val="10"/>
  </w:num>
  <w:num w:numId="12">
    <w:abstractNumId w:val="8"/>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203"/>
    <w:rsid w:val="000018AD"/>
    <w:rsid w:val="00006B0B"/>
    <w:rsid w:val="00024007"/>
    <w:rsid w:val="00032900"/>
    <w:rsid w:val="0004570F"/>
    <w:rsid w:val="00062895"/>
    <w:rsid w:val="0006392E"/>
    <w:rsid w:val="000676B5"/>
    <w:rsid w:val="00094489"/>
    <w:rsid w:val="000A200B"/>
    <w:rsid w:val="001D04F0"/>
    <w:rsid w:val="001F7470"/>
    <w:rsid w:val="00210401"/>
    <w:rsid w:val="00216E27"/>
    <w:rsid w:val="0022337A"/>
    <w:rsid w:val="00245972"/>
    <w:rsid w:val="00255B8B"/>
    <w:rsid w:val="00261A87"/>
    <w:rsid w:val="0026695C"/>
    <w:rsid w:val="002B19D5"/>
    <w:rsid w:val="00334AB6"/>
    <w:rsid w:val="00352F6A"/>
    <w:rsid w:val="00363188"/>
    <w:rsid w:val="003728E7"/>
    <w:rsid w:val="003939A0"/>
    <w:rsid w:val="003A20D8"/>
    <w:rsid w:val="003B46FE"/>
    <w:rsid w:val="003F6698"/>
    <w:rsid w:val="003F7F9C"/>
    <w:rsid w:val="004302A6"/>
    <w:rsid w:val="00433051"/>
    <w:rsid w:val="00454425"/>
    <w:rsid w:val="00466E0C"/>
    <w:rsid w:val="00473E42"/>
    <w:rsid w:val="004764F8"/>
    <w:rsid w:val="0049447D"/>
    <w:rsid w:val="004F30F2"/>
    <w:rsid w:val="004F520E"/>
    <w:rsid w:val="00501258"/>
    <w:rsid w:val="00576817"/>
    <w:rsid w:val="00592627"/>
    <w:rsid w:val="00592E74"/>
    <w:rsid w:val="005939C2"/>
    <w:rsid w:val="005C180F"/>
    <w:rsid w:val="005C42E8"/>
    <w:rsid w:val="005D5038"/>
    <w:rsid w:val="00602510"/>
    <w:rsid w:val="00641B3A"/>
    <w:rsid w:val="00651ECB"/>
    <w:rsid w:val="00684137"/>
    <w:rsid w:val="006D2AA7"/>
    <w:rsid w:val="006E5152"/>
    <w:rsid w:val="00717EB7"/>
    <w:rsid w:val="00734275"/>
    <w:rsid w:val="00734BC0"/>
    <w:rsid w:val="007579D0"/>
    <w:rsid w:val="00775EE2"/>
    <w:rsid w:val="00776879"/>
    <w:rsid w:val="007772C6"/>
    <w:rsid w:val="007A6654"/>
    <w:rsid w:val="007D71EC"/>
    <w:rsid w:val="007F794C"/>
    <w:rsid w:val="00826D8E"/>
    <w:rsid w:val="008507B8"/>
    <w:rsid w:val="008712E2"/>
    <w:rsid w:val="008751C8"/>
    <w:rsid w:val="008966B0"/>
    <w:rsid w:val="008A752E"/>
    <w:rsid w:val="008C0D28"/>
    <w:rsid w:val="009016C2"/>
    <w:rsid w:val="00913A1B"/>
    <w:rsid w:val="00926E42"/>
    <w:rsid w:val="00943DCA"/>
    <w:rsid w:val="009527F6"/>
    <w:rsid w:val="00953A02"/>
    <w:rsid w:val="00954C00"/>
    <w:rsid w:val="009A5221"/>
    <w:rsid w:val="00A16730"/>
    <w:rsid w:val="00A31368"/>
    <w:rsid w:val="00A4542A"/>
    <w:rsid w:val="00A72FC5"/>
    <w:rsid w:val="00A9389A"/>
    <w:rsid w:val="00AB1203"/>
    <w:rsid w:val="00AC131A"/>
    <w:rsid w:val="00AD2178"/>
    <w:rsid w:val="00B01BFB"/>
    <w:rsid w:val="00B27FDB"/>
    <w:rsid w:val="00B40020"/>
    <w:rsid w:val="00B56A62"/>
    <w:rsid w:val="00B73890"/>
    <w:rsid w:val="00B979E6"/>
    <w:rsid w:val="00BA348F"/>
    <w:rsid w:val="00BB71ED"/>
    <w:rsid w:val="00BD3FA9"/>
    <w:rsid w:val="00BF4158"/>
    <w:rsid w:val="00C11D38"/>
    <w:rsid w:val="00C11F52"/>
    <w:rsid w:val="00C404C6"/>
    <w:rsid w:val="00C4351F"/>
    <w:rsid w:val="00C72B0F"/>
    <w:rsid w:val="00C91BF1"/>
    <w:rsid w:val="00CD6D63"/>
    <w:rsid w:val="00D11002"/>
    <w:rsid w:val="00D915D0"/>
    <w:rsid w:val="00D95D0D"/>
    <w:rsid w:val="00DF2D49"/>
    <w:rsid w:val="00E13F0A"/>
    <w:rsid w:val="00E14CE7"/>
    <w:rsid w:val="00E1594C"/>
    <w:rsid w:val="00E160C8"/>
    <w:rsid w:val="00E22931"/>
    <w:rsid w:val="00E522BE"/>
    <w:rsid w:val="00E965FF"/>
    <w:rsid w:val="00EA1942"/>
    <w:rsid w:val="00EC0B51"/>
    <w:rsid w:val="00EF5D3E"/>
    <w:rsid w:val="00F1027A"/>
    <w:rsid w:val="00F13E9F"/>
    <w:rsid w:val="00F5716B"/>
    <w:rsid w:val="00F7609E"/>
    <w:rsid w:val="00F83917"/>
    <w:rsid w:val="00FA1E9B"/>
    <w:rsid w:val="00FB360B"/>
    <w:rsid w:val="00FD004A"/>
    <w:rsid w:val="00FD6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0E03B"/>
  <w15:chartTrackingRefBased/>
  <w15:docId w15:val="{FB6DD624-50B4-4ED2-968D-820DA0E3C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1203"/>
    <w:pPr>
      <w:suppressAutoHyphens/>
      <w:spacing w:after="0" w:line="276" w:lineRule="auto"/>
    </w:pPr>
    <w:rPr>
      <w:rFonts w:ascii="Arial" w:eastAsia="Arial" w:hAnsi="Arial" w:cs="Arial"/>
      <w:lang w:eastAsia="es-ES"/>
    </w:rPr>
  </w:style>
  <w:style w:type="paragraph" w:styleId="Heading4">
    <w:name w:val="heading 4"/>
    <w:basedOn w:val="Normal"/>
    <w:next w:val="Normal"/>
    <w:link w:val="Heading4Char"/>
    <w:uiPriority w:val="9"/>
    <w:unhideWhenUsed/>
    <w:qFormat/>
    <w:rsid w:val="00AB1203"/>
    <w:pPr>
      <w:keepNext/>
      <w:keepLines/>
      <w:spacing w:before="280" w:after="80"/>
      <w:outlineLvl w:val="3"/>
    </w:pPr>
    <w:rPr>
      <w:color w:val="66666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B1203"/>
    <w:rPr>
      <w:rFonts w:ascii="Arial" w:eastAsia="Arial" w:hAnsi="Arial" w:cs="Arial"/>
      <w:color w:val="666666"/>
      <w:sz w:val="24"/>
      <w:szCs w:val="24"/>
      <w:lang w:eastAsia="es-ES"/>
    </w:rPr>
  </w:style>
  <w:style w:type="paragraph" w:styleId="Title">
    <w:name w:val="Title"/>
    <w:basedOn w:val="Normal"/>
    <w:next w:val="Normal"/>
    <w:link w:val="TitleChar"/>
    <w:uiPriority w:val="10"/>
    <w:qFormat/>
    <w:rsid w:val="00AB1203"/>
    <w:pPr>
      <w:keepNext/>
      <w:keepLines/>
      <w:spacing w:after="60"/>
    </w:pPr>
    <w:rPr>
      <w:sz w:val="52"/>
      <w:szCs w:val="52"/>
    </w:rPr>
  </w:style>
  <w:style w:type="character" w:customStyle="1" w:styleId="TitleChar">
    <w:name w:val="Title Char"/>
    <w:basedOn w:val="DefaultParagraphFont"/>
    <w:link w:val="Title"/>
    <w:uiPriority w:val="10"/>
    <w:rsid w:val="00AB1203"/>
    <w:rPr>
      <w:rFonts w:ascii="Arial" w:eastAsia="Arial" w:hAnsi="Arial" w:cs="Arial"/>
      <w:sz w:val="52"/>
      <w:szCs w:val="52"/>
      <w:lang w:eastAsia="es-ES"/>
    </w:rPr>
  </w:style>
  <w:style w:type="character" w:styleId="LineNumber">
    <w:name w:val="line number"/>
    <w:basedOn w:val="DefaultParagraphFont"/>
    <w:uiPriority w:val="99"/>
    <w:semiHidden/>
    <w:unhideWhenUsed/>
    <w:rsid w:val="00AB1203"/>
  </w:style>
  <w:style w:type="character" w:styleId="CommentReference">
    <w:name w:val="annotation reference"/>
    <w:basedOn w:val="DefaultParagraphFont"/>
    <w:uiPriority w:val="99"/>
    <w:semiHidden/>
    <w:unhideWhenUsed/>
    <w:rsid w:val="002B19D5"/>
    <w:rPr>
      <w:sz w:val="16"/>
      <w:szCs w:val="16"/>
    </w:rPr>
  </w:style>
  <w:style w:type="paragraph" w:styleId="CommentText">
    <w:name w:val="annotation text"/>
    <w:basedOn w:val="Normal"/>
    <w:link w:val="CommentTextChar"/>
    <w:uiPriority w:val="99"/>
    <w:semiHidden/>
    <w:unhideWhenUsed/>
    <w:rsid w:val="002B19D5"/>
    <w:pPr>
      <w:spacing w:line="240" w:lineRule="auto"/>
    </w:pPr>
    <w:rPr>
      <w:sz w:val="20"/>
      <w:szCs w:val="20"/>
    </w:rPr>
  </w:style>
  <w:style w:type="character" w:customStyle="1" w:styleId="CommentTextChar">
    <w:name w:val="Comment Text Char"/>
    <w:basedOn w:val="DefaultParagraphFont"/>
    <w:link w:val="CommentText"/>
    <w:uiPriority w:val="99"/>
    <w:semiHidden/>
    <w:rsid w:val="002B19D5"/>
    <w:rPr>
      <w:rFonts w:ascii="Arial" w:eastAsia="Arial" w:hAnsi="Arial" w:cs="Arial"/>
      <w:sz w:val="20"/>
      <w:szCs w:val="20"/>
      <w:lang w:eastAsia="es-ES"/>
    </w:rPr>
  </w:style>
  <w:style w:type="paragraph" w:styleId="CommentSubject">
    <w:name w:val="annotation subject"/>
    <w:basedOn w:val="CommentText"/>
    <w:next w:val="CommentText"/>
    <w:link w:val="CommentSubjectChar"/>
    <w:uiPriority w:val="99"/>
    <w:semiHidden/>
    <w:unhideWhenUsed/>
    <w:rsid w:val="002B19D5"/>
    <w:rPr>
      <w:b/>
      <w:bCs/>
    </w:rPr>
  </w:style>
  <w:style w:type="character" w:customStyle="1" w:styleId="CommentSubjectChar">
    <w:name w:val="Comment Subject Char"/>
    <w:basedOn w:val="CommentTextChar"/>
    <w:link w:val="CommentSubject"/>
    <w:uiPriority w:val="99"/>
    <w:semiHidden/>
    <w:rsid w:val="002B19D5"/>
    <w:rPr>
      <w:rFonts w:ascii="Arial" w:eastAsia="Arial" w:hAnsi="Arial" w:cs="Arial"/>
      <w:b/>
      <w:bCs/>
      <w:sz w:val="20"/>
      <w:szCs w:val="20"/>
      <w:lang w:eastAsia="es-ES"/>
    </w:rPr>
  </w:style>
  <w:style w:type="paragraph" w:styleId="BalloonText">
    <w:name w:val="Balloon Text"/>
    <w:basedOn w:val="Normal"/>
    <w:link w:val="BalloonTextChar"/>
    <w:uiPriority w:val="99"/>
    <w:semiHidden/>
    <w:unhideWhenUsed/>
    <w:rsid w:val="002B19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9D5"/>
    <w:rPr>
      <w:rFonts w:ascii="Segoe UI" w:eastAsia="Arial" w:hAnsi="Segoe UI" w:cs="Segoe UI"/>
      <w:sz w:val="18"/>
      <w:szCs w:val="18"/>
      <w:lang w:eastAsia="es-ES"/>
    </w:rPr>
  </w:style>
  <w:style w:type="paragraph" w:customStyle="1" w:styleId="u-mb-24">
    <w:name w:val="u-mb-24"/>
    <w:basedOn w:val="Normal"/>
    <w:rsid w:val="002B19D5"/>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NormalWeb">
    <w:name w:val="Normal (Web)"/>
    <w:basedOn w:val="Normal"/>
    <w:uiPriority w:val="99"/>
    <w:unhideWhenUsed/>
    <w:rsid w:val="00AC131A"/>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AC131A"/>
    <w:rPr>
      <w:i/>
      <w:iCs/>
    </w:rPr>
  </w:style>
  <w:style w:type="paragraph" w:styleId="ListParagraph">
    <w:name w:val="List Paragraph"/>
    <w:basedOn w:val="Normal"/>
    <w:uiPriority w:val="34"/>
    <w:qFormat/>
    <w:rsid w:val="001F7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253117">
      <w:bodyDiv w:val="1"/>
      <w:marLeft w:val="0"/>
      <w:marRight w:val="0"/>
      <w:marTop w:val="0"/>
      <w:marBottom w:val="0"/>
      <w:divBdr>
        <w:top w:val="none" w:sz="0" w:space="0" w:color="auto"/>
        <w:left w:val="none" w:sz="0" w:space="0" w:color="auto"/>
        <w:bottom w:val="none" w:sz="0" w:space="0" w:color="auto"/>
        <w:right w:val="none" w:sz="0" w:space="0" w:color="auto"/>
      </w:divBdr>
    </w:div>
    <w:div w:id="306667171">
      <w:bodyDiv w:val="1"/>
      <w:marLeft w:val="0"/>
      <w:marRight w:val="0"/>
      <w:marTop w:val="0"/>
      <w:marBottom w:val="0"/>
      <w:divBdr>
        <w:top w:val="none" w:sz="0" w:space="0" w:color="auto"/>
        <w:left w:val="none" w:sz="0" w:space="0" w:color="auto"/>
        <w:bottom w:val="none" w:sz="0" w:space="0" w:color="auto"/>
        <w:right w:val="none" w:sz="0" w:space="0" w:color="auto"/>
      </w:divBdr>
    </w:div>
    <w:div w:id="392433490">
      <w:bodyDiv w:val="1"/>
      <w:marLeft w:val="0"/>
      <w:marRight w:val="0"/>
      <w:marTop w:val="0"/>
      <w:marBottom w:val="0"/>
      <w:divBdr>
        <w:top w:val="none" w:sz="0" w:space="0" w:color="auto"/>
        <w:left w:val="none" w:sz="0" w:space="0" w:color="auto"/>
        <w:bottom w:val="none" w:sz="0" w:space="0" w:color="auto"/>
        <w:right w:val="none" w:sz="0" w:space="0" w:color="auto"/>
      </w:divBdr>
    </w:div>
    <w:div w:id="462357056">
      <w:bodyDiv w:val="1"/>
      <w:marLeft w:val="0"/>
      <w:marRight w:val="0"/>
      <w:marTop w:val="0"/>
      <w:marBottom w:val="0"/>
      <w:divBdr>
        <w:top w:val="none" w:sz="0" w:space="0" w:color="auto"/>
        <w:left w:val="none" w:sz="0" w:space="0" w:color="auto"/>
        <w:bottom w:val="none" w:sz="0" w:space="0" w:color="auto"/>
        <w:right w:val="none" w:sz="0" w:space="0" w:color="auto"/>
      </w:divBdr>
    </w:div>
    <w:div w:id="534538057">
      <w:bodyDiv w:val="1"/>
      <w:marLeft w:val="0"/>
      <w:marRight w:val="0"/>
      <w:marTop w:val="0"/>
      <w:marBottom w:val="0"/>
      <w:divBdr>
        <w:top w:val="none" w:sz="0" w:space="0" w:color="auto"/>
        <w:left w:val="none" w:sz="0" w:space="0" w:color="auto"/>
        <w:bottom w:val="none" w:sz="0" w:space="0" w:color="auto"/>
        <w:right w:val="none" w:sz="0" w:space="0" w:color="auto"/>
      </w:divBdr>
    </w:div>
    <w:div w:id="631058234">
      <w:bodyDiv w:val="1"/>
      <w:marLeft w:val="0"/>
      <w:marRight w:val="0"/>
      <w:marTop w:val="0"/>
      <w:marBottom w:val="0"/>
      <w:divBdr>
        <w:top w:val="none" w:sz="0" w:space="0" w:color="auto"/>
        <w:left w:val="none" w:sz="0" w:space="0" w:color="auto"/>
        <w:bottom w:val="none" w:sz="0" w:space="0" w:color="auto"/>
        <w:right w:val="none" w:sz="0" w:space="0" w:color="auto"/>
      </w:divBdr>
    </w:div>
    <w:div w:id="721711390">
      <w:bodyDiv w:val="1"/>
      <w:marLeft w:val="0"/>
      <w:marRight w:val="0"/>
      <w:marTop w:val="0"/>
      <w:marBottom w:val="0"/>
      <w:divBdr>
        <w:top w:val="none" w:sz="0" w:space="0" w:color="auto"/>
        <w:left w:val="none" w:sz="0" w:space="0" w:color="auto"/>
        <w:bottom w:val="none" w:sz="0" w:space="0" w:color="auto"/>
        <w:right w:val="none" w:sz="0" w:space="0" w:color="auto"/>
      </w:divBdr>
    </w:div>
    <w:div w:id="756169499">
      <w:bodyDiv w:val="1"/>
      <w:marLeft w:val="0"/>
      <w:marRight w:val="0"/>
      <w:marTop w:val="0"/>
      <w:marBottom w:val="0"/>
      <w:divBdr>
        <w:top w:val="none" w:sz="0" w:space="0" w:color="auto"/>
        <w:left w:val="none" w:sz="0" w:space="0" w:color="auto"/>
        <w:bottom w:val="none" w:sz="0" w:space="0" w:color="auto"/>
        <w:right w:val="none" w:sz="0" w:space="0" w:color="auto"/>
      </w:divBdr>
    </w:div>
    <w:div w:id="861361333">
      <w:bodyDiv w:val="1"/>
      <w:marLeft w:val="0"/>
      <w:marRight w:val="0"/>
      <w:marTop w:val="0"/>
      <w:marBottom w:val="0"/>
      <w:divBdr>
        <w:top w:val="none" w:sz="0" w:space="0" w:color="auto"/>
        <w:left w:val="none" w:sz="0" w:space="0" w:color="auto"/>
        <w:bottom w:val="none" w:sz="0" w:space="0" w:color="auto"/>
        <w:right w:val="none" w:sz="0" w:space="0" w:color="auto"/>
      </w:divBdr>
    </w:div>
    <w:div w:id="1009723730">
      <w:bodyDiv w:val="1"/>
      <w:marLeft w:val="0"/>
      <w:marRight w:val="0"/>
      <w:marTop w:val="0"/>
      <w:marBottom w:val="0"/>
      <w:divBdr>
        <w:top w:val="none" w:sz="0" w:space="0" w:color="auto"/>
        <w:left w:val="none" w:sz="0" w:space="0" w:color="auto"/>
        <w:bottom w:val="none" w:sz="0" w:space="0" w:color="auto"/>
        <w:right w:val="none" w:sz="0" w:space="0" w:color="auto"/>
      </w:divBdr>
    </w:div>
    <w:div w:id="1181814699">
      <w:bodyDiv w:val="1"/>
      <w:marLeft w:val="0"/>
      <w:marRight w:val="0"/>
      <w:marTop w:val="0"/>
      <w:marBottom w:val="0"/>
      <w:divBdr>
        <w:top w:val="none" w:sz="0" w:space="0" w:color="auto"/>
        <w:left w:val="none" w:sz="0" w:space="0" w:color="auto"/>
        <w:bottom w:val="none" w:sz="0" w:space="0" w:color="auto"/>
        <w:right w:val="none" w:sz="0" w:space="0" w:color="auto"/>
      </w:divBdr>
    </w:div>
    <w:div w:id="1632711460">
      <w:bodyDiv w:val="1"/>
      <w:marLeft w:val="0"/>
      <w:marRight w:val="0"/>
      <w:marTop w:val="0"/>
      <w:marBottom w:val="0"/>
      <w:divBdr>
        <w:top w:val="none" w:sz="0" w:space="0" w:color="auto"/>
        <w:left w:val="none" w:sz="0" w:space="0" w:color="auto"/>
        <w:bottom w:val="none" w:sz="0" w:space="0" w:color="auto"/>
        <w:right w:val="none" w:sz="0" w:space="0" w:color="auto"/>
      </w:divBdr>
    </w:div>
    <w:div w:id="1737707759">
      <w:bodyDiv w:val="1"/>
      <w:marLeft w:val="0"/>
      <w:marRight w:val="0"/>
      <w:marTop w:val="0"/>
      <w:marBottom w:val="0"/>
      <w:divBdr>
        <w:top w:val="none" w:sz="0" w:space="0" w:color="auto"/>
        <w:left w:val="none" w:sz="0" w:space="0" w:color="auto"/>
        <w:bottom w:val="none" w:sz="0" w:space="0" w:color="auto"/>
        <w:right w:val="none" w:sz="0" w:space="0" w:color="auto"/>
      </w:divBdr>
    </w:div>
    <w:div w:id="1867020274">
      <w:bodyDiv w:val="1"/>
      <w:marLeft w:val="0"/>
      <w:marRight w:val="0"/>
      <w:marTop w:val="0"/>
      <w:marBottom w:val="0"/>
      <w:divBdr>
        <w:top w:val="none" w:sz="0" w:space="0" w:color="auto"/>
        <w:left w:val="none" w:sz="0" w:space="0" w:color="auto"/>
        <w:bottom w:val="none" w:sz="0" w:space="0" w:color="auto"/>
        <w:right w:val="none" w:sz="0" w:space="0" w:color="auto"/>
      </w:divBdr>
    </w:div>
    <w:div w:id="20760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tiff"/><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footer" Target="footer6.xml"/><Relationship Id="rId47"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2.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ayle.es/"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tiff"/><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1.tiff"/><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hyperlink" Target="https://www.scayle.es/" TargetMode="Externa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5.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7.xm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github.com/RicardoFong/primate_enamelome"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tiff"/><Relationship Id="rId46"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876</TotalTime>
  <Pages>29</Pages>
  <Words>6602</Words>
  <Characters>37634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Gutierrez</dc:creator>
  <cp:keywords/>
  <dc:description/>
  <cp:lastModifiedBy>Amanda Gutierrez</cp:lastModifiedBy>
  <cp:revision>45</cp:revision>
  <cp:lastPrinted>2026-06-05T10:30:00Z</cp:lastPrinted>
  <dcterms:created xsi:type="dcterms:W3CDTF">2026-01-09T16:28:00Z</dcterms:created>
  <dcterms:modified xsi:type="dcterms:W3CDTF">2026-06-05T12:51:00Z</dcterms:modified>
</cp:coreProperties>
</file>