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6CE21" w14:textId="77777777" w:rsidR="0039437D" w:rsidRDefault="0039437D" w:rsidP="0039437D">
      <w:pPr>
        <w:pStyle w:val="NormalWeb"/>
        <w:spacing w:before="0" w:beforeAutospacing="0" w:after="240" w:afterAutospacing="0" w:line="480" w:lineRule="auto"/>
      </w:pPr>
      <w:r>
        <w:rPr>
          <w:rFonts w:ascii="Arial" w:hAnsi="Arial" w:cs="Arial"/>
          <w:b/>
          <w:bCs/>
          <w:color w:val="000000"/>
          <w:sz w:val="22"/>
          <w:szCs w:val="22"/>
        </w:rPr>
        <w:t>Flow Cytometry Analysis and Gating Strategy for E7-Specific CD8+ T Cells</w:t>
      </w:r>
    </w:p>
    <w:p w14:paraId="602E850E" w14:textId="77777777" w:rsidR="0039437D" w:rsidRDefault="0039437D" w:rsidP="0039437D">
      <w:pPr>
        <w:pStyle w:val="NormalWeb"/>
        <w:spacing w:before="0" w:beforeAutospacing="0" w:after="240" w:afterAutospacing="0" w:line="480" w:lineRule="auto"/>
      </w:pPr>
      <w:r>
        <w:rPr>
          <w:rFonts w:ascii="Arial" w:hAnsi="Arial" w:cs="Arial"/>
          <w:color w:val="000000"/>
          <w:sz w:val="22"/>
          <w:szCs w:val="22"/>
        </w:rPr>
        <w:t>To accurately quantify antigen-specific T cell responses, PBMCs were stained and analyzed using a rigorous sequential gating strategy to eliminate artifacts and non-specific signals. The detailed protocol is as follows:</w:t>
      </w:r>
    </w:p>
    <w:p w14:paraId="73B34559" w14:textId="77777777" w:rsidR="0039437D" w:rsidRDefault="0039437D" w:rsidP="0039437D">
      <w:pPr>
        <w:pStyle w:val="NormalWeb"/>
        <w:spacing w:before="0" w:beforeAutospacing="0" w:after="240" w:afterAutospacing="0" w:line="480" w:lineRule="auto"/>
      </w:pPr>
      <w:r>
        <w:rPr>
          <w:rFonts w:ascii="Arial" w:hAnsi="Arial" w:cs="Arial"/>
          <w:b/>
          <w:bCs/>
          <w:color w:val="000000"/>
          <w:sz w:val="22"/>
          <w:szCs w:val="22"/>
        </w:rPr>
        <w:t>(1) Singlet Gating (SSC-A vs. SSC-Width):</w:t>
      </w:r>
      <w:r>
        <w:rPr>
          <w:rFonts w:ascii="Arial" w:hAnsi="Arial" w:cs="Arial"/>
          <w:color w:val="000000"/>
          <w:sz w:val="22"/>
          <w:szCs w:val="22"/>
        </w:rPr>
        <w:t xml:space="preserve"> To prevent false-positive signals from clumped cells, doublets were initially excluded. Single cells (Singlets) were stringently gated on an </w:t>
      </w:r>
      <w:r>
        <w:rPr>
          <w:rFonts w:ascii="Arial" w:hAnsi="Arial" w:cs="Arial"/>
          <w:color w:val="188038"/>
          <w:sz w:val="22"/>
          <w:szCs w:val="22"/>
        </w:rPr>
        <w:t>SSC-A</w:t>
      </w:r>
      <w:r>
        <w:rPr>
          <w:rFonts w:ascii="Arial" w:hAnsi="Arial" w:cs="Arial"/>
          <w:color w:val="000000"/>
          <w:sz w:val="22"/>
          <w:szCs w:val="22"/>
        </w:rPr>
        <w:t xml:space="preserve"> (X-axis) versus </w:t>
      </w:r>
      <w:r>
        <w:rPr>
          <w:rFonts w:ascii="Arial" w:hAnsi="Arial" w:cs="Arial"/>
          <w:color w:val="188038"/>
          <w:sz w:val="22"/>
          <w:szCs w:val="22"/>
        </w:rPr>
        <w:t>SSC-Width</w:t>
      </w:r>
      <w:r>
        <w:rPr>
          <w:rFonts w:ascii="Arial" w:hAnsi="Arial" w:cs="Arial"/>
          <w:color w:val="000000"/>
          <w:sz w:val="22"/>
          <w:szCs w:val="22"/>
        </w:rPr>
        <w:t xml:space="preserve"> (Y-axis) plot by delineating the primary linear population.</w:t>
      </w:r>
    </w:p>
    <w:p w14:paraId="3F784A50" w14:textId="77777777" w:rsidR="0039437D" w:rsidRDefault="0039437D" w:rsidP="0039437D">
      <w:pPr>
        <w:pStyle w:val="NormalWeb"/>
        <w:spacing w:before="0" w:beforeAutospacing="0" w:after="240" w:afterAutospacing="0" w:line="480" w:lineRule="auto"/>
      </w:pPr>
      <w:r>
        <w:rPr>
          <w:rFonts w:ascii="Arial" w:hAnsi="Arial" w:cs="Arial"/>
          <w:b/>
          <w:bCs/>
          <w:color w:val="000000"/>
          <w:sz w:val="22"/>
          <w:szCs w:val="22"/>
        </w:rPr>
        <w:t>(2) Lymphocyte Gating (FSC-A vs. SSC-A):</w:t>
      </w:r>
      <w:r>
        <w:rPr>
          <w:rFonts w:ascii="Arial" w:hAnsi="Arial" w:cs="Arial"/>
          <w:color w:val="000000"/>
          <w:sz w:val="22"/>
          <w:szCs w:val="22"/>
        </w:rPr>
        <w:t xml:space="preserve"> Following singlet selection, the target lymphocyte population was identified based on physical morphological properties. A morphological gate was applied using </w:t>
      </w:r>
      <w:r>
        <w:rPr>
          <w:rFonts w:ascii="Arial" w:hAnsi="Arial" w:cs="Arial"/>
          <w:color w:val="188038"/>
          <w:sz w:val="22"/>
          <w:szCs w:val="22"/>
        </w:rPr>
        <w:t>FSC-A</w:t>
      </w:r>
      <w:r>
        <w:rPr>
          <w:rFonts w:ascii="Arial" w:hAnsi="Arial" w:cs="Arial"/>
          <w:color w:val="000000"/>
          <w:sz w:val="22"/>
          <w:szCs w:val="22"/>
        </w:rPr>
        <w:t xml:space="preserve"> (relative cell size) and </w:t>
      </w:r>
      <w:r>
        <w:rPr>
          <w:rFonts w:ascii="Arial" w:hAnsi="Arial" w:cs="Arial"/>
          <w:color w:val="188038"/>
          <w:sz w:val="22"/>
          <w:szCs w:val="22"/>
        </w:rPr>
        <w:t>SSC-A</w:t>
      </w:r>
      <w:r>
        <w:rPr>
          <w:rFonts w:ascii="Arial" w:hAnsi="Arial" w:cs="Arial"/>
          <w:color w:val="000000"/>
          <w:sz w:val="22"/>
          <w:szCs w:val="22"/>
        </w:rPr>
        <w:t xml:space="preserve"> (internal granularity) to filter out smaller cell debris and larger, granular leukocyte subsets such as monocytes and granulocytes.</w:t>
      </w:r>
    </w:p>
    <w:p w14:paraId="04C7B6F5" w14:textId="0E6B795B" w:rsidR="0039437D" w:rsidRDefault="0039437D" w:rsidP="0039437D">
      <w:pPr>
        <w:pStyle w:val="NormalWeb"/>
        <w:spacing w:before="0" w:beforeAutospacing="0" w:after="240" w:afterAutospacing="0" w:line="480" w:lineRule="auto"/>
      </w:pPr>
      <w:r>
        <w:rPr>
          <w:rFonts w:ascii="Arial" w:hAnsi="Arial" w:cs="Arial"/>
          <w:b/>
          <w:bCs/>
          <w:color w:val="000000"/>
          <w:sz w:val="22"/>
          <w:szCs w:val="22"/>
        </w:rPr>
        <w:t>(3) Live/Dead Gating (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live_dead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BV510-A vs. SSC-A):</w:t>
      </w:r>
      <w:r>
        <w:rPr>
          <w:rFonts w:ascii="Arial" w:hAnsi="Arial" w:cs="Arial"/>
          <w:color w:val="000000"/>
          <w:sz w:val="22"/>
          <w:szCs w:val="22"/>
        </w:rPr>
        <w:t xml:space="preserve"> Since dead cells exhibit non-specific antibody binding that increases background noise, live cells were selected. Dead cells were excluded by gating the negative population on the </w:t>
      </w:r>
      <w:r>
        <w:rPr>
          <w:rFonts w:ascii="Arial" w:hAnsi="Arial" w:cs="Arial"/>
          <w:color w:val="188038"/>
          <w:sz w:val="22"/>
          <w:szCs w:val="22"/>
        </w:rPr>
        <w:t>FL7-</w:t>
      </w:r>
      <w:proofErr w:type="gramStart"/>
      <w:r>
        <w:rPr>
          <w:rFonts w:ascii="Arial" w:hAnsi="Arial" w:cs="Arial"/>
          <w:color w:val="188038"/>
          <w:sz w:val="22"/>
          <w:szCs w:val="22"/>
        </w:rPr>
        <w:t>A :</w:t>
      </w:r>
      <w:proofErr w:type="gramEnd"/>
      <w:r>
        <w:rPr>
          <w:rFonts w:ascii="Arial" w:hAnsi="Arial" w:cs="Arial"/>
          <w:color w:val="188038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188038"/>
          <w:sz w:val="22"/>
          <w:szCs w:val="22"/>
        </w:rPr>
        <w:t>live_dead</w:t>
      </w:r>
      <w:proofErr w:type="spellEnd"/>
      <w:r>
        <w:rPr>
          <w:rFonts w:ascii="Arial" w:hAnsi="Arial" w:cs="Arial"/>
          <w:color w:val="188038"/>
          <w:sz w:val="22"/>
          <w:szCs w:val="22"/>
        </w:rPr>
        <w:t xml:space="preserve"> BV510-A</w:t>
      </w:r>
      <w:r>
        <w:rPr>
          <w:rFonts w:ascii="Arial" w:hAnsi="Arial" w:cs="Arial"/>
          <w:color w:val="000000"/>
          <w:sz w:val="22"/>
          <w:szCs w:val="22"/>
        </w:rPr>
        <w:t xml:space="preserve"> channel, with the threshold set strictly below the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10</w:t>
      </w:r>
      <w:r w:rsidRPr="0039437D">
        <w:rPr>
          <w:rFonts w:ascii="Arial" w:hAnsi="Arial" w:cs="Arial"/>
          <w:color w:val="000000"/>
          <w:sz w:val="22"/>
          <w:szCs w:val="22"/>
          <w:vertAlign w:val="superscript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fluorescence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intensity mark.</w:t>
      </w:r>
    </w:p>
    <w:p w14:paraId="7CC28AF3" w14:textId="688D43B6" w:rsidR="0039437D" w:rsidRDefault="0039437D" w:rsidP="0039437D">
      <w:pPr>
        <w:pStyle w:val="NormalWeb"/>
        <w:spacing w:before="0" w:beforeAutospacing="0" w:after="240" w:afterAutospacing="0" w:line="480" w:lineRule="auto"/>
      </w:pPr>
      <w:r>
        <w:rPr>
          <w:rFonts w:ascii="Arial" w:hAnsi="Arial" w:cs="Arial"/>
          <w:b/>
          <w:bCs/>
          <w:color w:val="000000"/>
          <w:sz w:val="22"/>
          <w:szCs w:val="22"/>
        </w:rPr>
        <w:t>(4) Effector Cell Identification (CD8 APC-A750-A vs. SSC-A):</w:t>
      </w:r>
      <w:r>
        <w:rPr>
          <w:rFonts w:ascii="Arial" w:hAnsi="Arial" w:cs="Arial"/>
          <w:color w:val="000000"/>
          <w:sz w:val="22"/>
          <w:szCs w:val="22"/>
        </w:rPr>
        <w:t xml:space="preserve"> Within the live lymphocyte gate, cytotoxic T cells were identified. The CD8+ T cell population was precisely gated by defining the positive population with a fluorescence intensity threshold of &gt;10</w:t>
      </w:r>
      <w:r w:rsidRPr="0039437D">
        <w:rPr>
          <w:rFonts w:ascii="Arial" w:hAnsi="Arial" w:cs="Arial"/>
          <w:color w:val="000000"/>
          <w:sz w:val="22"/>
          <w:szCs w:val="22"/>
          <w:vertAlign w:val="superscript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on the </w:t>
      </w:r>
      <w:r>
        <w:rPr>
          <w:rFonts w:ascii="Arial" w:hAnsi="Arial" w:cs="Arial"/>
          <w:color w:val="188038"/>
          <w:sz w:val="22"/>
          <w:szCs w:val="22"/>
        </w:rPr>
        <w:t>FL5-</w:t>
      </w:r>
      <w:proofErr w:type="gramStart"/>
      <w:r>
        <w:rPr>
          <w:rFonts w:ascii="Arial" w:hAnsi="Arial" w:cs="Arial"/>
          <w:color w:val="188038"/>
          <w:sz w:val="22"/>
          <w:szCs w:val="22"/>
        </w:rPr>
        <w:t>A :</w:t>
      </w:r>
      <w:proofErr w:type="gramEnd"/>
      <w:r>
        <w:rPr>
          <w:rFonts w:ascii="Arial" w:hAnsi="Arial" w:cs="Arial"/>
          <w:color w:val="188038"/>
          <w:sz w:val="22"/>
          <w:szCs w:val="22"/>
        </w:rPr>
        <w:t>: CD8 APC-A750-A</w:t>
      </w:r>
      <w:r>
        <w:rPr>
          <w:rFonts w:ascii="Arial" w:hAnsi="Arial" w:cs="Arial"/>
          <w:color w:val="000000"/>
          <w:sz w:val="22"/>
          <w:szCs w:val="22"/>
        </w:rPr>
        <w:t xml:space="preserve"> channel.</w:t>
      </w:r>
    </w:p>
    <w:p w14:paraId="4E598416" w14:textId="04AEFCE1" w:rsidR="0039437D" w:rsidRDefault="0039437D" w:rsidP="0039437D">
      <w:pPr>
        <w:pStyle w:val="NormalWeb"/>
        <w:spacing w:before="0" w:beforeAutospacing="0" w:after="240" w:afterAutospacing="0" w:line="480" w:lineRule="auto"/>
      </w:pPr>
      <w:r>
        <w:rPr>
          <w:rFonts w:ascii="Arial" w:hAnsi="Arial" w:cs="Arial"/>
          <w:b/>
          <w:bCs/>
          <w:color w:val="000000"/>
          <w:sz w:val="22"/>
          <w:szCs w:val="22"/>
        </w:rPr>
        <w:t>(5) Antigen-Specific T Cell Quantification (E7 PE-A vs. CD8 APC-A750-A):</w:t>
      </w:r>
      <w:r>
        <w:rPr>
          <w:rFonts w:ascii="Arial" w:hAnsi="Arial" w:cs="Arial"/>
          <w:color w:val="000000"/>
          <w:sz w:val="22"/>
          <w:szCs w:val="22"/>
        </w:rPr>
        <w:t xml:space="preserve"> Finally, to evaluate the specific immune response, the E7-specific cells were quantified within the parental CD8+ T cell population. On a biaxial plot, quadrant gates were established with thresholds set </w:t>
      </w:r>
      <w:r>
        <w:rPr>
          <w:rFonts w:ascii="Arial" w:hAnsi="Arial" w:cs="Arial"/>
          <w:color w:val="000000"/>
          <w:sz w:val="22"/>
          <w:szCs w:val="22"/>
        </w:rPr>
        <w:lastRenderedPageBreak/>
        <w:t>at 10</w:t>
      </w:r>
      <w:r w:rsidRPr="0039437D">
        <w:rPr>
          <w:rFonts w:ascii="Arial" w:hAnsi="Arial" w:cs="Arial"/>
          <w:color w:val="000000"/>
          <w:sz w:val="22"/>
          <w:szCs w:val="22"/>
          <w:vertAlign w:val="superscript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for both </w:t>
      </w:r>
      <w:r>
        <w:rPr>
          <w:rFonts w:ascii="Arial" w:hAnsi="Arial" w:cs="Arial"/>
          <w:color w:val="188038"/>
          <w:sz w:val="22"/>
          <w:szCs w:val="22"/>
        </w:rPr>
        <w:t>FL10-</w:t>
      </w:r>
      <w:proofErr w:type="gramStart"/>
      <w:r>
        <w:rPr>
          <w:rFonts w:ascii="Arial" w:hAnsi="Arial" w:cs="Arial"/>
          <w:color w:val="188038"/>
          <w:sz w:val="22"/>
          <w:szCs w:val="22"/>
        </w:rPr>
        <w:t>A :</w:t>
      </w:r>
      <w:proofErr w:type="gramEnd"/>
      <w:r>
        <w:rPr>
          <w:rFonts w:ascii="Arial" w:hAnsi="Arial" w:cs="Arial"/>
          <w:color w:val="188038"/>
          <w:sz w:val="22"/>
          <w:szCs w:val="22"/>
        </w:rPr>
        <w:t>: E7 PE-A</w:t>
      </w:r>
      <w:r>
        <w:rPr>
          <w:rFonts w:ascii="Arial" w:hAnsi="Arial" w:cs="Arial"/>
          <w:color w:val="000000"/>
          <w:sz w:val="22"/>
          <w:szCs w:val="22"/>
        </w:rPr>
        <w:t xml:space="preserve"> (X-axis) and </w:t>
      </w:r>
      <w:r>
        <w:rPr>
          <w:rFonts w:ascii="Arial" w:hAnsi="Arial" w:cs="Arial"/>
          <w:color w:val="188038"/>
          <w:sz w:val="22"/>
          <w:szCs w:val="22"/>
        </w:rPr>
        <w:t>FL5-</w:t>
      </w:r>
      <w:proofErr w:type="gramStart"/>
      <w:r>
        <w:rPr>
          <w:rFonts w:ascii="Arial" w:hAnsi="Arial" w:cs="Arial"/>
          <w:color w:val="188038"/>
          <w:sz w:val="22"/>
          <w:szCs w:val="22"/>
        </w:rPr>
        <w:t>A :</w:t>
      </w:r>
      <w:proofErr w:type="gramEnd"/>
      <w:r>
        <w:rPr>
          <w:rFonts w:ascii="Arial" w:hAnsi="Arial" w:cs="Arial"/>
          <w:color w:val="188038"/>
          <w:sz w:val="22"/>
          <w:szCs w:val="22"/>
        </w:rPr>
        <w:t>: CD8 APC-A750-A</w:t>
      </w:r>
      <w:r>
        <w:rPr>
          <w:rFonts w:ascii="Arial" w:hAnsi="Arial" w:cs="Arial"/>
          <w:color w:val="000000"/>
          <w:sz w:val="22"/>
          <w:szCs w:val="22"/>
        </w:rPr>
        <w:t xml:space="preserve"> (Y-axis). The E7 tetramer-positive cells were identified in quadrant 2 (Q2, PE &gt;10^4 and APC-A750 &gt;10^4).</w:t>
      </w:r>
    </w:p>
    <w:p w14:paraId="4AB3191C" w14:textId="7AC74B76" w:rsidR="0039437D" w:rsidRDefault="0039437D" w:rsidP="0039437D">
      <w:pPr>
        <w:spacing w:line="480" w:lineRule="auto"/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7384C485" wp14:editId="5B94C5C9">
            <wp:extent cx="5727700" cy="1003300"/>
            <wp:effectExtent l="0" t="0" r="0" b="6350"/>
            <wp:docPr id="275445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C80E0" w14:textId="3CC1FFC1" w:rsidR="0039437D" w:rsidRDefault="0039437D" w:rsidP="0039437D">
      <w:pPr>
        <w:spacing w:line="480" w:lineRule="auto"/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2E40F091" wp14:editId="797D6B92">
            <wp:extent cx="5727700" cy="1041400"/>
            <wp:effectExtent l="0" t="0" r="0" b="6350"/>
            <wp:docPr id="13749576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4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7D"/>
    <w:rsid w:val="0039437D"/>
    <w:rsid w:val="003D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541B6"/>
  <w15:chartTrackingRefBased/>
  <w15:docId w15:val="{EEAD052E-E505-4C4F-991B-A76E9592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37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94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Xu</dc:creator>
  <cp:keywords/>
  <dc:description/>
  <cp:lastModifiedBy>Owen Xu</cp:lastModifiedBy>
  <cp:revision>1</cp:revision>
  <dcterms:created xsi:type="dcterms:W3CDTF">2026-03-30T23:29:00Z</dcterms:created>
  <dcterms:modified xsi:type="dcterms:W3CDTF">2026-03-30T23:31:00Z</dcterms:modified>
</cp:coreProperties>
</file>