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69F98">
      <w:pPr>
        <w:jc w:val="center"/>
      </w:pPr>
      <w:r>
        <w:rPr>
          <w:b/>
        </w:rPr>
        <w:t xml:space="preserve">Supplementary </w:t>
      </w:r>
      <w:r>
        <w:rPr>
          <w:rFonts w:hint="eastAsia" w:eastAsia="宋体"/>
          <w:b/>
          <w:lang w:val="en-US" w:eastAsia="zh-CN"/>
        </w:rPr>
        <w:t>4</w:t>
      </w:r>
      <w:r>
        <w:rPr>
          <w:b/>
        </w:rPr>
        <w:t>. Coefficients for</w:t>
      </w:r>
      <w:r>
        <w:rPr>
          <w:rFonts w:hint="eastAsia" w:eastAsia="宋体"/>
          <w:b/>
          <w:lang w:val="en-US" w:eastAsia="zh-CN"/>
        </w:rPr>
        <w:t xml:space="preserve"> MPCD</w:t>
      </w:r>
      <w:r>
        <w:rPr>
          <w:b/>
        </w:rPr>
        <w:t>_signature and published single-PCD lncRNA signatures</w:t>
      </w:r>
    </w:p>
    <w:p w14:paraId="4885D499">
      <w:r>
        <w:t>Risk scores were computed as a linear predictor: RiskScore = Σ (β × Expr), where β is the reported coefficient and Expr is the normalized lncRNA expression value.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3249"/>
        <w:gridCol w:w="2007"/>
      </w:tblGrid>
      <w:tr w14:paraId="3A97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4CF9A6FA">
            <w:pPr>
              <w:spacing w:after="0" w:line="240" w:lineRule="auto"/>
            </w:pPr>
            <w:r>
              <w:rPr>
                <w:b/>
              </w:rPr>
              <w:t>Signature</w:t>
            </w:r>
          </w:p>
        </w:tc>
        <w:tc>
          <w:tcPr>
            <w:tcW w:w="3249" w:type="dxa"/>
            <w:vAlign w:val="center"/>
          </w:tcPr>
          <w:p w14:paraId="3ED0638C">
            <w:pPr>
              <w:spacing w:after="0" w:line="240" w:lineRule="auto"/>
            </w:pPr>
            <w:r>
              <w:rPr>
                <w:b/>
              </w:rPr>
              <w:t>lncRNA</w:t>
            </w:r>
          </w:p>
        </w:tc>
        <w:tc>
          <w:tcPr>
            <w:tcW w:w="2007" w:type="dxa"/>
            <w:vAlign w:val="center"/>
          </w:tcPr>
          <w:p w14:paraId="2AA10A9E">
            <w:pPr>
              <w:spacing w:after="0" w:line="240" w:lineRule="auto"/>
            </w:pPr>
            <w:r>
              <w:rPr>
                <w:b/>
              </w:rPr>
              <w:t>Coefficient (β)</w:t>
            </w:r>
          </w:p>
        </w:tc>
      </w:tr>
      <w:tr w14:paraId="557B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58DD780E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MPCD</w:t>
            </w:r>
            <w:r>
              <w:t>_signature (multi-PCD)</w:t>
            </w:r>
          </w:p>
        </w:tc>
        <w:tc>
          <w:tcPr>
            <w:tcW w:w="3249" w:type="dxa"/>
            <w:vAlign w:val="center"/>
          </w:tcPr>
          <w:p w14:paraId="2B631320">
            <w:pPr>
              <w:spacing w:after="0" w:line="240" w:lineRule="auto"/>
            </w:pPr>
            <w:r>
              <w:t>AC026401.3</w:t>
            </w:r>
          </w:p>
        </w:tc>
        <w:tc>
          <w:tcPr>
            <w:tcW w:w="2007" w:type="dxa"/>
            <w:vAlign w:val="center"/>
          </w:tcPr>
          <w:p w14:paraId="687A5A8B">
            <w:pPr>
              <w:spacing w:after="0" w:line="240" w:lineRule="auto"/>
            </w:pPr>
            <w:r>
              <w:t>0.564</w:t>
            </w:r>
          </w:p>
        </w:tc>
      </w:tr>
      <w:tr w14:paraId="6C3D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8DB899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MPCD</w:t>
            </w:r>
            <w:r>
              <w:t>_signature (multi-PCD)</w:t>
            </w:r>
          </w:p>
        </w:tc>
        <w:tc>
          <w:tcPr>
            <w:tcW w:w="3249" w:type="dxa"/>
            <w:vAlign w:val="center"/>
          </w:tcPr>
          <w:p w14:paraId="050565F7">
            <w:pPr>
              <w:spacing w:after="0" w:line="240" w:lineRule="auto"/>
            </w:pPr>
            <w:r>
              <w:t>GAS5-AS1</w:t>
            </w:r>
          </w:p>
        </w:tc>
        <w:tc>
          <w:tcPr>
            <w:tcW w:w="2007" w:type="dxa"/>
            <w:vAlign w:val="center"/>
          </w:tcPr>
          <w:p w14:paraId="2E007391">
            <w:pPr>
              <w:spacing w:after="0" w:line="240" w:lineRule="auto"/>
            </w:pPr>
            <w:r>
              <w:t>-0.5262</w:t>
            </w:r>
          </w:p>
        </w:tc>
      </w:tr>
      <w:tr w14:paraId="407A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266BF77B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MPCD</w:t>
            </w:r>
            <w:r>
              <w:t>_signature (multi-PCD)</w:t>
            </w:r>
          </w:p>
        </w:tc>
        <w:tc>
          <w:tcPr>
            <w:tcW w:w="3249" w:type="dxa"/>
            <w:vAlign w:val="center"/>
          </w:tcPr>
          <w:p w14:paraId="19559EC6">
            <w:pPr>
              <w:spacing w:after="0" w:line="240" w:lineRule="auto"/>
            </w:pPr>
            <w:r>
              <w:t>SNHG8</w:t>
            </w:r>
          </w:p>
        </w:tc>
        <w:tc>
          <w:tcPr>
            <w:tcW w:w="2007" w:type="dxa"/>
            <w:vAlign w:val="center"/>
          </w:tcPr>
          <w:p w14:paraId="48D87B6C">
            <w:pPr>
              <w:spacing w:after="0" w:line="240" w:lineRule="auto"/>
            </w:pPr>
            <w:r>
              <w:t>-0.2883</w:t>
            </w:r>
          </w:p>
        </w:tc>
      </w:tr>
      <w:tr w14:paraId="678D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24EEB3C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MPCD</w:t>
            </w:r>
            <w:r>
              <w:t>_signature (multi-PCD)</w:t>
            </w:r>
          </w:p>
        </w:tc>
        <w:tc>
          <w:tcPr>
            <w:tcW w:w="3249" w:type="dxa"/>
            <w:vAlign w:val="center"/>
          </w:tcPr>
          <w:p w14:paraId="4D5E110C">
            <w:pPr>
              <w:spacing w:after="0" w:line="240" w:lineRule="auto"/>
            </w:pPr>
            <w:r>
              <w:t>AC084024.4</w:t>
            </w:r>
          </w:p>
        </w:tc>
        <w:tc>
          <w:tcPr>
            <w:tcW w:w="2007" w:type="dxa"/>
            <w:vAlign w:val="center"/>
          </w:tcPr>
          <w:p w14:paraId="3B0064E1">
            <w:pPr>
              <w:spacing w:after="0" w:line="240" w:lineRule="auto"/>
            </w:pPr>
            <w:r>
              <w:t>0.3633</w:t>
            </w:r>
          </w:p>
        </w:tc>
      </w:tr>
      <w:tr w14:paraId="700E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0EAB3AE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MPCD</w:t>
            </w:r>
            <w:r>
              <w:t>_signature (multi-PCD)</w:t>
            </w:r>
          </w:p>
        </w:tc>
        <w:tc>
          <w:tcPr>
            <w:tcW w:w="3249" w:type="dxa"/>
            <w:vAlign w:val="center"/>
          </w:tcPr>
          <w:p w14:paraId="3888AE8B">
            <w:pPr>
              <w:spacing w:after="0" w:line="240" w:lineRule="auto"/>
            </w:pPr>
            <w:r>
              <w:t>LINC02027</w:t>
            </w:r>
          </w:p>
        </w:tc>
        <w:tc>
          <w:tcPr>
            <w:tcW w:w="2007" w:type="dxa"/>
            <w:vAlign w:val="center"/>
          </w:tcPr>
          <w:p w14:paraId="3475C374">
            <w:pPr>
              <w:spacing w:after="0" w:line="240" w:lineRule="auto"/>
            </w:pPr>
            <w:r>
              <w:t>-0.2876</w:t>
            </w:r>
          </w:p>
        </w:tc>
      </w:tr>
      <w:tr w14:paraId="63ECC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3E9D765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MPCD</w:t>
            </w:r>
            <w:r>
              <w:t>_signature (multi-PCD)</w:t>
            </w:r>
          </w:p>
        </w:tc>
        <w:tc>
          <w:tcPr>
            <w:tcW w:w="3249" w:type="dxa"/>
            <w:vAlign w:val="center"/>
          </w:tcPr>
          <w:p w14:paraId="0FEB7C93">
            <w:pPr>
              <w:spacing w:after="0" w:line="240" w:lineRule="auto"/>
            </w:pPr>
            <w:r>
              <w:t>AC115522.1</w:t>
            </w:r>
          </w:p>
        </w:tc>
        <w:tc>
          <w:tcPr>
            <w:tcW w:w="2007" w:type="dxa"/>
            <w:vAlign w:val="center"/>
          </w:tcPr>
          <w:p w14:paraId="4DC36D3E">
            <w:pPr>
              <w:spacing w:after="0" w:line="240" w:lineRule="auto"/>
            </w:pPr>
            <w:r>
              <w:t>-0.705</w:t>
            </w:r>
          </w:p>
        </w:tc>
      </w:tr>
      <w:tr w14:paraId="673D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3D354DC8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62180E35">
            <w:pPr>
              <w:spacing w:after="0" w:line="240" w:lineRule="auto"/>
            </w:pPr>
            <w:r>
              <w:t>LINC00460</w:t>
            </w:r>
          </w:p>
        </w:tc>
        <w:tc>
          <w:tcPr>
            <w:tcW w:w="2007" w:type="dxa"/>
            <w:vAlign w:val="center"/>
          </w:tcPr>
          <w:p w14:paraId="6F257749">
            <w:pPr>
              <w:spacing w:after="0" w:line="240" w:lineRule="auto"/>
            </w:pPr>
            <w:r>
              <w:t>0.244157135</w:t>
            </w:r>
          </w:p>
        </w:tc>
      </w:tr>
      <w:tr w14:paraId="042B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02BFC717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0ABEF579">
            <w:pPr>
              <w:spacing w:after="0" w:line="240" w:lineRule="auto"/>
            </w:pPr>
            <w:r>
              <w:t>AC124854.1</w:t>
            </w:r>
          </w:p>
        </w:tc>
        <w:tc>
          <w:tcPr>
            <w:tcW w:w="2007" w:type="dxa"/>
            <w:vAlign w:val="center"/>
          </w:tcPr>
          <w:p w14:paraId="7636FF04">
            <w:pPr>
              <w:spacing w:after="0" w:line="240" w:lineRule="auto"/>
            </w:pPr>
            <w:r>
              <w:t>-0.169947947</w:t>
            </w:r>
          </w:p>
        </w:tc>
      </w:tr>
      <w:tr w14:paraId="4ABB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14AA50C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26688E3D">
            <w:pPr>
              <w:spacing w:after="0" w:line="240" w:lineRule="auto"/>
            </w:pPr>
            <w:r>
              <w:t>AC084876.1</w:t>
            </w:r>
          </w:p>
        </w:tc>
        <w:tc>
          <w:tcPr>
            <w:tcW w:w="2007" w:type="dxa"/>
            <w:vAlign w:val="center"/>
          </w:tcPr>
          <w:p w14:paraId="32F6DA94">
            <w:pPr>
              <w:spacing w:after="0" w:line="240" w:lineRule="auto"/>
            </w:pPr>
            <w:r>
              <w:t>0.608238496</w:t>
            </w:r>
          </w:p>
        </w:tc>
      </w:tr>
      <w:tr w14:paraId="3697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782795B9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01E93935">
            <w:pPr>
              <w:spacing w:after="0" w:line="240" w:lineRule="auto"/>
            </w:pPr>
            <w:r>
              <w:t>IGFL2-AS1</w:t>
            </w:r>
          </w:p>
        </w:tc>
        <w:tc>
          <w:tcPr>
            <w:tcW w:w="2007" w:type="dxa"/>
            <w:vAlign w:val="center"/>
          </w:tcPr>
          <w:p w14:paraId="7E5D3A0E">
            <w:pPr>
              <w:spacing w:after="0" w:line="240" w:lineRule="auto"/>
            </w:pPr>
            <w:r>
              <w:t>0.251676786</w:t>
            </w:r>
          </w:p>
        </w:tc>
      </w:tr>
      <w:tr w14:paraId="7A44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53FAE81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18A2A4D0">
            <w:pPr>
              <w:spacing w:after="0" w:line="240" w:lineRule="auto"/>
            </w:pPr>
            <w:r>
              <w:t>LINC00551</w:t>
            </w:r>
          </w:p>
        </w:tc>
        <w:tc>
          <w:tcPr>
            <w:tcW w:w="2007" w:type="dxa"/>
            <w:vAlign w:val="center"/>
          </w:tcPr>
          <w:p w14:paraId="36AF3514">
            <w:pPr>
              <w:spacing w:after="0" w:line="240" w:lineRule="auto"/>
            </w:pPr>
            <w:r>
              <w:t>-1.929193729</w:t>
            </w:r>
          </w:p>
        </w:tc>
      </w:tr>
      <w:tr w14:paraId="5EB7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21C07639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4179204B">
            <w:pPr>
              <w:spacing w:after="0" w:line="240" w:lineRule="auto"/>
            </w:pPr>
            <w:r>
              <w:t>AC083967.1</w:t>
            </w:r>
          </w:p>
        </w:tc>
        <w:tc>
          <w:tcPr>
            <w:tcW w:w="2007" w:type="dxa"/>
            <w:vAlign w:val="center"/>
          </w:tcPr>
          <w:p w14:paraId="3EBBA488">
            <w:pPr>
              <w:spacing w:after="0" w:line="240" w:lineRule="auto"/>
            </w:pPr>
            <w:r>
              <w:t>0.446834468</w:t>
            </w:r>
          </w:p>
        </w:tc>
      </w:tr>
      <w:tr w14:paraId="46B82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4AE1394F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60D1FD71">
            <w:pPr>
              <w:spacing w:after="0" w:line="240" w:lineRule="auto"/>
            </w:pPr>
            <w:r>
              <w:t>AC073487.1</w:t>
            </w:r>
          </w:p>
        </w:tc>
        <w:tc>
          <w:tcPr>
            <w:tcW w:w="2007" w:type="dxa"/>
            <w:vAlign w:val="center"/>
          </w:tcPr>
          <w:p w14:paraId="5D10DBD6">
            <w:pPr>
              <w:spacing w:after="0" w:line="240" w:lineRule="auto"/>
            </w:pPr>
            <w:r>
              <w:t>0.599290559</w:t>
            </w:r>
          </w:p>
        </w:tc>
      </w:tr>
      <w:tr w14:paraId="31AD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4AC7EFD3">
            <w:pPr>
              <w:spacing w:after="0" w:line="240" w:lineRule="auto"/>
            </w:pPr>
            <w:r>
              <w:t>Lai_signature (ferroptosis)</w:t>
            </w:r>
          </w:p>
        </w:tc>
        <w:tc>
          <w:tcPr>
            <w:tcW w:w="3249" w:type="dxa"/>
            <w:vAlign w:val="center"/>
          </w:tcPr>
          <w:p w14:paraId="79784618">
            <w:pPr>
              <w:spacing w:after="0" w:line="240" w:lineRule="auto"/>
            </w:pPr>
            <w:r>
              <w:t>LINC02446</w:t>
            </w:r>
          </w:p>
        </w:tc>
        <w:tc>
          <w:tcPr>
            <w:tcW w:w="2007" w:type="dxa"/>
            <w:vAlign w:val="center"/>
          </w:tcPr>
          <w:p w14:paraId="44C18895">
            <w:pPr>
              <w:spacing w:after="0" w:line="240" w:lineRule="auto"/>
            </w:pPr>
            <w:r>
              <w:t>0.305102053</w:t>
            </w:r>
          </w:p>
        </w:tc>
      </w:tr>
      <w:tr w14:paraId="545F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7F7CC69E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09E76D5F">
            <w:pPr>
              <w:spacing w:after="0" w:line="240" w:lineRule="auto"/>
            </w:pPr>
            <w:r>
              <w:t>HHLA3</w:t>
            </w:r>
          </w:p>
        </w:tc>
        <w:tc>
          <w:tcPr>
            <w:tcW w:w="2007" w:type="dxa"/>
            <w:vAlign w:val="center"/>
          </w:tcPr>
          <w:p w14:paraId="135284CF">
            <w:pPr>
              <w:spacing w:after="0" w:line="240" w:lineRule="auto"/>
            </w:pPr>
            <w:r>
              <w:t>0.4223</w:t>
            </w:r>
          </w:p>
        </w:tc>
      </w:tr>
      <w:tr w14:paraId="34C6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45D296C2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0D5C8857">
            <w:pPr>
              <w:spacing w:after="0" w:line="240" w:lineRule="auto"/>
            </w:pPr>
            <w:r>
              <w:t>H1-10-AS1</w:t>
            </w:r>
          </w:p>
        </w:tc>
        <w:tc>
          <w:tcPr>
            <w:tcW w:w="2007" w:type="dxa"/>
            <w:vAlign w:val="center"/>
          </w:tcPr>
          <w:p w14:paraId="0F436C77">
            <w:pPr>
              <w:spacing w:after="0" w:line="240" w:lineRule="auto"/>
            </w:pPr>
            <w:r>
              <w:t>0.596</w:t>
            </w:r>
          </w:p>
        </w:tc>
      </w:tr>
      <w:tr w14:paraId="7DC9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5E408C7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0423415F">
            <w:pPr>
              <w:spacing w:after="0" w:line="240" w:lineRule="auto"/>
            </w:pPr>
            <w:r>
              <w:t>PICSAR</w:t>
            </w:r>
          </w:p>
        </w:tc>
        <w:tc>
          <w:tcPr>
            <w:tcW w:w="2007" w:type="dxa"/>
            <w:vAlign w:val="center"/>
          </w:tcPr>
          <w:p w14:paraId="6A766C0E">
            <w:pPr>
              <w:spacing w:after="0" w:line="240" w:lineRule="auto"/>
            </w:pPr>
            <w:r>
              <w:t>0.9702</w:t>
            </w:r>
          </w:p>
        </w:tc>
      </w:tr>
      <w:tr w14:paraId="37E6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7BA92301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48C7A435">
            <w:pPr>
              <w:spacing w:after="0" w:line="240" w:lineRule="auto"/>
            </w:pPr>
            <w:r>
              <w:t>LINC02027</w:t>
            </w:r>
          </w:p>
        </w:tc>
        <w:tc>
          <w:tcPr>
            <w:tcW w:w="2007" w:type="dxa"/>
            <w:vAlign w:val="center"/>
          </w:tcPr>
          <w:p w14:paraId="5CE3F8A1">
            <w:pPr>
              <w:spacing w:after="0" w:line="240" w:lineRule="auto"/>
            </w:pPr>
            <w:r>
              <w:t>-0.5392</w:t>
            </w:r>
          </w:p>
        </w:tc>
      </w:tr>
      <w:tr w14:paraId="2012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3D293A4F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511B8BE4">
            <w:pPr>
              <w:spacing w:after="0" w:line="240" w:lineRule="auto"/>
            </w:pPr>
            <w:r>
              <w:t>SNHG15</w:t>
            </w:r>
          </w:p>
        </w:tc>
        <w:tc>
          <w:tcPr>
            <w:tcW w:w="2007" w:type="dxa"/>
            <w:vAlign w:val="center"/>
          </w:tcPr>
          <w:p w14:paraId="326E045B">
            <w:pPr>
              <w:spacing w:after="0" w:line="240" w:lineRule="auto"/>
            </w:pPr>
            <w:r>
              <w:t>0.3602</w:t>
            </w:r>
          </w:p>
        </w:tc>
      </w:tr>
      <w:tr w14:paraId="1DBD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60B5C8D1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3D23B048">
            <w:pPr>
              <w:spacing w:after="0" w:line="240" w:lineRule="auto"/>
            </w:pPr>
            <w:r>
              <w:t>SNHG8</w:t>
            </w:r>
          </w:p>
        </w:tc>
        <w:tc>
          <w:tcPr>
            <w:tcW w:w="2007" w:type="dxa"/>
            <w:vAlign w:val="center"/>
          </w:tcPr>
          <w:p w14:paraId="290EDEFE">
            <w:pPr>
              <w:spacing w:after="0" w:line="240" w:lineRule="auto"/>
            </w:pPr>
            <w:r>
              <w:t>-0.6352</w:t>
            </w:r>
          </w:p>
        </w:tc>
      </w:tr>
      <w:tr w14:paraId="242E2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353D7AFC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7A18A761">
            <w:pPr>
              <w:spacing w:after="0" w:line="240" w:lineRule="auto"/>
            </w:pPr>
            <w:r>
              <w:t>LINC00471</w:t>
            </w:r>
          </w:p>
        </w:tc>
        <w:tc>
          <w:tcPr>
            <w:tcW w:w="2007" w:type="dxa"/>
            <w:vAlign w:val="center"/>
          </w:tcPr>
          <w:p w14:paraId="6476A350">
            <w:pPr>
              <w:spacing w:after="0" w:line="240" w:lineRule="auto"/>
            </w:pPr>
            <w:r>
              <w:t>1.2766</w:t>
            </w:r>
          </w:p>
        </w:tc>
      </w:tr>
      <w:tr w14:paraId="7E64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1CD90BA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4A60F810">
            <w:pPr>
              <w:spacing w:after="0" w:line="240" w:lineRule="auto"/>
            </w:pPr>
            <w:r>
              <w:t>EIF1B-AS1</w:t>
            </w:r>
          </w:p>
        </w:tc>
        <w:tc>
          <w:tcPr>
            <w:tcW w:w="2007" w:type="dxa"/>
            <w:vAlign w:val="center"/>
          </w:tcPr>
          <w:p w14:paraId="541F1402">
            <w:pPr>
              <w:spacing w:after="0" w:line="240" w:lineRule="auto"/>
            </w:pPr>
            <w:r>
              <w:t>-3.8776</w:t>
            </w:r>
          </w:p>
        </w:tc>
      </w:tr>
      <w:tr w14:paraId="473FC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0FD0E46A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110EDDC4">
            <w:pPr>
              <w:spacing w:after="0" w:line="240" w:lineRule="auto"/>
            </w:pPr>
            <w:r>
              <w:t>LINC02154</w:t>
            </w:r>
          </w:p>
        </w:tc>
        <w:tc>
          <w:tcPr>
            <w:tcW w:w="2007" w:type="dxa"/>
            <w:vAlign w:val="center"/>
          </w:tcPr>
          <w:p w14:paraId="56C59B73">
            <w:pPr>
              <w:spacing w:after="0" w:line="240" w:lineRule="auto"/>
            </w:pPr>
            <w:r>
              <w:t>0.7232</w:t>
            </w:r>
          </w:p>
        </w:tc>
      </w:tr>
      <w:tr w14:paraId="70EB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14708A5">
            <w:pPr>
              <w:spacing w:after="0" w:line="240" w:lineRule="auto"/>
            </w:pPr>
            <w:r>
              <w:t>Xu_signature (cuproptosis)</w:t>
            </w:r>
          </w:p>
        </w:tc>
        <w:tc>
          <w:tcPr>
            <w:tcW w:w="3249" w:type="dxa"/>
            <w:vAlign w:val="center"/>
          </w:tcPr>
          <w:p w14:paraId="466AE857">
            <w:pPr>
              <w:spacing w:after="0" w:line="240" w:lineRule="auto"/>
            </w:pPr>
            <w:r>
              <w:t>MINCR</w:t>
            </w:r>
          </w:p>
        </w:tc>
        <w:tc>
          <w:tcPr>
            <w:tcW w:w="2007" w:type="dxa"/>
            <w:vAlign w:val="center"/>
          </w:tcPr>
          <w:p w14:paraId="131FFF72">
            <w:pPr>
              <w:spacing w:after="0" w:line="240" w:lineRule="auto"/>
            </w:pPr>
            <w:r>
              <w:t>0.3724</w:t>
            </w:r>
          </w:p>
        </w:tc>
      </w:tr>
      <w:tr w14:paraId="15D5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643717F8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2CC66245">
            <w:pPr>
              <w:spacing w:after="0" w:line="240" w:lineRule="auto"/>
            </w:pPr>
            <w:r>
              <w:t>SPINT1-AS1</w:t>
            </w:r>
          </w:p>
        </w:tc>
        <w:tc>
          <w:tcPr>
            <w:tcW w:w="2007" w:type="dxa"/>
            <w:vAlign w:val="center"/>
          </w:tcPr>
          <w:p w14:paraId="5BDFF9F9">
            <w:pPr>
              <w:spacing w:after="0" w:line="240" w:lineRule="auto"/>
            </w:pPr>
            <w:r>
              <w:t>-0.39817</w:t>
            </w:r>
          </w:p>
        </w:tc>
      </w:tr>
      <w:tr w14:paraId="484D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66C37870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0BBB7ECF">
            <w:pPr>
              <w:spacing w:after="0" w:line="240" w:lineRule="auto"/>
            </w:pPr>
            <w:r>
              <w:t>AL121944.1</w:t>
            </w:r>
          </w:p>
        </w:tc>
        <w:tc>
          <w:tcPr>
            <w:tcW w:w="2007" w:type="dxa"/>
            <w:vAlign w:val="center"/>
          </w:tcPr>
          <w:p w14:paraId="21FB300A">
            <w:pPr>
              <w:spacing w:after="0" w:line="240" w:lineRule="auto"/>
            </w:pPr>
            <w:r>
              <w:t>-1.366648</w:t>
            </w:r>
          </w:p>
        </w:tc>
      </w:tr>
      <w:tr w14:paraId="78545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7547C1E5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6382D582">
            <w:pPr>
              <w:spacing w:after="0" w:line="240" w:lineRule="auto"/>
            </w:pPr>
            <w:r>
              <w:t>AC131009.3</w:t>
            </w:r>
          </w:p>
        </w:tc>
        <w:tc>
          <w:tcPr>
            <w:tcW w:w="2007" w:type="dxa"/>
            <w:vAlign w:val="center"/>
          </w:tcPr>
          <w:p w14:paraId="60617AF4">
            <w:pPr>
              <w:spacing w:after="0" w:line="240" w:lineRule="auto"/>
            </w:pPr>
            <w:r>
              <w:t>0.312254</w:t>
            </w:r>
          </w:p>
        </w:tc>
      </w:tr>
      <w:tr w14:paraId="6E9D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4CCB0FFB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30F6460F">
            <w:pPr>
              <w:spacing w:after="0" w:line="240" w:lineRule="auto"/>
            </w:pPr>
            <w:r>
              <w:t>AC104088.3</w:t>
            </w:r>
          </w:p>
        </w:tc>
        <w:tc>
          <w:tcPr>
            <w:tcW w:w="2007" w:type="dxa"/>
            <w:vAlign w:val="center"/>
          </w:tcPr>
          <w:p w14:paraId="3D1B5AE9">
            <w:pPr>
              <w:spacing w:after="0" w:line="240" w:lineRule="auto"/>
            </w:pPr>
            <w:r>
              <w:t>-0.932196</w:t>
            </w:r>
          </w:p>
        </w:tc>
      </w:tr>
      <w:tr w14:paraId="0CCB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5C9712EF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6921EC21">
            <w:pPr>
              <w:spacing w:after="0" w:line="240" w:lineRule="auto"/>
            </w:pPr>
            <w:r>
              <w:t>AL035071.1</w:t>
            </w:r>
          </w:p>
        </w:tc>
        <w:tc>
          <w:tcPr>
            <w:tcW w:w="2007" w:type="dxa"/>
            <w:vAlign w:val="center"/>
          </w:tcPr>
          <w:p w14:paraId="28BC7A18">
            <w:pPr>
              <w:spacing w:after="0" w:line="240" w:lineRule="auto"/>
            </w:pPr>
            <w:r>
              <w:t>0.507753</w:t>
            </w:r>
          </w:p>
        </w:tc>
      </w:tr>
      <w:tr w14:paraId="0790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05F53991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7F1B4AC4">
            <w:pPr>
              <w:spacing w:after="0" w:line="240" w:lineRule="auto"/>
            </w:pPr>
            <w:r>
              <w:t>LINC00886</w:t>
            </w:r>
          </w:p>
        </w:tc>
        <w:tc>
          <w:tcPr>
            <w:tcW w:w="2007" w:type="dxa"/>
            <w:vAlign w:val="center"/>
          </w:tcPr>
          <w:p w14:paraId="479CA5BD">
            <w:pPr>
              <w:spacing w:after="0" w:line="240" w:lineRule="auto"/>
            </w:pPr>
            <w:r>
              <w:t>-0.279419</w:t>
            </w:r>
          </w:p>
        </w:tc>
      </w:tr>
      <w:tr w14:paraId="42960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11B5A4E5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7A0571BF">
            <w:pPr>
              <w:spacing w:after="0" w:line="240" w:lineRule="auto"/>
            </w:pPr>
            <w:r>
              <w:t>AL035587.2</w:t>
            </w:r>
          </w:p>
        </w:tc>
        <w:tc>
          <w:tcPr>
            <w:tcW w:w="2007" w:type="dxa"/>
            <w:vAlign w:val="center"/>
          </w:tcPr>
          <w:p w14:paraId="63EA334A">
            <w:pPr>
              <w:spacing w:after="0" w:line="240" w:lineRule="auto"/>
            </w:pPr>
            <w:r>
              <w:t>0.891684</w:t>
            </w:r>
          </w:p>
        </w:tc>
      </w:tr>
      <w:tr w14:paraId="32B6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0" w:type="dxa"/>
            <w:vAlign w:val="center"/>
          </w:tcPr>
          <w:p w14:paraId="029605FF">
            <w:pPr>
              <w:spacing w:after="0" w:line="240" w:lineRule="auto"/>
            </w:pPr>
            <w:r>
              <w:t>Wang_signature (disulfidptosis)</w:t>
            </w:r>
          </w:p>
        </w:tc>
        <w:tc>
          <w:tcPr>
            <w:tcW w:w="3249" w:type="dxa"/>
            <w:vAlign w:val="center"/>
          </w:tcPr>
          <w:p w14:paraId="2DC0834F">
            <w:pPr>
              <w:spacing w:after="0" w:line="240" w:lineRule="auto"/>
            </w:pPr>
            <w:r>
              <w:t>AC007743.1</w:t>
            </w:r>
          </w:p>
        </w:tc>
        <w:tc>
          <w:tcPr>
            <w:tcW w:w="2007" w:type="dxa"/>
            <w:vAlign w:val="center"/>
          </w:tcPr>
          <w:p w14:paraId="4F3DFF21">
            <w:pPr>
              <w:spacing w:after="0" w:line="240" w:lineRule="auto"/>
            </w:pPr>
            <w:r>
              <w:t>-0.351352</w:t>
            </w:r>
          </w:p>
        </w:tc>
      </w:tr>
    </w:tbl>
    <w:p w14:paraId="32A77E0C">
      <w:r>
        <w:rPr>
          <w:i/>
        </w:rPr>
        <w:t xml:space="preserve">Note: Signature names follow the benchmarking analysis reported in the manuscript; </w:t>
      </w:r>
      <w:r>
        <w:rPr>
          <w:rFonts w:hint="eastAsia" w:eastAsia="宋体"/>
          <w:i/>
          <w:lang w:val="en-US" w:eastAsia="zh-CN"/>
        </w:rPr>
        <w:t>MPCD</w:t>
      </w:r>
      <w:bookmarkStart w:id="0" w:name="_GoBack"/>
      <w:bookmarkEnd w:id="0"/>
      <w:r>
        <w:rPr>
          <w:i/>
        </w:rPr>
        <w:t>_signature denotes the proposed multi-PCD model, while Lai/Xu/Wang signatures denote published ferroptosis-/cuproptosis-/disulfidptosis-related lncRNA models, respectively.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0F49CA"/>
    <w:rsid w:val="111F7DDE"/>
    <w:rsid w:val="24CC77D0"/>
    <w:rsid w:val="2A6E5328"/>
    <w:rsid w:val="45E1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1871</Characters>
  <Lines>0</Lines>
  <Paragraphs>0</Paragraphs>
  <TotalTime>1</TotalTime>
  <ScaleCrop>false</ScaleCrop>
  <LinksUpToDate>false</LinksUpToDate>
  <CharactersWithSpaces>1966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Memory灬</cp:lastModifiedBy>
  <dcterms:modified xsi:type="dcterms:W3CDTF">2026-02-09T11:56:28Z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E730EF5DB1F3448183EAC647601AF09E_13</vt:lpwstr>
  </property>
  <property fmtid="{D5CDD505-2E9C-101B-9397-08002B2CF9AE}" pid="4" name="KSOTemplateDocerSaveRecord">
    <vt:lpwstr>eyJoZGlkIjoiM2RhNmFiNWE0NWJkZmNmYTZkNjUzZDYxOTkzMTNlZGMiLCJ1c2VySWQiOiI0MTgyMDM5NjEifQ==</vt:lpwstr>
  </property>
</Properties>
</file>