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DE3CD" w14:textId="481FC835" w:rsidR="009C5FCF" w:rsidRPr="00FA265E" w:rsidRDefault="009C5FCF" w:rsidP="00445FF6">
      <w:pPr>
        <w:pStyle w:val="NormalWeb"/>
        <w:keepNext/>
        <w:spacing w:before="0" w:beforeAutospacing="0" w:after="0" w:afterAutospacing="0" w:line="360" w:lineRule="auto"/>
        <w:rPr>
          <w:b/>
          <w:bCs/>
          <w:sz w:val="20"/>
          <w:szCs w:val="20"/>
        </w:rPr>
      </w:pPr>
      <w:r w:rsidRPr="00FA265E">
        <w:rPr>
          <w:b/>
          <w:bCs/>
          <w:sz w:val="20"/>
          <w:szCs w:val="20"/>
        </w:rPr>
        <w:t>Supplementary Figure</w:t>
      </w:r>
      <w:r w:rsidR="00AD68FB" w:rsidRPr="00FA265E">
        <w:rPr>
          <w:b/>
          <w:bCs/>
          <w:sz w:val="20"/>
          <w:szCs w:val="20"/>
        </w:rPr>
        <w:t>s</w:t>
      </w:r>
    </w:p>
    <w:p w14:paraId="7B77283A" w14:textId="70A7182F" w:rsidR="00A46D55" w:rsidRPr="00FA265E" w:rsidRDefault="00445FF6" w:rsidP="00AC71A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65E">
        <w:rPr>
          <w:rFonts w:ascii="Times New Roman" w:hAnsi="Times New Roman" w:cs="Times New Roman"/>
          <w:sz w:val="20"/>
          <w:szCs w:val="20"/>
        </w:rPr>
        <w:t>The satellite imagery used derived from publicly available USGS Landsat datasets</w:t>
      </w:r>
      <w:r w:rsidR="0049601E" w:rsidRPr="00FA265E">
        <w:rPr>
          <w:rFonts w:ascii="Times New Roman" w:hAnsi="Times New Roman" w:cs="Times New Roman"/>
          <w:sz w:val="20"/>
          <w:szCs w:val="20"/>
        </w:rPr>
        <w:t xml:space="preserve"> </w:t>
      </w:r>
      <w:r w:rsidR="00C72FA7" w:rsidRPr="00FA265E">
        <w:rPr>
          <w:rFonts w:ascii="Times New Roman" w:hAnsi="Times New Roman" w:cs="Times New Roman"/>
          <w:sz w:val="20"/>
          <w:szCs w:val="20"/>
        </w:rPr>
        <w:t>(LE07_L2_C2_T1, LC08_L2_C2_T1, and LC09_L2_C2_T1</w:t>
      </w:r>
      <w:r w:rsidR="0049601E" w:rsidRPr="00FA265E">
        <w:rPr>
          <w:rFonts w:ascii="Times New Roman" w:hAnsi="Times New Roman" w:cs="Times New Roman"/>
          <w:sz w:val="20"/>
          <w:szCs w:val="20"/>
        </w:rPr>
        <w:t xml:space="preserve">). </w:t>
      </w:r>
      <w:r w:rsidRPr="00FA265E">
        <w:rPr>
          <w:rFonts w:ascii="Times New Roman" w:hAnsi="Times New Roman" w:cs="Times New Roman"/>
          <w:sz w:val="20"/>
          <w:szCs w:val="20"/>
        </w:rPr>
        <w:t xml:space="preserve">Image processing, classification, and </w:t>
      </w:r>
      <w:r w:rsidR="00BC68E5" w:rsidRPr="00FA265E">
        <w:rPr>
          <w:rFonts w:ascii="Times New Roman" w:hAnsi="Times New Roman" w:cs="Times New Roman"/>
          <w:sz w:val="20"/>
          <w:szCs w:val="20"/>
        </w:rPr>
        <w:t>LULC</w:t>
      </w:r>
      <w:r w:rsidRPr="00FA265E">
        <w:rPr>
          <w:rFonts w:ascii="Times New Roman" w:hAnsi="Times New Roman" w:cs="Times New Roman"/>
          <w:sz w:val="20"/>
          <w:szCs w:val="20"/>
        </w:rPr>
        <w:t xml:space="preserve"> analyses were conducted using </w:t>
      </w:r>
      <w:r w:rsidR="00AD68FB" w:rsidRPr="00FA265E">
        <w:rPr>
          <w:rFonts w:ascii="Times New Roman" w:hAnsi="Times New Roman" w:cs="Times New Roman"/>
          <w:sz w:val="20"/>
          <w:szCs w:val="20"/>
        </w:rPr>
        <w:t>GEE</w:t>
      </w:r>
      <w:r w:rsidRPr="00FA265E">
        <w:rPr>
          <w:rFonts w:ascii="Times New Roman" w:hAnsi="Times New Roman" w:cs="Times New Roman"/>
          <w:sz w:val="20"/>
          <w:szCs w:val="20"/>
        </w:rPr>
        <w:t xml:space="preserve"> (</w:t>
      </w:r>
      <w:hyperlink r:id="rId6" w:history="1">
        <w:r w:rsidRPr="00A46D55">
          <w:rPr>
            <w:rStyle w:val="Hyperlink"/>
            <w:rFonts w:ascii="Times New Roman" w:hAnsi="Times New Roman" w:cs="Times New Roman"/>
            <w:color w:val="072ABF"/>
            <w:sz w:val="20"/>
            <w:szCs w:val="20"/>
            <w:u w:val="none"/>
          </w:rPr>
          <w:t>https://earthengine.google.com/</w:t>
        </w:r>
      </w:hyperlink>
      <w:r w:rsidRPr="00A46D55">
        <w:rPr>
          <w:rFonts w:ascii="Times New Roman" w:hAnsi="Times New Roman" w:cs="Times New Roman"/>
          <w:sz w:val="20"/>
          <w:szCs w:val="20"/>
        </w:rPr>
        <w:t xml:space="preserve">). </w:t>
      </w:r>
      <w:r w:rsidR="00A46D55" w:rsidRPr="00A46D55">
        <w:rPr>
          <w:rFonts w:ascii="Times New Roman" w:hAnsi="Times New Roman" w:cs="Times New Roman"/>
          <w:sz w:val="20"/>
          <w:szCs w:val="20"/>
        </w:rPr>
        <w:t xml:space="preserve">All maps were generated by the authors using QGIS version 3.40.3 (QGIS Development Team, 2024; </w:t>
      </w:r>
      <w:hyperlink r:id="rId7" w:history="1">
        <w:r w:rsidR="00A46D55" w:rsidRPr="00A46D55">
          <w:rPr>
            <w:rStyle w:val="Hyperlink"/>
            <w:rFonts w:ascii="Times New Roman" w:hAnsi="Times New Roman" w:cs="Times New Roman"/>
            <w:color w:val="0000FF"/>
            <w:sz w:val="20"/>
            <w:szCs w:val="20"/>
            <w:u w:val="none"/>
          </w:rPr>
          <w:t>https://qgis.org</w:t>
        </w:r>
      </w:hyperlink>
      <w:r w:rsidR="00A46D55" w:rsidRPr="00A46D55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A46D55" w:rsidRPr="00A46D55">
        <w:rPr>
          <w:rFonts w:ascii="Times New Roman" w:hAnsi="Times New Roman" w:cs="Times New Roman"/>
          <w:color w:val="0000FF"/>
          <w:sz w:val="20"/>
          <w:szCs w:val="20"/>
        </w:rPr>
        <w:t xml:space="preserve"> </w:t>
      </w:r>
      <w:r w:rsidR="00A46D55" w:rsidRPr="00A46D55">
        <w:rPr>
          <w:rFonts w:ascii="Times New Roman" w:hAnsi="Times New Roman" w:cs="Times New Roman"/>
          <w:sz w:val="20"/>
          <w:szCs w:val="20"/>
        </w:rPr>
        <w:t xml:space="preserve">and ArcGIS 10.7.1 (Esri Inc., Redlands, CA, USA; </w:t>
      </w:r>
      <w:hyperlink r:id="rId8" w:history="1">
        <w:r w:rsidR="00A46D55" w:rsidRPr="00A46D55">
          <w:rPr>
            <w:rStyle w:val="Hyperlink"/>
            <w:rFonts w:ascii="Times New Roman" w:hAnsi="Times New Roman" w:cs="Times New Roman"/>
            <w:color w:val="0000FF"/>
            <w:sz w:val="20"/>
            <w:szCs w:val="20"/>
            <w:u w:val="none"/>
          </w:rPr>
          <w:t>https://www.esri.com/en-us/arcgis/about-arcgis/overview</w:t>
        </w:r>
      </w:hyperlink>
      <w:r w:rsidR="00A46D55" w:rsidRPr="00A46D55">
        <w:rPr>
          <w:rFonts w:ascii="Times New Roman" w:hAnsi="Times New Roman" w:cs="Times New Roman"/>
          <w:color w:val="000000" w:themeColor="text1"/>
          <w:sz w:val="20"/>
          <w:szCs w:val="20"/>
        </w:rPr>
        <w:t>).</w:t>
      </w:r>
    </w:p>
    <w:p w14:paraId="387E209F" w14:textId="77777777" w:rsidR="00AD68FB" w:rsidRPr="00FA265E" w:rsidRDefault="00802128" w:rsidP="00AD68FB">
      <w:pPr>
        <w:pStyle w:val="NormalWeb"/>
        <w:keepNext/>
        <w:spacing w:before="0" w:beforeAutospacing="0" w:after="0" w:afterAutospacing="0" w:line="360" w:lineRule="auto"/>
        <w:ind w:left="720" w:hanging="720"/>
      </w:pPr>
      <w:r w:rsidRPr="00FA265E">
        <w:rPr>
          <w:noProof/>
          <w:sz w:val="20"/>
          <w:szCs w:val="20"/>
        </w:rPr>
        <w:drawing>
          <wp:inline distT="0" distB="0" distL="0" distR="0" wp14:anchorId="4E30A90B" wp14:editId="0C730DFD">
            <wp:extent cx="5281371" cy="2777608"/>
            <wp:effectExtent l="19050" t="19050" r="14605" b="22860"/>
            <wp:docPr id="1703064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06407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0838" cy="280362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26CB56" w14:textId="12748A9F" w:rsidR="00276B12" w:rsidRPr="00FA265E" w:rsidRDefault="00AD68FB" w:rsidP="00AD68FB">
      <w:pPr>
        <w:pStyle w:val="Caption"/>
        <w:ind w:left="720" w:hanging="720"/>
        <w:jc w:val="both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Fig. S</w:t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begin"/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instrText xml:space="preserve"> SEQ Figure \* ARABIC </w:instrText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separate"/>
      </w:r>
      <w:r w:rsidR="005B2D09" w:rsidRPr="00FA265E"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w:t>1</w:t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end"/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LULC Classification Map of the Upper Blue Nile River Basin in 2004. </w:t>
      </w:r>
      <w:r w:rsidR="00276B12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LULC map produced using the RF classifier applied to </w:t>
      </w:r>
      <w:r w:rsidR="00A5025D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LE07_L2_C2_T1</w:t>
      </w:r>
      <w:r w:rsidR="00A5025D" w:rsidRPr="00FA265E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 xml:space="preserve"> </w:t>
      </w:r>
      <w:r w:rsidR="00276B12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imagery in GEE</w:t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</w:t>
      </w:r>
      <w:r w:rsidR="00276B12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( </w:t>
      </w:r>
      <w:hyperlink r:id="rId10" w:history="1">
        <w:r w:rsidR="00276B12" w:rsidRPr="00FA265E">
          <w:rPr>
            <w:rStyle w:val="Hyperlink"/>
            <w:rFonts w:ascii="Times New Roman" w:hAnsi="Times New Roman" w:cs="Times New Roman"/>
            <w:i w:val="0"/>
            <w:iCs w:val="0"/>
            <w:sz w:val="20"/>
            <w:szCs w:val="20"/>
          </w:rPr>
          <w:t>https://earthengine.google.com/</w:t>
        </w:r>
      </w:hyperlink>
      <w:r w:rsidR="00276B12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). Background satellite basemap and map visualization provided via the GEE interface.</w:t>
      </w:r>
    </w:p>
    <w:p w14:paraId="590DFDC6" w14:textId="77777777" w:rsidR="00802128" w:rsidRPr="00FA265E" w:rsidRDefault="00802128" w:rsidP="00445FF6">
      <w:pPr>
        <w:pStyle w:val="NormalWeb"/>
        <w:keepNext/>
        <w:spacing w:before="0" w:beforeAutospacing="0" w:after="0" w:afterAutospacing="0" w:line="360" w:lineRule="auto"/>
        <w:ind w:left="720" w:hanging="720"/>
        <w:jc w:val="both"/>
        <w:rPr>
          <w:sz w:val="20"/>
          <w:szCs w:val="20"/>
        </w:rPr>
      </w:pPr>
      <w:r w:rsidRPr="00FA265E">
        <w:rPr>
          <w:noProof/>
          <w:sz w:val="20"/>
          <w:szCs w:val="20"/>
        </w:rPr>
        <w:drawing>
          <wp:inline distT="0" distB="0" distL="0" distR="0" wp14:anchorId="7DAC5E44" wp14:editId="5CADA9DE">
            <wp:extent cx="5271039" cy="2753265"/>
            <wp:effectExtent l="19050" t="19050" r="25400" b="28575"/>
            <wp:docPr id="37221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2192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5871" cy="27819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CD7EE2" w14:textId="6E86888E" w:rsidR="00802128" w:rsidRPr="00FA265E" w:rsidRDefault="009C5FCF" w:rsidP="00A5025D">
      <w:pPr>
        <w:pStyle w:val="Caption"/>
        <w:ind w:left="720" w:hanging="720"/>
        <w:jc w:val="both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FA265E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Fig.</w:t>
      </w:r>
      <w:r w:rsidR="00802128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</w:t>
      </w:r>
      <w:r w:rsidR="00D82617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S</w:t>
      </w:r>
      <w:r w:rsidR="00802128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begin"/>
      </w:r>
      <w:r w:rsidR="00802128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instrText xml:space="preserve"> SEQ Figure \* ARABIC </w:instrText>
      </w:r>
      <w:r w:rsidR="00802128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separate"/>
      </w:r>
      <w:r w:rsidR="005B2D09" w:rsidRPr="00FA265E"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w:t>2</w:t>
      </w:r>
      <w:r w:rsidR="00802128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end"/>
      </w:r>
      <w:r w:rsidR="00802128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.  </w:t>
      </w:r>
      <w:r w:rsidR="00A5025D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LULC Classification Map of the Upper Blue Nile River Basin in 2014. LULC map produced using the RF classifier applied to LC08_L2_C2_T1</w:t>
      </w:r>
      <w:r w:rsidR="00A5025D" w:rsidRPr="00FA265E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 </w:t>
      </w:r>
      <w:r w:rsidR="00A5025D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imagery in GEE ( </w:t>
      </w:r>
      <w:hyperlink r:id="rId12" w:history="1">
        <w:r w:rsidR="00A5025D" w:rsidRPr="00FA265E">
          <w:rPr>
            <w:rStyle w:val="Hyperlink"/>
            <w:rFonts w:ascii="Times New Roman" w:hAnsi="Times New Roman" w:cs="Times New Roman"/>
            <w:i w:val="0"/>
            <w:iCs w:val="0"/>
            <w:sz w:val="20"/>
            <w:szCs w:val="20"/>
          </w:rPr>
          <w:t>https://earthengine.google.com/</w:t>
        </w:r>
      </w:hyperlink>
      <w:r w:rsidR="00A5025D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). Background satellite basemap and map visualization provided via the GEE interface.</w:t>
      </w:r>
    </w:p>
    <w:p w14:paraId="4E89516F" w14:textId="77777777" w:rsidR="00802128" w:rsidRPr="00FA265E" w:rsidRDefault="00802128" w:rsidP="00802128">
      <w:pPr>
        <w:pStyle w:val="NormalWeb"/>
        <w:keepNext/>
        <w:spacing w:before="0" w:beforeAutospacing="0" w:after="0" w:afterAutospacing="0" w:line="276" w:lineRule="auto"/>
        <w:ind w:left="720" w:hanging="720"/>
        <w:rPr>
          <w:sz w:val="20"/>
          <w:szCs w:val="20"/>
        </w:rPr>
      </w:pPr>
      <w:r w:rsidRPr="00FA265E">
        <w:rPr>
          <w:noProof/>
          <w:sz w:val="20"/>
          <w:szCs w:val="20"/>
        </w:rPr>
        <w:lastRenderedPageBreak/>
        <w:drawing>
          <wp:inline distT="0" distB="0" distL="0" distR="0" wp14:anchorId="71A34908" wp14:editId="408EFC78">
            <wp:extent cx="5231604" cy="2734482"/>
            <wp:effectExtent l="19050" t="19050" r="26670" b="27940"/>
            <wp:docPr id="1478298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29809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80286" cy="27599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AEF1A3" w14:textId="7B44A092" w:rsidR="00802128" w:rsidRPr="00FA265E" w:rsidRDefault="009C5FCF" w:rsidP="00A5025D">
      <w:pPr>
        <w:pStyle w:val="Caption"/>
        <w:ind w:left="720" w:hanging="720"/>
        <w:jc w:val="both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FA265E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Fig.</w:t>
      </w:r>
      <w:r w:rsidR="00802128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</w:t>
      </w:r>
      <w:r w:rsidR="00D82617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S</w:t>
      </w:r>
      <w:r w:rsidR="00802128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begin"/>
      </w:r>
      <w:r w:rsidR="00802128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instrText xml:space="preserve"> SEQ Figure \* ARABIC </w:instrText>
      </w:r>
      <w:r w:rsidR="00802128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separate"/>
      </w:r>
      <w:r w:rsidR="005B2D09" w:rsidRPr="00FA265E"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w:t>3</w:t>
      </w:r>
      <w:r w:rsidR="00802128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end"/>
      </w:r>
      <w:r w:rsidR="00802128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. </w:t>
      </w:r>
      <w:r w:rsidR="00A5025D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LULC Classification Map of the Upper Blue Nile River Basin in 2024. LULC map produced using the RF classifier applied to LC09_L2_C2_T1</w:t>
      </w:r>
      <w:r w:rsidR="00A5025D" w:rsidRPr="00FA265E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 xml:space="preserve"> </w:t>
      </w:r>
      <w:r w:rsidR="00A5025D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imagery in GEE ( </w:t>
      </w:r>
      <w:hyperlink r:id="rId14" w:history="1">
        <w:r w:rsidR="00A5025D" w:rsidRPr="00FA265E">
          <w:rPr>
            <w:rStyle w:val="Hyperlink"/>
            <w:rFonts w:ascii="Times New Roman" w:hAnsi="Times New Roman" w:cs="Times New Roman"/>
            <w:i w:val="0"/>
            <w:iCs w:val="0"/>
            <w:sz w:val="20"/>
            <w:szCs w:val="20"/>
          </w:rPr>
          <w:t>https://earthengine.google.com/</w:t>
        </w:r>
      </w:hyperlink>
      <w:r w:rsidR="00A5025D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). Background satellite basemap and map visualization provided via the GEE interface.</w:t>
      </w:r>
    </w:p>
    <w:p w14:paraId="650A99FB" w14:textId="29F43831" w:rsidR="00F34108" w:rsidRPr="00FA265E" w:rsidRDefault="00F34108" w:rsidP="00802128">
      <w:pPr>
        <w:pStyle w:val="NormalWeb"/>
        <w:keepNext/>
        <w:spacing w:before="0" w:beforeAutospacing="0" w:after="0" w:afterAutospacing="0"/>
        <w:ind w:left="720" w:hanging="720"/>
        <w:rPr>
          <w:sz w:val="20"/>
          <w:szCs w:val="20"/>
        </w:rPr>
      </w:pPr>
      <w:r w:rsidRPr="00FA265E">
        <w:rPr>
          <w:noProof/>
          <w:sz w:val="20"/>
          <w:szCs w:val="20"/>
        </w:rPr>
        <w:drawing>
          <wp:inline distT="0" distB="0" distL="0" distR="0" wp14:anchorId="191C8320" wp14:editId="1B62EF94">
            <wp:extent cx="4465127" cy="2018333"/>
            <wp:effectExtent l="19050" t="19050" r="12065" b="20320"/>
            <wp:docPr id="17686822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742" cy="206607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C9E4DF5" w14:textId="77777777" w:rsidR="00F34108" w:rsidRPr="00FA265E" w:rsidRDefault="00F34108" w:rsidP="00802128">
      <w:pPr>
        <w:pStyle w:val="NormalWeb"/>
        <w:keepNext/>
        <w:spacing w:before="0" w:beforeAutospacing="0" w:after="0" w:afterAutospacing="0"/>
        <w:ind w:left="720" w:hanging="720"/>
        <w:rPr>
          <w:sz w:val="20"/>
          <w:szCs w:val="20"/>
        </w:rPr>
      </w:pPr>
    </w:p>
    <w:p w14:paraId="5F02C33F" w14:textId="02961C0C" w:rsidR="002577DB" w:rsidRPr="00FA265E" w:rsidRDefault="009C5FCF" w:rsidP="00A5025D">
      <w:pPr>
        <w:pStyle w:val="Caption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FA265E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Fig.</w:t>
      </w:r>
      <w:r w:rsidR="002370B1" w:rsidRPr="00FA265E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 xml:space="preserve"> </w:t>
      </w:r>
      <w:r w:rsidR="00D82617" w:rsidRPr="00FA265E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S</w:t>
      </w:r>
      <w:r w:rsidR="002370B1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begin"/>
      </w:r>
      <w:r w:rsidR="002370B1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instrText xml:space="preserve"> SEQ Figure \* ARABIC </w:instrText>
      </w:r>
      <w:r w:rsidR="002370B1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separate"/>
      </w:r>
      <w:r w:rsidR="005B2D09" w:rsidRPr="00FA265E"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w:t>4</w:t>
      </w:r>
      <w:r w:rsidR="002370B1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end"/>
      </w:r>
      <w:r w:rsidR="002370B1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The flow chart of dependent variables used for prediction of LULC change</w:t>
      </w:r>
      <w:r w:rsidR="002577DB" w:rsidRPr="00FA265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05FD7E2" wp14:editId="6E5045B4">
            <wp:extent cx="5155770" cy="2122578"/>
            <wp:effectExtent l="0" t="0" r="6985" b="0"/>
            <wp:docPr id="14539631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293" cy="2127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28C57" w14:textId="3104901C" w:rsidR="0010648D" w:rsidRPr="00FA265E" w:rsidRDefault="002577DB" w:rsidP="00573B6D">
      <w:pPr>
        <w:pStyle w:val="Caption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FA265E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Fig.</w:t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S</w:t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begin"/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instrText xml:space="preserve"> SEQ Figure \* ARABIC </w:instrText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separate"/>
      </w:r>
      <w:r w:rsidR="005B2D09" w:rsidRPr="00FA265E"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w:t>5</w:t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end"/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. Historical LULC change trends of all three of classifiers from 2004 to 2024</w:t>
      </w:r>
    </w:p>
    <w:p w14:paraId="66A6FF9E" w14:textId="1EC212CB" w:rsidR="0010648D" w:rsidRPr="00FA265E" w:rsidRDefault="0010648D" w:rsidP="00573B6D">
      <w:pPr>
        <w:pStyle w:val="NormalWeb"/>
        <w:keepNext/>
        <w:spacing w:before="0" w:beforeAutospacing="0" w:after="0" w:afterAutospacing="0" w:line="276" w:lineRule="auto"/>
        <w:rPr>
          <w:sz w:val="20"/>
          <w:szCs w:val="20"/>
        </w:rPr>
      </w:pPr>
    </w:p>
    <w:p w14:paraId="55A86310" w14:textId="77777777" w:rsidR="00180AD6" w:rsidRPr="00FA265E" w:rsidRDefault="000912F3" w:rsidP="00180AD6">
      <w:pPr>
        <w:pStyle w:val="NormalWeb"/>
        <w:keepNext/>
        <w:spacing w:before="0" w:beforeAutospacing="0" w:after="0" w:afterAutospacing="0" w:line="276" w:lineRule="auto"/>
        <w:ind w:left="720" w:hanging="720"/>
      </w:pPr>
      <w:r w:rsidRPr="00FA265E">
        <w:rPr>
          <w:noProof/>
          <w:sz w:val="20"/>
          <w:szCs w:val="20"/>
        </w:rPr>
        <w:drawing>
          <wp:inline distT="0" distB="0" distL="0" distR="0" wp14:anchorId="0862D037" wp14:editId="4BB258B2">
            <wp:extent cx="5032199" cy="2811974"/>
            <wp:effectExtent l="19050" t="19050" r="16510" b="26670"/>
            <wp:docPr id="13785401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776" cy="281676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9ED66F" w14:textId="1686D28C" w:rsidR="000912F3" w:rsidRPr="00FA265E" w:rsidRDefault="00180AD6" w:rsidP="00180AD6">
      <w:pPr>
        <w:pStyle w:val="Caption"/>
        <w:ind w:left="720" w:hanging="720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FA265E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Fig</w:t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.S</w:t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begin"/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instrText xml:space="preserve"> SEQ Figure \* ARABIC </w:instrText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separate"/>
      </w:r>
      <w:r w:rsidR="005B2D09" w:rsidRPr="00FA265E"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w:t>6</w:t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end"/>
      </w: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Spatial distribution of LULC transitions for a specific change type between the periods 2004–2014 and 2014–2024</w:t>
      </w:r>
    </w:p>
    <w:p w14:paraId="48893311" w14:textId="77777777" w:rsidR="000912F3" w:rsidRPr="00FA265E" w:rsidRDefault="000912F3" w:rsidP="000912F3">
      <w:pPr>
        <w:pStyle w:val="NormalWeb"/>
        <w:keepNext/>
        <w:spacing w:before="0" w:beforeAutospacing="0" w:after="0" w:afterAutospacing="0" w:line="276" w:lineRule="auto"/>
        <w:ind w:left="720" w:hanging="720"/>
        <w:rPr>
          <w:sz w:val="20"/>
          <w:szCs w:val="20"/>
        </w:rPr>
      </w:pPr>
      <w:r w:rsidRPr="00FA265E">
        <w:rPr>
          <w:noProof/>
          <w:sz w:val="20"/>
          <w:szCs w:val="20"/>
        </w:rPr>
        <w:drawing>
          <wp:inline distT="0" distB="0" distL="0" distR="0" wp14:anchorId="487F81D6" wp14:editId="54EC1E96">
            <wp:extent cx="5038564" cy="3198609"/>
            <wp:effectExtent l="19050" t="19050" r="10160" b="20955"/>
            <wp:docPr id="5054295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723" cy="320569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9C27F0" w14:textId="6EE4E604" w:rsidR="000912F3" w:rsidRPr="00FA265E" w:rsidRDefault="009C5FCF" w:rsidP="00766244">
      <w:pPr>
        <w:pStyle w:val="Caption"/>
        <w:ind w:left="720" w:hanging="720"/>
        <w:jc w:val="both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FA265E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Fig.</w:t>
      </w:r>
      <w:r w:rsidR="000912F3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</w:t>
      </w:r>
      <w:r w:rsidR="00D82617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S</w:t>
      </w:r>
      <w:r w:rsidR="000912F3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begin"/>
      </w:r>
      <w:r w:rsidR="000912F3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instrText xml:space="preserve"> SEQ Figure \* ARABIC </w:instrText>
      </w:r>
      <w:r w:rsidR="000912F3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separate"/>
      </w:r>
      <w:r w:rsidR="005B2D09" w:rsidRPr="00FA265E"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w:t>7</w:t>
      </w:r>
      <w:r w:rsidR="000912F3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end"/>
      </w:r>
      <w:r w:rsidR="000912F3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. </w:t>
      </w:r>
      <w:r w:rsidR="00766244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Spatial distribution of LULC transitions from one specific to other change between 2004–2014 and 2014–2024</w:t>
      </w:r>
    </w:p>
    <w:p w14:paraId="34A3097A" w14:textId="77777777" w:rsidR="005B2D09" w:rsidRPr="00FA265E" w:rsidRDefault="00303DFC" w:rsidP="005B2D09">
      <w:pPr>
        <w:keepNext/>
        <w:ind w:left="720"/>
        <w:rPr>
          <w:rFonts w:ascii="Times New Roman" w:hAnsi="Times New Roman" w:cs="Times New Roman"/>
        </w:rPr>
      </w:pPr>
      <w:r w:rsidRPr="00FA265E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875355F" wp14:editId="43DEB6DB">
            <wp:extent cx="3956050" cy="6893194"/>
            <wp:effectExtent l="19050" t="19050" r="25400" b="22225"/>
            <wp:docPr id="7557873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67" r="8704" b="3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471" cy="692877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BDBB70" w14:textId="1020DC83" w:rsidR="00575D8C" w:rsidRPr="00FA265E" w:rsidRDefault="009C5FCF" w:rsidP="00575D8C">
      <w:pPr>
        <w:pStyle w:val="Caption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Fig.</w:t>
      </w:r>
      <w:r w:rsidR="00575D8C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</w:t>
      </w:r>
      <w:r w:rsidR="00D82617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S</w:t>
      </w:r>
      <w:r w:rsidR="00575D8C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begin"/>
      </w:r>
      <w:r w:rsidR="00575D8C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instrText xml:space="preserve"> SEQ Figure \* ARABIC </w:instrText>
      </w:r>
      <w:r w:rsidR="00575D8C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separate"/>
      </w:r>
      <w:r w:rsidR="005B2D09" w:rsidRPr="00FA265E"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w:t>8</w:t>
      </w:r>
      <w:r w:rsidR="00575D8C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end"/>
      </w:r>
      <w:r w:rsidR="00575D8C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Assessment of land use and land cover changes (</w:t>
      </w:r>
      <w:r w:rsidR="009E7EE1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2004,</w:t>
      </w:r>
      <w:r w:rsidR="00575D8C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201</w:t>
      </w:r>
      <w:r w:rsidR="009E7EE1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4</w:t>
      </w:r>
      <w:r w:rsidR="00575D8C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and 20</w:t>
      </w:r>
      <w:r w:rsidR="009E7EE1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24</w:t>
      </w:r>
      <w:r w:rsidR="00575D8C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) </w:t>
      </w:r>
      <w:r w:rsidR="009E7EE1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>of</w:t>
      </w:r>
      <w:r w:rsidR="00575D8C" w:rsidRPr="00FA265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the study area</w:t>
      </w:r>
    </w:p>
    <w:p w14:paraId="6B061272" w14:textId="3E0A9532" w:rsidR="005B2D09" w:rsidRPr="00FA265E" w:rsidRDefault="005B2D09" w:rsidP="00C34B3F">
      <w:pPr>
        <w:ind w:left="720"/>
        <w:rPr>
          <w:rFonts w:ascii="Times New Roman" w:hAnsi="Times New Roman" w:cs="Times New Roman"/>
          <w:sz w:val="20"/>
          <w:szCs w:val="20"/>
        </w:rPr>
      </w:pPr>
    </w:p>
    <w:sectPr w:rsidR="005B2D09" w:rsidRPr="00FA265E" w:rsidSect="009E7EE1">
      <w:pgSz w:w="12240" w:h="15840"/>
      <w:pgMar w:top="135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879A4" w14:textId="77777777" w:rsidR="00C17524" w:rsidRDefault="00C17524" w:rsidP="00D920E9">
      <w:pPr>
        <w:spacing w:after="0" w:line="240" w:lineRule="auto"/>
      </w:pPr>
      <w:r>
        <w:separator/>
      </w:r>
    </w:p>
  </w:endnote>
  <w:endnote w:type="continuationSeparator" w:id="0">
    <w:p w14:paraId="40ADEEDA" w14:textId="77777777" w:rsidR="00C17524" w:rsidRDefault="00C17524" w:rsidP="00D92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871A0" w14:textId="77777777" w:rsidR="00C17524" w:rsidRDefault="00C17524" w:rsidP="00D920E9">
      <w:pPr>
        <w:spacing w:after="0" w:line="240" w:lineRule="auto"/>
      </w:pPr>
      <w:r>
        <w:separator/>
      </w:r>
    </w:p>
  </w:footnote>
  <w:footnote w:type="continuationSeparator" w:id="0">
    <w:p w14:paraId="17A374A1" w14:textId="77777777" w:rsidR="00C17524" w:rsidRDefault="00C17524" w:rsidP="00D920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E31"/>
    <w:rsid w:val="00006D2B"/>
    <w:rsid w:val="00036C22"/>
    <w:rsid w:val="00044432"/>
    <w:rsid w:val="00075F1D"/>
    <w:rsid w:val="00083CE0"/>
    <w:rsid w:val="000912F3"/>
    <w:rsid w:val="00092523"/>
    <w:rsid w:val="0009515D"/>
    <w:rsid w:val="000D1B7B"/>
    <w:rsid w:val="000F2367"/>
    <w:rsid w:val="0010648D"/>
    <w:rsid w:val="00140827"/>
    <w:rsid w:val="00155537"/>
    <w:rsid w:val="00160992"/>
    <w:rsid w:val="00161168"/>
    <w:rsid w:val="001736BB"/>
    <w:rsid w:val="00180AD6"/>
    <w:rsid w:val="00195527"/>
    <w:rsid w:val="001C4F8D"/>
    <w:rsid w:val="001D3052"/>
    <w:rsid w:val="001E7DB2"/>
    <w:rsid w:val="00217031"/>
    <w:rsid w:val="00226BCE"/>
    <w:rsid w:val="002370B1"/>
    <w:rsid w:val="00243D10"/>
    <w:rsid w:val="002577DB"/>
    <w:rsid w:val="00266BD0"/>
    <w:rsid w:val="00276B12"/>
    <w:rsid w:val="00286C6C"/>
    <w:rsid w:val="00292114"/>
    <w:rsid w:val="002B1358"/>
    <w:rsid w:val="00303DFC"/>
    <w:rsid w:val="003054D7"/>
    <w:rsid w:val="0035328E"/>
    <w:rsid w:val="003B28D8"/>
    <w:rsid w:val="003B3218"/>
    <w:rsid w:val="004215A6"/>
    <w:rsid w:val="004275F2"/>
    <w:rsid w:val="00437BAA"/>
    <w:rsid w:val="00445FF6"/>
    <w:rsid w:val="0049601E"/>
    <w:rsid w:val="004A5978"/>
    <w:rsid w:val="004B59E9"/>
    <w:rsid w:val="004C2E0F"/>
    <w:rsid w:val="004E34D2"/>
    <w:rsid w:val="00536A64"/>
    <w:rsid w:val="00536E91"/>
    <w:rsid w:val="00547608"/>
    <w:rsid w:val="00556EEB"/>
    <w:rsid w:val="00573B6D"/>
    <w:rsid w:val="00575D8C"/>
    <w:rsid w:val="005B2D09"/>
    <w:rsid w:val="005C26FA"/>
    <w:rsid w:val="005C4460"/>
    <w:rsid w:val="005F6D89"/>
    <w:rsid w:val="0061395A"/>
    <w:rsid w:val="006A29EC"/>
    <w:rsid w:val="006C4E52"/>
    <w:rsid w:val="006C73A4"/>
    <w:rsid w:val="006D218F"/>
    <w:rsid w:val="006F1B21"/>
    <w:rsid w:val="00711684"/>
    <w:rsid w:val="00755F48"/>
    <w:rsid w:val="00763CE0"/>
    <w:rsid w:val="00766244"/>
    <w:rsid w:val="00792843"/>
    <w:rsid w:val="007A700D"/>
    <w:rsid w:val="007B4BE6"/>
    <w:rsid w:val="00802128"/>
    <w:rsid w:val="008924C3"/>
    <w:rsid w:val="008C1C05"/>
    <w:rsid w:val="008D7DA7"/>
    <w:rsid w:val="008E31BC"/>
    <w:rsid w:val="00901D56"/>
    <w:rsid w:val="00915796"/>
    <w:rsid w:val="0095651B"/>
    <w:rsid w:val="009C5FCF"/>
    <w:rsid w:val="009D766F"/>
    <w:rsid w:val="009E795F"/>
    <w:rsid w:val="009E7EE1"/>
    <w:rsid w:val="00A46D55"/>
    <w:rsid w:val="00A5025D"/>
    <w:rsid w:val="00A84D19"/>
    <w:rsid w:val="00A9664D"/>
    <w:rsid w:val="00AC71AF"/>
    <w:rsid w:val="00AD68FB"/>
    <w:rsid w:val="00B022DB"/>
    <w:rsid w:val="00B027F2"/>
    <w:rsid w:val="00B14E31"/>
    <w:rsid w:val="00B24E33"/>
    <w:rsid w:val="00B75969"/>
    <w:rsid w:val="00B91476"/>
    <w:rsid w:val="00BC68E5"/>
    <w:rsid w:val="00C17524"/>
    <w:rsid w:val="00C27650"/>
    <w:rsid w:val="00C34B3F"/>
    <w:rsid w:val="00C72FA7"/>
    <w:rsid w:val="00D152C3"/>
    <w:rsid w:val="00D201C5"/>
    <w:rsid w:val="00D64155"/>
    <w:rsid w:val="00D82617"/>
    <w:rsid w:val="00D91894"/>
    <w:rsid w:val="00D920E9"/>
    <w:rsid w:val="00DB6759"/>
    <w:rsid w:val="00DD3AB9"/>
    <w:rsid w:val="00DF1FC8"/>
    <w:rsid w:val="00E1057B"/>
    <w:rsid w:val="00E437BE"/>
    <w:rsid w:val="00E57FC4"/>
    <w:rsid w:val="00E615D5"/>
    <w:rsid w:val="00F13AC0"/>
    <w:rsid w:val="00F27775"/>
    <w:rsid w:val="00F34108"/>
    <w:rsid w:val="00F408AE"/>
    <w:rsid w:val="00F53BEA"/>
    <w:rsid w:val="00F623FD"/>
    <w:rsid w:val="00FA265E"/>
    <w:rsid w:val="00FC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1075C"/>
  <w15:chartTrackingRefBased/>
  <w15:docId w15:val="{7180723C-7BF0-4E20-A490-DB6E4124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B3F"/>
  </w:style>
  <w:style w:type="paragraph" w:styleId="Heading1">
    <w:name w:val="heading 1"/>
    <w:basedOn w:val="Normal"/>
    <w:next w:val="Normal"/>
    <w:link w:val="Heading1Char"/>
    <w:uiPriority w:val="9"/>
    <w:qFormat/>
    <w:rsid w:val="00B14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4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4E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4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4E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4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4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4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4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E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4E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4E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4E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4E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4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4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4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4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4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4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4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4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4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4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4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4E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E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E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4E31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0912F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091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920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0E9"/>
  </w:style>
  <w:style w:type="paragraph" w:styleId="Footer">
    <w:name w:val="footer"/>
    <w:basedOn w:val="Normal"/>
    <w:link w:val="FooterChar"/>
    <w:uiPriority w:val="99"/>
    <w:unhideWhenUsed/>
    <w:rsid w:val="00D920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0E9"/>
  </w:style>
  <w:style w:type="character" w:styleId="Hyperlink">
    <w:name w:val="Hyperlink"/>
    <w:basedOn w:val="DefaultParagraphFont"/>
    <w:uiPriority w:val="99"/>
    <w:unhideWhenUsed/>
    <w:rsid w:val="006C73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73A4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4A5978"/>
    <w:pPr>
      <w:tabs>
        <w:tab w:val="left" w:pos="264"/>
      </w:tabs>
      <w:spacing w:after="0" w:line="480" w:lineRule="auto"/>
      <w:ind w:left="264" w:hanging="2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sri.com/en-us/arcgis/about-arcgis/overview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qgis.org" TargetMode="External"/><Relationship Id="rId12" Type="http://schemas.openxmlformats.org/officeDocument/2006/relationships/hyperlink" Target="https://earthengine.google.com/" TargetMode="External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arthengine.google.com/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10" Type="http://schemas.openxmlformats.org/officeDocument/2006/relationships/hyperlink" Target="https://earthengine.google.com/" TargetMode="External"/><Relationship Id="rId19" Type="http://schemas.openxmlformats.org/officeDocument/2006/relationships/image" Target="media/image8.emf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hyperlink" Target="https://earthengine.googl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4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shambel arga</dc:creator>
  <cp:keywords/>
  <dc:description/>
  <cp:lastModifiedBy>shambel arga</cp:lastModifiedBy>
  <cp:revision>66</cp:revision>
  <dcterms:created xsi:type="dcterms:W3CDTF">2026-02-02T03:38:00Z</dcterms:created>
  <dcterms:modified xsi:type="dcterms:W3CDTF">2026-06-12T09:41:00Z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id="TSefIHMs"/&gt;&lt;style id="http://www.zotero.org/styles/nature-no-et-al" hasBibliography="1" bibliographyStyleHasBeenSet="1"/&gt;&lt;prefs&gt;&lt;pref name="fieldType" value="Field"/&gt;&lt;pref name="automaticJournalAb</vt:lpwstr>
  </property>
  <property fmtid="{D5CDD505-2E9C-101B-9397-08002B2CF9AE}" pid="3" name="ZOTERO_PREF_2">
    <vt:lpwstr>breviations" value="true"/&gt;&lt;/prefs&gt;&lt;/data&gt;</vt:lpwstr>
  </property>
</Properties>
</file>