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76456" w14:textId="18B24824" w:rsidR="0018219D" w:rsidRPr="00AE7AE9" w:rsidRDefault="0018219D" w:rsidP="009901F9">
      <w:pPr>
        <w:jc w:val="both"/>
        <w:rPr>
          <w:rFonts w:ascii="Arial" w:hAnsi="Arial" w:cs="Arial"/>
          <w:sz w:val="22"/>
          <w:szCs w:val="22"/>
          <w:lang w:val="en-US"/>
        </w:rPr>
      </w:pPr>
      <w:r w:rsidRPr="00AE7AE9">
        <w:rPr>
          <w:rFonts w:ascii="Arial" w:hAnsi="Arial" w:cs="Arial"/>
          <w:noProof/>
          <w:sz w:val="22"/>
          <w:szCs w:val="22"/>
          <w:lang w:val="en-US"/>
        </w:rPr>
        <w:drawing>
          <wp:inline distT="0" distB="0" distL="0" distR="0" wp14:anchorId="5A81C9D3" wp14:editId="123AE7DF">
            <wp:extent cx="5498694" cy="4826993"/>
            <wp:effectExtent l="0" t="0" r="6985" b="0"/>
            <wp:docPr id="20884752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75286" name="Grafik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5498694" cy="4826993"/>
                    </a:xfrm>
                    <a:prstGeom prst="rect">
                      <a:avLst/>
                    </a:prstGeom>
                    <a:noFill/>
                    <a:ln>
                      <a:noFill/>
                    </a:ln>
                  </pic:spPr>
                </pic:pic>
              </a:graphicData>
            </a:graphic>
          </wp:inline>
        </w:drawing>
      </w:r>
      <w:r w:rsidRPr="00AE7AE9">
        <w:rPr>
          <w:rFonts w:ascii="Arial" w:hAnsi="Arial" w:cs="Arial"/>
          <w:b/>
          <w:bCs/>
          <w:sz w:val="22"/>
          <w:szCs w:val="22"/>
          <w:lang w:val="en-US"/>
        </w:rPr>
        <w:t xml:space="preserve"> </w:t>
      </w:r>
      <w:r w:rsidRPr="00AE7AE9">
        <w:rPr>
          <w:rFonts w:ascii="Arial" w:hAnsi="Arial" w:cs="Arial"/>
          <w:sz w:val="22"/>
          <w:szCs w:val="22"/>
          <w:lang w:val="en-US"/>
        </w:rPr>
        <w:t>Supplementary Figure 1</w:t>
      </w:r>
      <w:r w:rsidR="00AE7AE9" w:rsidRPr="00AE7AE9">
        <w:rPr>
          <w:rFonts w:ascii="Arial" w:hAnsi="Arial" w:cs="Arial"/>
          <w:sz w:val="22"/>
          <w:szCs w:val="22"/>
          <w:lang w:val="en-US"/>
        </w:rPr>
        <w:t>:</w:t>
      </w:r>
      <w:r w:rsidRPr="00AE7AE9">
        <w:rPr>
          <w:rFonts w:ascii="Arial" w:hAnsi="Arial" w:cs="Arial"/>
          <w:sz w:val="22"/>
          <w:szCs w:val="22"/>
          <w:lang w:val="en-US"/>
        </w:rPr>
        <w:t xml:space="preserve"> Spearman correlation matrix of predictors included in the multivariable total-time analysis. Values represent Spearman rank correlation coefficients (ρ). Asterisks indicate statistical significance: *p&lt;0.05, **p&lt;0.01, and ***p&lt;0.001. </w:t>
      </w:r>
      <w:r w:rsidR="009901F9" w:rsidRPr="00AE7AE9">
        <w:rPr>
          <w:rFonts w:ascii="Arial" w:hAnsi="Arial" w:cs="Arial"/>
          <w:sz w:val="22"/>
          <w:szCs w:val="22"/>
          <w:lang w:val="en-US"/>
        </w:rPr>
        <w:tab/>
      </w:r>
      <w:r w:rsidR="009901F9" w:rsidRPr="00AE7AE9">
        <w:rPr>
          <w:rFonts w:ascii="Arial" w:hAnsi="Arial" w:cs="Arial"/>
          <w:sz w:val="22"/>
          <w:szCs w:val="22"/>
          <w:lang w:val="en-US"/>
        </w:rPr>
        <w:br/>
      </w:r>
      <w:r w:rsidRPr="00AE7AE9">
        <w:rPr>
          <w:rFonts w:ascii="Arial" w:hAnsi="Arial" w:cs="Arial"/>
          <w:sz w:val="22"/>
          <w:szCs w:val="22"/>
          <w:lang w:val="en-US"/>
        </w:rPr>
        <w:t xml:space="preserve">Nidus size is applicable only to </w:t>
      </w:r>
      <w:proofErr w:type="spellStart"/>
      <w:r w:rsidRPr="00AE7AE9">
        <w:rPr>
          <w:rFonts w:ascii="Arial" w:hAnsi="Arial" w:cs="Arial"/>
          <w:sz w:val="22"/>
          <w:szCs w:val="22"/>
          <w:lang w:val="en-US"/>
        </w:rPr>
        <w:t>bAVM</w:t>
      </w:r>
      <w:proofErr w:type="spellEnd"/>
      <w:r w:rsidRPr="00AE7AE9">
        <w:rPr>
          <w:rFonts w:ascii="Arial" w:hAnsi="Arial" w:cs="Arial"/>
          <w:sz w:val="22"/>
          <w:szCs w:val="22"/>
          <w:lang w:val="en-US"/>
        </w:rPr>
        <w:t xml:space="preserve">. To retain </w:t>
      </w:r>
      <w:proofErr w:type="spellStart"/>
      <w:r w:rsidRPr="00AE7AE9">
        <w:rPr>
          <w:rFonts w:ascii="Arial" w:hAnsi="Arial" w:cs="Arial"/>
          <w:sz w:val="22"/>
          <w:szCs w:val="22"/>
          <w:lang w:val="en-US"/>
        </w:rPr>
        <w:t>dAVF</w:t>
      </w:r>
      <w:proofErr w:type="spellEnd"/>
      <w:r w:rsidRPr="00AE7AE9">
        <w:rPr>
          <w:rFonts w:ascii="Arial" w:hAnsi="Arial" w:cs="Arial"/>
          <w:sz w:val="22"/>
          <w:szCs w:val="22"/>
          <w:lang w:val="en-US"/>
        </w:rPr>
        <w:t xml:space="preserve"> cases in the combined multivariable model, nidus-size values for </w:t>
      </w:r>
      <w:proofErr w:type="spellStart"/>
      <w:r w:rsidRPr="00AE7AE9">
        <w:rPr>
          <w:rFonts w:ascii="Arial" w:hAnsi="Arial" w:cs="Arial"/>
          <w:sz w:val="22"/>
          <w:szCs w:val="22"/>
          <w:lang w:val="en-US"/>
        </w:rPr>
        <w:t>dAVF</w:t>
      </w:r>
      <w:proofErr w:type="spellEnd"/>
      <w:r w:rsidRPr="00AE7AE9">
        <w:rPr>
          <w:rFonts w:ascii="Arial" w:hAnsi="Arial" w:cs="Arial"/>
          <w:sz w:val="22"/>
          <w:szCs w:val="22"/>
          <w:lang w:val="en-US"/>
        </w:rPr>
        <w:t xml:space="preserve"> cases were imputed as zero and accompanied by an indicator variable denoting cases in which nidus size was not applicable. </w:t>
      </w:r>
      <w:r w:rsidR="00D02DE7" w:rsidRPr="00AE7AE9">
        <w:rPr>
          <w:rFonts w:ascii="Arial" w:hAnsi="Arial" w:cs="Arial"/>
          <w:sz w:val="22"/>
          <w:szCs w:val="22"/>
          <w:lang w:val="en-US"/>
        </w:rPr>
        <w:t>Consequently, the strong inverse correlation between nidus size (imputed) and nidus size not applicable (</w:t>
      </w:r>
      <w:proofErr w:type="spellStart"/>
      <w:r w:rsidR="00D02DE7" w:rsidRPr="00AE7AE9">
        <w:rPr>
          <w:rFonts w:ascii="Arial" w:hAnsi="Arial" w:cs="Arial"/>
          <w:sz w:val="22"/>
          <w:szCs w:val="22"/>
          <w:lang w:val="en-US"/>
        </w:rPr>
        <w:t>dAVF</w:t>
      </w:r>
      <w:proofErr w:type="spellEnd"/>
      <w:r w:rsidR="00D02DE7" w:rsidRPr="00AE7AE9">
        <w:rPr>
          <w:rFonts w:ascii="Arial" w:hAnsi="Arial" w:cs="Arial"/>
          <w:sz w:val="22"/>
          <w:szCs w:val="22"/>
          <w:lang w:val="en-US"/>
        </w:rPr>
        <w:t xml:space="preserve">) </w:t>
      </w:r>
      <w:r w:rsidR="0015256E">
        <w:rPr>
          <w:rFonts w:ascii="Arial" w:hAnsi="Arial" w:cs="Arial"/>
          <w:sz w:val="22"/>
          <w:szCs w:val="22"/>
          <w:lang w:val="en-US"/>
        </w:rPr>
        <w:t xml:space="preserve">represents </w:t>
      </w:r>
      <w:r w:rsidR="00D02DE7" w:rsidRPr="00AE7AE9">
        <w:rPr>
          <w:rFonts w:ascii="Arial" w:hAnsi="Arial" w:cs="Arial"/>
          <w:sz w:val="22"/>
          <w:szCs w:val="22"/>
          <w:lang w:val="en-US"/>
        </w:rPr>
        <w:t>an expected structural relationship and should not be interpreted as an independent clinical association.</w:t>
      </w:r>
      <w:r w:rsidR="00D02DE7" w:rsidRPr="00AE7AE9">
        <w:rPr>
          <w:rFonts w:ascii="Arial" w:hAnsi="Arial" w:cs="Arial"/>
          <w:sz w:val="22"/>
          <w:szCs w:val="22"/>
          <w:lang w:val="en-US"/>
        </w:rPr>
        <w:tab/>
      </w:r>
      <w:r w:rsidR="009901F9" w:rsidRPr="00AE7AE9">
        <w:rPr>
          <w:rFonts w:ascii="Arial" w:hAnsi="Arial" w:cs="Arial"/>
          <w:sz w:val="22"/>
          <w:szCs w:val="22"/>
          <w:lang w:val="en-US"/>
        </w:rPr>
        <w:br/>
      </w:r>
      <w:proofErr w:type="spellStart"/>
      <w:r w:rsidRPr="00AE7AE9">
        <w:rPr>
          <w:rFonts w:ascii="Arial" w:hAnsi="Arial" w:cs="Arial"/>
          <w:sz w:val="22"/>
          <w:szCs w:val="22"/>
          <w:lang w:val="en-US"/>
        </w:rPr>
        <w:t>bAVM</w:t>
      </w:r>
      <w:proofErr w:type="spellEnd"/>
      <w:r w:rsidRPr="00AE7AE9">
        <w:rPr>
          <w:rFonts w:ascii="Arial" w:hAnsi="Arial" w:cs="Arial"/>
          <w:sz w:val="22"/>
          <w:szCs w:val="22"/>
          <w:lang w:val="en-US"/>
        </w:rPr>
        <w:t xml:space="preserve">: brain arteriovenous malformation; </w:t>
      </w:r>
      <w:proofErr w:type="spellStart"/>
      <w:r w:rsidRPr="00AE7AE9">
        <w:rPr>
          <w:rFonts w:ascii="Arial" w:hAnsi="Arial" w:cs="Arial"/>
          <w:sz w:val="22"/>
          <w:szCs w:val="22"/>
          <w:lang w:val="en-US"/>
        </w:rPr>
        <w:t>dAVF</w:t>
      </w:r>
      <w:proofErr w:type="spellEnd"/>
      <w:r w:rsidRPr="00AE7AE9">
        <w:rPr>
          <w:rFonts w:ascii="Arial" w:hAnsi="Arial" w:cs="Arial"/>
          <w:sz w:val="22"/>
          <w:szCs w:val="22"/>
          <w:lang w:val="en-US"/>
        </w:rPr>
        <w:t>: dural arteriovenous fistula.</w:t>
      </w:r>
    </w:p>
    <w:p w14:paraId="5C56F4B2" w14:textId="77777777" w:rsidR="00AE7AE9" w:rsidRPr="00AE7AE9" w:rsidRDefault="00AE7AE9">
      <w:pPr>
        <w:rPr>
          <w:rFonts w:ascii="Arial" w:hAnsi="Arial" w:cs="Arial"/>
          <w:sz w:val="22"/>
          <w:szCs w:val="22"/>
          <w:lang w:val="en-US"/>
        </w:rPr>
      </w:pPr>
      <w:r w:rsidRPr="00AE7AE9">
        <w:rPr>
          <w:rFonts w:ascii="Arial" w:hAnsi="Arial" w:cs="Arial"/>
          <w:sz w:val="22"/>
          <w:szCs w:val="22"/>
          <w:lang w:val="en-US"/>
        </w:rPr>
        <w:br w:type="page"/>
      </w:r>
    </w:p>
    <w:p w14:paraId="535FADAB" w14:textId="3253A5FE" w:rsidR="00AE7AE9" w:rsidRDefault="00AE7AE9" w:rsidP="00AE7AE9">
      <w:pPr>
        <w:jc w:val="both"/>
        <w:rPr>
          <w:rFonts w:ascii="Arial" w:hAnsi="Arial" w:cs="Arial"/>
          <w:sz w:val="22"/>
          <w:szCs w:val="22"/>
          <w:lang w:val="en-US"/>
        </w:rPr>
      </w:pPr>
      <w:r>
        <w:rPr>
          <w:rFonts w:ascii="Arial" w:hAnsi="Arial" w:cs="Arial"/>
          <w:noProof/>
          <w:sz w:val="22"/>
          <w:szCs w:val="22"/>
          <w:lang w:val="en-US"/>
        </w:rPr>
        <w:lastRenderedPageBreak/>
        <w:drawing>
          <wp:inline distT="0" distB="0" distL="0" distR="0" wp14:anchorId="78F8D3EC" wp14:editId="5C3C594E">
            <wp:extent cx="5753100" cy="3819525"/>
            <wp:effectExtent l="0" t="0" r="0" b="9525"/>
            <wp:docPr id="6257294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3819525"/>
                    </a:xfrm>
                    <a:prstGeom prst="rect">
                      <a:avLst/>
                    </a:prstGeom>
                    <a:noFill/>
                    <a:ln>
                      <a:noFill/>
                    </a:ln>
                  </pic:spPr>
                </pic:pic>
              </a:graphicData>
            </a:graphic>
          </wp:inline>
        </w:drawing>
      </w:r>
    </w:p>
    <w:p w14:paraId="50C2E3E0" w14:textId="4332A91E" w:rsidR="0018219D" w:rsidRPr="00AE7AE9" w:rsidRDefault="00AE7AE9" w:rsidP="00AE7AE9">
      <w:pPr>
        <w:jc w:val="both"/>
        <w:rPr>
          <w:rFonts w:ascii="Arial" w:hAnsi="Arial" w:cs="Arial"/>
          <w:sz w:val="22"/>
          <w:szCs w:val="22"/>
          <w:lang w:val="en-US"/>
        </w:rPr>
      </w:pPr>
      <w:r w:rsidRPr="00AE7AE9">
        <w:rPr>
          <w:rFonts w:ascii="Arial" w:hAnsi="Arial" w:cs="Arial"/>
          <w:sz w:val="22"/>
          <w:szCs w:val="22"/>
          <w:lang w:val="en-US"/>
        </w:rPr>
        <w:t xml:space="preserve">Supplementary Figure 2: Fusion time according to the number of feeding arteries. Individual points represent observed fusion-time measurements for each fusion pair. The solid line represents model-predicted fusion time derived from the multivariable regression model, adjusted for the presence of </w:t>
      </w:r>
      <w:proofErr w:type="spellStart"/>
      <w:r w:rsidRPr="00AE7AE9">
        <w:rPr>
          <w:rFonts w:ascii="Arial" w:hAnsi="Arial" w:cs="Arial"/>
          <w:sz w:val="22"/>
          <w:szCs w:val="22"/>
          <w:lang w:val="en-US"/>
        </w:rPr>
        <w:t>microfeeders</w:t>
      </w:r>
      <w:proofErr w:type="spellEnd"/>
      <w:r w:rsidRPr="00AE7AE9">
        <w:rPr>
          <w:rFonts w:ascii="Arial" w:hAnsi="Arial" w:cs="Arial"/>
          <w:sz w:val="22"/>
          <w:szCs w:val="22"/>
          <w:lang w:val="en-US"/>
        </w:rPr>
        <w:t xml:space="preserve">, injection route, investigator experience, and lesion type. The shaded area indicates the 95% confidence interval of the </w:t>
      </w:r>
      <w:r w:rsidR="00C7601B">
        <w:rPr>
          <w:rFonts w:ascii="Arial" w:hAnsi="Arial" w:cs="Arial"/>
          <w:sz w:val="22"/>
          <w:szCs w:val="22"/>
          <w:lang w:val="en-US"/>
        </w:rPr>
        <w:t>model-predicted mean</w:t>
      </w:r>
      <w:r w:rsidRPr="00AE7AE9">
        <w:rPr>
          <w:rFonts w:ascii="Arial" w:hAnsi="Arial" w:cs="Arial"/>
          <w:sz w:val="22"/>
          <w:szCs w:val="22"/>
          <w:lang w:val="en-US"/>
        </w:rPr>
        <w:t>. The number of feeding arteries was analyzed as a continuous variable.</w:t>
      </w:r>
      <w:r w:rsidR="0018219D" w:rsidRPr="00AE7AE9">
        <w:rPr>
          <w:rFonts w:ascii="Arial" w:hAnsi="Arial" w:cs="Arial"/>
          <w:sz w:val="22"/>
          <w:szCs w:val="22"/>
          <w:lang w:val="en-US"/>
        </w:rPr>
        <w:br w:type="page"/>
      </w:r>
    </w:p>
    <w:p w14:paraId="622F8719" w14:textId="12CCB5E5" w:rsidR="0018219D" w:rsidRPr="00AE7AE9" w:rsidRDefault="0018219D">
      <w:pPr>
        <w:rPr>
          <w:rFonts w:ascii="Arial" w:hAnsi="Arial" w:cs="Arial"/>
          <w:sz w:val="22"/>
          <w:szCs w:val="22"/>
          <w:lang w:val="en-US"/>
        </w:rPr>
      </w:pPr>
    </w:p>
    <w:tbl>
      <w:tblPr>
        <w:tblStyle w:val="Tabellenraster"/>
        <w:tblW w:w="9209" w:type="dxa"/>
        <w:jc w:val="center"/>
        <w:tblLayout w:type="fixed"/>
        <w:tblLook w:val="04A0" w:firstRow="1" w:lastRow="0" w:firstColumn="1" w:lastColumn="0" w:noHBand="0" w:noVBand="1"/>
      </w:tblPr>
      <w:tblGrid>
        <w:gridCol w:w="1129"/>
        <w:gridCol w:w="3828"/>
        <w:gridCol w:w="4252"/>
      </w:tblGrid>
      <w:tr w:rsidR="00945112" w:rsidRPr="00AE7AE9" w14:paraId="7A5E96EC" w14:textId="77777777" w:rsidTr="00945112">
        <w:trPr>
          <w:tblHeader/>
          <w:jc w:val="center"/>
        </w:trPr>
        <w:tc>
          <w:tcPr>
            <w:tcW w:w="1129" w:type="dxa"/>
            <w:tcMar>
              <w:top w:w="80" w:type="dxa"/>
              <w:left w:w="100" w:type="dxa"/>
              <w:bottom w:w="80" w:type="dxa"/>
              <w:right w:w="100" w:type="dxa"/>
            </w:tcMar>
            <w:vAlign w:val="center"/>
          </w:tcPr>
          <w:p w14:paraId="3B2549CC" w14:textId="6577E134" w:rsidR="00945112" w:rsidRPr="00AE7AE9" w:rsidRDefault="00945112" w:rsidP="00FA2E9C">
            <w:pPr>
              <w:jc w:val="center"/>
              <w:rPr>
                <w:rFonts w:ascii="Arial" w:hAnsi="Arial" w:cs="Arial"/>
              </w:rPr>
            </w:pPr>
          </w:p>
        </w:tc>
        <w:tc>
          <w:tcPr>
            <w:tcW w:w="3828" w:type="dxa"/>
            <w:tcMar>
              <w:top w:w="80" w:type="dxa"/>
              <w:left w:w="100" w:type="dxa"/>
              <w:bottom w:w="80" w:type="dxa"/>
              <w:right w:w="100" w:type="dxa"/>
            </w:tcMar>
            <w:vAlign w:val="center"/>
          </w:tcPr>
          <w:p w14:paraId="208CF06D" w14:textId="77777777" w:rsidR="00945112" w:rsidRPr="00AE7AE9" w:rsidRDefault="00945112" w:rsidP="00945112">
            <w:pPr>
              <w:rPr>
                <w:rFonts w:ascii="Arial" w:hAnsi="Arial" w:cs="Arial"/>
              </w:rPr>
            </w:pPr>
            <w:r w:rsidRPr="00AE7AE9">
              <w:rPr>
                <w:rFonts w:ascii="Arial" w:hAnsi="Arial" w:cs="Arial"/>
                <w:b/>
              </w:rPr>
              <w:t>Predictor</w:t>
            </w:r>
          </w:p>
        </w:tc>
        <w:tc>
          <w:tcPr>
            <w:tcW w:w="4252" w:type="dxa"/>
            <w:tcMar>
              <w:top w:w="80" w:type="dxa"/>
              <w:left w:w="100" w:type="dxa"/>
              <w:bottom w:w="80" w:type="dxa"/>
              <w:right w:w="100" w:type="dxa"/>
            </w:tcMar>
            <w:vAlign w:val="center"/>
          </w:tcPr>
          <w:p w14:paraId="59F04CDA" w14:textId="77777777" w:rsidR="00945112" w:rsidRPr="00AE7AE9" w:rsidRDefault="00945112" w:rsidP="00945112">
            <w:pPr>
              <w:jc w:val="center"/>
              <w:rPr>
                <w:rFonts w:ascii="Arial" w:hAnsi="Arial" w:cs="Arial"/>
              </w:rPr>
            </w:pPr>
            <w:r w:rsidRPr="00AE7AE9">
              <w:rPr>
                <w:rFonts w:ascii="Arial" w:hAnsi="Arial" w:cs="Arial"/>
                <w:b/>
              </w:rPr>
              <w:t>VIF</w:t>
            </w:r>
          </w:p>
        </w:tc>
      </w:tr>
      <w:tr w:rsidR="00945112" w:rsidRPr="00AE7AE9" w14:paraId="62D9343C" w14:textId="77777777" w:rsidTr="00945112">
        <w:trPr>
          <w:jc w:val="center"/>
        </w:trPr>
        <w:tc>
          <w:tcPr>
            <w:tcW w:w="1129" w:type="dxa"/>
            <w:vMerge w:val="restart"/>
            <w:tcMar>
              <w:top w:w="80" w:type="dxa"/>
              <w:left w:w="100" w:type="dxa"/>
              <w:bottom w:w="80" w:type="dxa"/>
              <w:right w:w="100" w:type="dxa"/>
            </w:tcMar>
            <w:textDirection w:val="btLr"/>
            <w:vAlign w:val="center"/>
          </w:tcPr>
          <w:p w14:paraId="19D0E694" w14:textId="2CAB9DF1" w:rsidR="00945112" w:rsidRPr="00AE7AE9" w:rsidRDefault="00945112" w:rsidP="00945112">
            <w:pPr>
              <w:ind w:left="113" w:right="113"/>
              <w:jc w:val="center"/>
              <w:rPr>
                <w:rFonts w:ascii="Arial" w:hAnsi="Arial" w:cs="Arial"/>
              </w:rPr>
            </w:pPr>
            <w:r w:rsidRPr="00AE7AE9">
              <w:rPr>
                <w:rFonts w:ascii="Arial" w:hAnsi="Arial" w:cs="Arial"/>
                <w:b/>
              </w:rPr>
              <w:t>Total time expenditure</w:t>
            </w:r>
          </w:p>
        </w:tc>
        <w:tc>
          <w:tcPr>
            <w:tcW w:w="3828" w:type="dxa"/>
            <w:tcMar>
              <w:top w:w="80" w:type="dxa"/>
              <w:left w:w="100" w:type="dxa"/>
              <w:bottom w:w="80" w:type="dxa"/>
              <w:right w:w="100" w:type="dxa"/>
            </w:tcMar>
            <w:vAlign w:val="center"/>
          </w:tcPr>
          <w:p w14:paraId="7E2A8591" w14:textId="77777777" w:rsidR="00945112" w:rsidRPr="00AE7AE9" w:rsidRDefault="00945112" w:rsidP="00FA2E9C">
            <w:pPr>
              <w:rPr>
                <w:rFonts w:ascii="Arial" w:hAnsi="Arial" w:cs="Arial"/>
              </w:rPr>
            </w:pPr>
            <w:r w:rsidRPr="00AE7AE9">
              <w:rPr>
                <w:rFonts w:ascii="Arial" w:hAnsi="Arial" w:cs="Arial"/>
              </w:rPr>
              <w:t>Nidus size (imputed)</w:t>
            </w:r>
          </w:p>
        </w:tc>
        <w:tc>
          <w:tcPr>
            <w:tcW w:w="4252" w:type="dxa"/>
            <w:tcMar>
              <w:top w:w="80" w:type="dxa"/>
              <w:left w:w="100" w:type="dxa"/>
              <w:bottom w:w="80" w:type="dxa"/>
              <w:right w:w="100" w:type="dxa"/>
            </w:tcMar>
            <w:vAlign w:val="center"/>
          </w:tcPr>
          <w:p w14:paraId="405308A8" w14:textId="77777777" w:rsidR="00945112" w:rsidRPr="00AE7AE9" w:rsidRDefault="00945112" w:rsidP="00FA2E9C">
            <w:pPr>
              <w:jc w:val="center"/>
              <w:rPr>
                <w:rFonts w:ascii="Arial" w:hAnsi="Arial" w:cs="Arial"/>
              </w:rPr>
            </w:pPr>
            <w:r w:rsidRPr="00AE7AE9">
              <w:rPr>
                <w:rFonts w:ascii="Arial" w:hAnsi="Arial" w:cs="Arial"/>
              </w:rPr>
              <w:t>5.083</w:t>
            </w:r>
          </w:p>
        </w:tc>
      </w:tr>
      <w:tr w:rsidR="00945112" w:rsidRPr="00AE7AE9" w14:paraId="1F4B6A1E" w14:textId="77777777" w:rsidTr="00945112">
        <w:trPr>
          <w:jc w:val="center"/>
        </w:trPr>
        <w:tc>
          <w:tcPr>
            <w:tcW w:w="1129" w:type="dxa"/>
            <w:vMerge/>
            <w:tcMar>
              <w:top w:w="80" w:type="dxa"/>
              <w:left w:w="100" w:type="dxa"/>
              <w:bottom w:w="80" w:type="dxa"/>
              <w:right w:w="100" w:type="dxa"/>
            </w:tcMar>
            <w:vAlign w:val="center"/>
          </w:tcPr>
          <w:p w14:paraId="41B5C647"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75845B85" w14:textId="77777777" w:rsidR="00945112" w:rsidRPr="00AE7AE9" w:rsidRDefault="00945112" w:rsidP="00FA2E9C">
            <w:pPr>
              <w:rPr>
                <w:rFonts w:ascii="Arial" w:hAnsi="Arial" w:cs="Arial"/>
              </w:rPr>
            </w:pPr>
            <w:r w:rsidRPr="00AE7AE9">
              <w:rPr>
                <w:rFonts w:ascii="Arial" w:hAnsi="Arial" w:cs="Arial"/>
              </w:rPr>
              <w:t>Nidus size not applicable (</w:t>
            </w:r>
            <w:proofErr w:type="spellStart"/>
            <w:r w:rsidRPr="00AE7AE9">
              <w:rPr>
                <w:rFonts w:ascii="Arial" w:hAnsi="Arial" w:cs="Arial"/>
              </w:rPr>
              <w:t>dAVF</w:t>
            </w:r>
            <w:proofErr w:type="spellEnd"/>
            <w:r w:rsidRPr="00AE7AE9">
              <w:rPr>
                <w:rFonts w:ascii="Arial" w:hAnsi="Arial" w:cs="Arial"/>
              </w:rPr>
              <w:t>)</w:t>
            </w:r>
          </w:p>
        </w:tc>
        <w:tc>
          <w:tcPr>
            <w:tcW w:w="4252" w:type="dxa"/>
            <w:tcMar>
              <w:top w:w="80" w:type="dxa"/>
              <w:left w:w="100" w:type="dxa"/>
              <w:bottom w:w="80" w:type="dxa"/>
              <w:right w:w="100" w:type="dxa"/>
            </w:tcMar>
            <w:vAlign w:val="center"/>
          </w:tcPr>
          <w:p w14:paraId="71B7F353" w14:textId="77777777" w:rsidR="00945112" w:rsidRPr="00AE7AE9" w:rsidRDefault="00945112" w:rsidP="00FA2E9C">
            <w:pPr>
              <w:jc w:val="center"/>
              <w:rPr>
                <w:rFonts w:ascii="Arial" w:hAnsi="Arial" w:cs="Arial"/>
              </w:rPr>
            </w:pPr>
            <w:r w:rsidRPr="00AE7AE9">
              <w:rPr>
                <w:rFonts w:ascii="Arial" w:hAnsi="Arial" w:cs="Arial"/>
              </w:rPr>
              <w:t>4.581</w:t>
            </w:r>
          </w:p>
        </w:tc>
      </w:tr>
      <w:tr w:rsidR="00945112" w:rsidRPr="00AE7AE9" w14:paraId="67EB29E8" w14:textId="77777777" w:rsidTr="00945112">
        <w:trPr>
          <w:jc w:val="center"/>
        </w:trPr>
        <w:tc>
          <w:tcPr>
            <w:tcW w:w="1129" w:type="dxa"/>
            <w:vMerge/>
            <w:tcMar>
              <w:top w:w="80" w:type="dxa"/>
              <w:left w:w="100" w:type="dxa"/>
              <w:bottom w:w="80" w:type="dxa"/>
              <w:right w:w="100" w:type="dxa"/>
            </w:tcMar>
            <w:vAlign w:val="center"/>
          </w:tcPr>
          <w:p w14:paraId="2B32C562"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55CB1B30" w14:textId="77777777" w:rsidR="00945112" w:rsidRPr="00AE7AE9" w:rsidRDefault="00945112" w:rsidP="00FA2E9C">
            <w:pPr>
              <w:rPr>
                <w:rFonts w:ascii="Arial" w:hAnsi="Arial" w:cs="Arial"/>
              </w:rPr>
            </w:pPr>
            <w:r w:rsidRPr="00AE7AE9">
              <w:rPr>
                <w:rFonts w:ascii="Arial" w:hAnsi="Arial" w:cs="Arial"/>
              </w:rPr>
              <w:t>Number of feeding arteries</w:t>
            </w:r>
          </w:p>
        </w:tc>
        <w:tc>
          <w:tcPr>
            <w:tcW w:w="4252" w:type="dxa"/>
            <w:tcMar>
              <w:top w:w="80" w:type="dxa"/>
              <w:left w:w="100" w:type="dxa"/>
              <w:bottom w:w="80" w:type="dxa"/>
              <w:right w:w="100" w:type="dxa"/>
            </w:tcMar>
            <w:vAlign w:val="center"/>
          </w:tcPr>
          <w:p w14:paraId="6BDEF16D" w14:textId="77777777" w:rsidR="00945112" w:rsidRPr="00AE7AE9" w:rsidRDefault="00945112" w:rsidP="00FA2E9C">
            <w:pPr>
              <w:jc w:val="center"/>
              <w:rPr>
                <w:rFonts w:ascii="Arial" w:hAnsi="Arial" w:cs="Arial"/>
              </w:rPr>
            </w:pPr>
            <w:r w:rsidRPr="00AE7AE9">
              <w:rPr>
                <w:rFonts w:ascii="Arial" w:hAnsi="Arial" w:cs="Arial"/>
              </w:rPr>
              <w:t>2.421</w:t>
            </w:r>
          </w:p>
        </w:tc>
      </w:tr>
      <w:tr w:rsidR="00945112" w:rsidRPr="00AE7AE9" w14:paraId="5D65FA60" w14:textId="77777777" w:rsidTr="00945112">
        <w:trPr>
          <w:jc w:val="center"/>
        </w:trPr>
        <w:tc>
          <w:tcPr>
            <w:tcW w:w="1129" w:type="dxa"/>
            <w:vMerge/>
            <w:tcMar>
              <w:top w:w="80" w:type="dxa"/>
              <w:left w:w="100" w:type="dxa"/>
              <w:bottom w:w="80" w:type="dxa"/>
              <w:right w:w="100" w:type="dxa"/>
            </w:tcMar>
            <w:vAlign w:val="center"/>
          </w:tcPr>
          <w:p w14:paraId="43B3A583"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5DE17292" w14:textId="77777777" w:rsidR="00945112" w:rsidRPr="00AE7AE9" w:rsidRDefault="00945112" w:rsidP="00FA2E9C">
            <w:pPr>
              <w:rPr>
                <w:rFonts w:ascii="Arial" w:hAnsi="Arial" w:cs="Arial"/>
              </w:rPr>
            </w:pPr>
            <w:r w:rsidRPr="00AE7AE9">
              <w:rPr>
                <w:rFonts w:ascii="Arial" w:hAnsi="Arial" w:cs="Arial"/>
              </w:rPr>
              <w:t>Number of fusions</w:t>
            </w:r>
          </w:p>
        </w:tc>
        <w:tc>
          <w:tcPr>
            <w:tcW w:w="4252" w:type="dxa"/>
            <w:tcMar>
              <w:top w:w="80" w:type="dxa"/>
              <w:left w:w="100" w:type="dxa"/>
              <w:bottom w:w="80" w:type="dxa"/>
              <w:right w:w="100" w:type="dxa"/>
            </w:tcMar>
            <w:vAlign w:val="center"/>
          </w:tcPr>
          <w:p w14:paraId="2CF53F08" w14:textId="77777777" w:rsidR="00945112" w:rsidRPr="00AE7AE9" w:rsidRDefault="00945112" w:rsidP="00FA2E9C">
            <w:pPr>
              <w:jc w:val="center"/>
              <w:rPr>
                <w:rFonts w:ascii="Arial" w:hAnsi="Arial" w:cs="Arial"/>
              </w:rPr>
            </w:pPr>
            <w:r w:rsidRPr="00AE7AE9">
              <w:rPr>
                <w:rFonts w:ascii="Arial" w:hAnsi="Arial" w:cs="Arial"/>
              </w:rPr>
              <w:t>2.402</w:t>
            </w:r>
          </w:p>
        </w:tc>
      </w:tr>
      <w:tr w:rsidR="00945112" w:rsidRPr="00AE7AE9" w14:paraId="7E4C6106" w14:textId="77777777" w:rsidTr="00945112">
        <w:trPr>
          <w:jc w:val="center"/>
        </w:trPr>
        <w:tc>
          <w:tcPr>
            <w:tcW w:w="1129" w:type="dxa"/>
            <w:vMerge/>
            <w:tcMar>
              <w:top w:w="80" w:type="dxa"/>
              <w:left w:w="100" w:type="dxa"/>
              <w:bottom w:w="80" w:type="dxa"/>
              <w:right w:w="100" w:type="dxa"/>
            </w:tcMar>
            <w:vAlign w:val="center"/>
          </w:tcPr>
          <w:p w14:paraId="2C4312C3"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24338D2C" w14:textId="77777777" w:rsidR="00945112" w:rsidRPr="00AE7AE9" w:rsidRDefault="00945112" w:rsidP="00FA2E9C">
            <w:pPr>
              <w:rPr>
                <w:rFonts w:ascii="Arial" w:hAnsi="Arial" w:cs="Arial"/>
              </w:rPr>
            </w:pPr>
            <w:r w:rsidRPr="00AE7AE9">
              <w:rPr>
                <w:rFonts w:ascii="Arial" w:hAnsi="Arial" w:cs="Arial"/>
              </w:rPr>
              <w:t>Number of segmented vessels</w:t>
            </w:r>
          </w:p>
        </w:tc>
        <w:tc>
          <w:tcPr>
            <w:tcW w:w="4252" w:type="dxa"/>
            <w:tcMar>
              <w:top w:w="80" w:type="dxa"/>
              <w:left w:w="100" w:type="dxa"/>
              <w:bottom w:w="80" w:type="dxa"/>
              <w:right w:w="100" w:type="dxa"/>
            </w:tcMar>
            <w:vAlign w:val="center"/>
          </w:tcPr>
          <w:p w14:paraId="68BB8BA7" w14:textId="77777777" w:rsidR="00945112" w:rsidRPr="00AE7AE9" w:rsidRDefault="00945112" w:rsidP="00FA2E9C">
            <w:pPr>
              <w:jc w:val="center"/>
              <w:rPr>
                <w:rFonts w:ascii="Arial" w:hAnsi="Arial" w:cs="Arial"/>
              </w:rPr>
            </w:pPr>
            <w:r w:rsidRPr="00AE7AE9">
              <w:rPr>
                <w:rFonts w:ascii="Arial" w:hAnsi="Arial" w:cs="Arial"/>
              </w:rPr>
              <w:t>1.732</w:t>
            </w:r>
          </w:p>
        </w:tc>
      </w:tr>
      <w:tr w:rsidR="00945112" w:rsidRPr="00AE7AE9" w14:paraId="20007547" w14:textId="77777777" w:rsidTr="00945112">
        <w:trPr>
          <w:jc w:val="center"/>
        </w:trPr>
        <w:tc>
          <w:tcPr>
            <w:tcW w:w="1129" w:type="dxa"/>
            <w:vMerge/>
            <w:tcMar>
              <w:top w:w="80" w:type="dxa"/>
              <w:left w:w="100" w:type="dxa"/>
              <w:bottom w:w="80" w:type="dxa"/>
              <w:right w:w="100" w:type="dxa"/>
            </w:tcMar>
            <w:vAlign w:val="center"/>
          </w:tcPr>
          <w:p w14:paraId="53331572"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69CA9067" w14:textId="77777777" w:rsidR="00945112" w:rsidRPr="00AE7AE9" w:rsidRDefault="00945112" w:rsidP="00FA2E9C">
            <w:pPr>
              <w:rPr>
                <w:rFonts w:ascii="Arial" w:hAnsi="Arial" w:cs="Arial"/>
              </w:rPr>
            </w:pPr>
            <w:r w:rsidRPr="00AE7AE9">
              <w:rPr>
                <w:rFonts w:ascii="Arial" w:hAnsi="Arial" w:cs="Arial"/>
              </w:rPr>
              <w:t>Number of draining veins</w:t>
            </w:r>
          </w:p>
        </w:tc>
        <w:tc>
          <w:tcPr>
            <w:tcW w:w="4252" w:type="dxa"/>
            <w:tcMar>
              <w:top w:w="80" w:type="dxa"/>
              <w:left w:w="100" w:type="dxa"/>
              <w:bottom w:w="80" w:type="dxa"/>
              <w:right w:w="100" w:type="dxa"/>
            </w:tcMar>
            <w:vAlign w:val="center"/>
          </w:tcPr>
          <w:p w14:paraId="1B129F07" w14:textId="77777777" w:rsidR="00945112" w:rsidRPr="00AE7AE9" w:rsidRDefault="00945112" w:rsidP="00FA2E9C">
            <w:pPr>
              <w:jc w:val="center"/>
              <w:rPr>
                <w:rFonts w:ascii="Arial" w:hAnsi="Arial" w:cs="Arial"/>
              </w:rPr>
            </w:pPr>
            <w:r w:rsidRPr="00AE7AE9">
              <w:rPr>
                <w:rFonts w:ascii="Arial" w:hAnsi="Arial" w:cs="Arial"/>
              </w:rPr>
              <w:t>1.642</w:t>
            </w:r>
          </w:p>
        </w:tc>
      </w:tr>
      <w:tr w:rsidR="00945112" w:rsidRPr="00AE7AE9" w14:paraId="167920E7" w14:textId="77777777" w:rsidTr="00945112">
        <w:trPr>
          <w:jc w:val="center"/>
        </w:trPr>
        <w:tc>
          <w:tcPr>
            <w:tcW w:w="1129" w:type="dxa"/>
            <w:vMerge/>
            <w:tcMar>
              <w:top w:w="80" w:type="dxa"/>
              <w:left w:w="100" w:type="dxa"/>
              <w:bottom w:w="80" w:type="dxa"/>
              <w:right w:w="100" w:type="dxa"/>
            </w:tcMar>
            <w:vAlign w:val="center"/>
          </w:tcPr>
          <w:p w14:paraId="4C9FE980"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2DCDC2FF" w14:textId="77777777" w:rsidR="00945112" w:rsidRPr="00AE7AE9" w:rsidRDefault="00945112" w:rsidP="00FA2E9C">
            <w:pPr>
              <w:rPr>
                <w:rFonts w:ascii="Arial" w:hAnsi="Arial" w:cs="Arial"/>
              </w:rPr>
            </w:pPr>
            <w:r w:rsidRPr="00AE7AE9">
              <w:rPr>
                <w:rFonts w:ascii="Arial" w:hAnsi="Arial" w:cs="Arial"/>
              </w:rPr>
              <w:t>Lesion grade</w:t>
            </w:r>
          </w:p>
        </w:tc>
        <w:tc>
          <w:tcPr>
            <w:tcW w:w="4252" w:type="dxa"/>
            <w:tcMar>
              <w:top w:w="80" w:type="dxa"/>
              <w:left w:w="100" w:type="dxa"/>
              <w:bottom w:w="80" w:type="dxa"/>
              <w:right w:w="100" w:type="dxa"/>
            </w:tcMar>
            <w:vAlign w:val="center"/>
          </w:tcPr>
          <w:p w14:paraId="49BE6EE7" w14:textId="77777777" w:rsidR="00945112" w:rsidRPr="00AE7AE9" w:rsidRDefault="00945112" w:rsidP="00FA2E9C">
            <w:pPr>
              <w:jc w:val="center"/>
              <w:rPr>
                <w:rFonts w:ascii="Arial" w:hAnsi="Arial" w:cs="Arial"/>
              </w:rPr>
            </w:pPr>
            <w:r w:rsidRPr="00AE7AE9">
              <w:rPr>
                <w:rFonts w:ascii="Arial" w:hAnsi="Arial" w:cs="Arial"/>
              </w:rPr>
              <w:t>1.469</w:t>
            </w:r>
          </w:p>
        </w:tc>
      </w:tr>
      <w:tr w:rsidR="00945112" w:rsidRPr="00AE7AE9" w14:paraId="13CA5B75" w14:textId="77777777" w:rsidTr="00945112">
        <w:trPr>
          <w:jc w:val="center"/>
        </w:trPr>
        <w:tc>
          <w:tcPr>
            <w:tcW w:w="1129" w:type="dxa"/>
            <w:vMerge/>
            <w:tcMar>
              <w:top w:w="80" w:type="dxa"/>
              <w:left w:w="100" w:type="dxa"/>
              <w:bottom w:w="80" w:type="dxa"/>
              <w:right w:w="100" w:type="dxa"/>
            </w:tcMar>
            <w:vAlign w:val="center"/>
          </w:tcPr>
          <w:p w14:paraId="3FEFF55E"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73A4DA82" w14:textId="77777777" w:rsidR="00945112" w:rsidRPr="00AE7AE9" w:rsidRDefault="00945112" w:rsidP="00FA2E9C">
            <w:pPr>
              <w:rPr>
                <w:rFonts w:ascii="Arial" w:hAnsi="Arial" w:cs="Arial"/>
              </w:rPr>
            </w:pPr>
            <w:r w:rsidRPr="00AE7AE9">
              <w:rPr>
                <w:rFonts w:ascii="Arial" w:hAnsi="Arial" w:cs="Arial"/>
              </w:rPr>
              <w:t xml:space="preserve">Presence of </w:t>
            </w:r>
            <w:proofErr w:type="spellStart"/>
            <w:r w:rsidRPr="00AE7AE9">
              <w:rPr>
                <w:rFonts w:ascii="Arial" w:hAnsi="Arial" w:cs="Arial"/>
              </w:rPr>
              <w:t>microfeeders</w:t>
            </w:r>
            <w:proofErr w:type="spellEnd"/>
          </w:p>
        </w:tc>
        <w:tc>
          <w:tcPr>
            <w:tcW w:w="4252" w:type="dxa"/>
            <w:tcMar>
              <w:top w:w="80" w:type="dxa"/>
              <w:left w:w="100" w:type="dxa"/>
              <w:bottom w:w="80" w:type="dxa"/>
              <w:right w:w="100" w:type="dxa"/>
            </w:tcMar>
            <w:vAlign w:val="center"/>
          </w:tcPr>
          <w:p w14:paraId="165F9262" w14:textId="77777777" w:rsidR="00945112" w:rsidRPr="00AE7AE9" w:rsidRDefault="00945112" w:rsidP="00FA2E9C">
            <w:pPr>
              <w:jc w:val="center"/>
              <w:rPr>
                <w:rFonts w:ascii="Arial" w:hAnsi="Arial" w:cs="Arial"/>
              </w:rPr>
            </w:pPr>
            <w:r w:rsidRPr="00AE7AE9">
              <w:rPr>
                <w:rFonts w:ascii="Arial" w:hAnsi="Arial" w:cs="Arial"/>
              </w:rPr>
              <w:t>1.272</w:t>
            </w:r>
          </w:p>
        </w:tc>
      </w:tr>
      <w:tr w:rsidR="00945112" w:rsidRPr="00AE7AE9" w14:paraId="47D566ED" w14:textId="77777777" w:rsidTr="00096C22">
        <w:trPr>
          <w:jc w:val="center"/>
        </w:trPr>
        <w:tc>
          <w:tcPr>
            <w:tcW w:w="9209" w:type="dxa"/>
            <w:gridSpan w:val="3"/>
            <w:tcMar>
              <w:top w:w="80" w:type="dxa"/>
              <w:left w:w="100" w:type="dxa"/>
              <w:bottom w:w="80" w:type="dxa"/>
              <w:right w:w="100" w:type="dxa"/>
            </w:tcMar>
            <w:vAlign w:val="center"/>
          </w:tcPr>
          <w:p w14:paraId="06D8D7A4" w14:textId="77777777" w:rsidR="00945112" w:rsidRPr="00AE7AE9" w:rsidRDefault="00945112" w:rsidP="00FA2E9C">
            <w:pPr>
              <w:jc w:val="center"/>
              <w:rPr>
                <w:rFonts w:ascii="Arial" w:hAnsi="Arial" w:cs="Arial"/>
              </w:rPr>
            </w:pPr>
          </w:p>
        </w:tc>
      </w:tr>
      <w:tr w:rsidR="00945112" w:rsidRPr="00AE7AE9" w14:paraId="359EAF3D" w14:textId="77777777" w:rsidTr="00945112">
        <w:trPr>
          <w:jc w:val="center"/>
        </w:trPr>
        <w:tc>
          <w:tcPr>
            <w:tcW w:w="1129" w:type="dxa"/>
            <w:vMerge w:val="restart"/>
            <w:tcMar>
              <w:top w:w="80" w:type="dxa"/>
              <w:left w:w="100" w:type="dxa"/>
              <w:bottom w:w="80" w:type="dxa"/>
              <w:right w:w="100" w:type="dxa"/>
            </w:tcMar>
            <w:textDirection w:val="btLr"/>
            <w:vAlign w:val="center"/>
          </w:tcPr>
          <w:p w14:paraId="5523497B" w14:textId="07B6ABD0" w:rsidR="00945112" w:rsidRPr="00AE7AE9" w:rsidRDefault="00945112" w:rsidP="00945112">
            <w:pPr>
              <w:ind w:left="113" w:right="113"/>
              <w:jc w:val="center"/>
              <w:rPr>
                <w:rFonts w:ascii="Arial" w:hAnsi="Arial" w:cs="Arial"/>
              </w:rPr>
            </w:pPr>
            <w:r w:rsidRPr="00AE7AE9">
              <w:rPr>
                <w:rFonts w:ascii="Arial" w:hAnsi="Arial" w:cs="Arial"/>
                <w:b/>
              </w:rPr>
              <w:t>Segmentation time</w:t>
            </w:r>
          </w:p>
        </w:tc>
        <w:tc>
          <w:tcPr>
            <w:tcW w:w="3828" w:type="dxa"/>
            <w:tcMar>
              <w:top w:w="80" w:type="dxa"/>
              <w:left w:w="100" w:type="dxa"/>
              <w:bottom w:w="80" w:type="dxa"/>
              <w:right w:w="100" w:type="dxa"/>
            </w:tcMar>
            <w:vAlign w:val="center"/>
          </w:tcPr>
          <w:p w14:paraId="45C6D371" w14:textId="77777777" w:rsidR="00945112" w:rsidRPr="00AE7AE9" w:rsidRDefault="00945112" w:rsidP="00945112">
            <w:pPr>
              <w:jc w:val="center"/>
              <w:rPr>
                <w:rFonts w:ascii="Arial" w:hAnsi="Arial" w:cs="Arial"/>
              </w:rPr>
            </w:pPr>
            <w:r w:rsidRPr="00AE7AE9">
              <w:rPr>
                <w:rFonts w:ascii="Arial" w:hAnsi="Arial" w:cs="Arial"/>
              </w:rPr>
              <w:t>Nidus size (imputed)</w:t>
            </w:r>
          </w:p>
        </w:tc>
        <w:tc>
          <w:tcPr>
            <w:tcW w:w="4252" w:type="dxa"/>
            <w:tcMar>
              <w:top w:w="80" w:type="dxa"/>
              <w:left w:w="100" w:type="dxa"/>
              <w:bottom w:w="80" w:type="dxa"/>
              <w:right w:w="100" w:type="dxa"/>
            </w:tcMar>
            <w:vAlign w:val="center"/>
          </w:tcPr>
          <w:p w14:paraId="77AA7522" w14:textId="77777777" w:rsidR="00945112" w:rsidRPr="00AE7AE9" w:rsidRDefault="00945112" w:rsidP="00FA2E9C">
            <w:pPr>
              <w:jc w:val="center"/>
              <w:rPr>
                <w:rFonts w:ascii="Arial" w:hAnsi="Arial" w:cs="Arial"/>
              </w:rPr>
            </w:pPr>
            <w:r w:rsidRPr="00AE7AE9">
              <w:rPr>
                <w:rFonts w:ascii="Arial" w:hAnsi="Arial" w:cs="Arial"/>
              </w:rPr>
              <w:t>5.071</w:t>
            </w:r>
          </w:p>
        </w:tc>
      </w:tr>
      <w:tr w:rsidR="00945112" w:rsidRPr="00AE7AE9" w14:paraId="3FBBFFBA" w14:textId="77777777" w:rsidTr="00945112">
        <w:trPr>
          <w:jc w:val="center"/>
        </w:trPr>
        <w:tc>
          <w:tcPr>
            <w:tcW w:w="1129" w:type="dxa"/>
            <w:vMerge/>
            <w:tcMar>
              <w:top w:w="80" w:type="dxa"/>
              <w:left w:w="100" w:type="dxa"/>
              <w:bottom w:w="80" w:type="dxa"/>
              <w:right w:w="100" w:type="dxa"/>
            </w:tcMar>
            <w:vAlign w:val="center"/>
          </w:tcPr>
          <w:p w14:paraId="23B57940"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03F947AC" w14:textId="77777777" w:rsidR="00945112" w:rsidRPr="00AE7AE9" w:rsidRDefault="00945112" w:rsidP="00FA2E9C">
            <w:pPr>
              <w:rPr>
                <w:rFonts w:ascii="Arial" w:hAnsi="Arial" w:cs="Arial"/>
              </w:rPr>
            </w:pPr>
            <w:r w:rsidRPr="00AE7AE9">
              <w:rPr>
                <w:rFonts w:ascii="Arial" w:hAnsi="Arial" w:cs="Arial"/>
              </w:rPr>
              <w:t>Nidus size not applicable (</w:t>
            </w:r>
            <w:proofErr w:type="spellStart"/>
            <w:r w:rsidRPr="00AE7AE9">
              <w:rPr>
                <w:rFonts w:ascii="Arial" w:hAnsi="Arial" w:cs="Arial"/>
              </w:rPr>
              <w:t>dAVF</w:t>
            </w:r>
            <w:proofErr w:type="spellEnd"/>
            <w:r w:rsidRPr="00AE7AE9">
              <w:rPr>
                <w:rFonts w:ascii="Arial" w:hAnsi="Arial" w:cs="Arial"/>
              </w:rPr>
              <w:t>)</w:t>
            </w:r>
          </w:p>
        </w:tc>
        <w:tc>
          <w:tcPr>
            <w:tcW w:w="4252" w:type="dxa"/>
            <w:tcMar>
              <w:top w:w="80" w:type="dxa"/>
              <w:left w:w="100" w:type="dxa"/>
              <w:bottom w:w="80" w:type="dxa"/>
              <w:right w:w="100" w:type="dxa"/>
            </w:tcMar>
            <w:vAlign w:val="center"/>
          </w:tcPr>
          <w:p w14:paraId="0D3F4689" w14:textId="77777777" w:rsidR="00945112" w:rsidRPr="00AE7AE9" w:rsidRDefault="00945112" w:rsidP="00FA2E9C">
            <w:pPr>
              <w:jc w:val="center"/>
              <w:rPr>
                <w:rFonts w:ascii="Arial" w:hAnsi="Arial" w:cs="Arial"/>
              </w:rPr>
            </w:pPr>
            <w:r w:rsidRPr="00AE7AE9">
              <w:rPr>
                <w:rFonts w:ascii="Arial" w:hAnsi="Arial" w:cs="Arial"/>
              </w:rPr>
              <w:t>4.328</w:t>
            </w:r>
          </w:p>
        </w:tc>
      </w:tr>
      <w:tr w:rsidR="00945112" w:rsidRPr="00AE7AE9" w14:paraId="7FB1EEF8" w14:textId="77777777" w:rsidTr="00945112">
        <w:trPr>
          <w:jc w:val="center"/>
        </w:trPr>
        <w:tc>
          <w:tcPr>
            <w:tcW w:w="1129" w:type="dxa"/>
            <w:vMerge/>
            <w:tcMar>
              <w:top w:w="80" w:type="dxa"/>
              <w:left w:w="100" w:type="dxa"/>
              <w:bottom w:w="80" w:type="dxa"/>
              <w:right w:w="100" w:type="dxa"/>
            </w:tcMar>
            <w:vAlign w:val="center"/>
          </w:tcPr>
          <w:p w14:paraId="2A4E58AA"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1AAC4049" w14:textId="77777777" w:rsidR="00945112" w:rsidRPr="00AE7AE9" w:rsidRDefault="00945112" w:rsidP="00FA2E9C">
            <w:pPr>
              <w:rPr>
                <w:rFonts w:ascii="Arial" w:hAnsi="Arial" w:cs="Arial"/>
              </w:rPr>
            </w:pPr>
            <w:r w:rsidRPr="00AE7AE9">
              <w:rPr>
                <w:rFonts w:ascii="Arial" w:hAnsi="Arial" w:cs="Arial"/>
              </w:rPr>
              <w:t>Number of segmented vessels</w:t>
            </w:r>
          </w:p>
        </w:tc>
        <w:tc>
          <w:tcPr>
            <w:tcW w:w="4252" w:type="dxa"/>
            <w:tcMar>
              <w:top w:w="80" w:type="dxa"/>
              <w:left w:w="100" w:type="dxa"/>
              <w:bottom w:w="80" w:type="dxa"/>
              <w:right w:w="100" w:type="dxa"/>
            </w:tcMar>
            <w:vAlign w:val="center"/>
          </w:tcPr>
          <w:p w14:paraId="5D2AF1C8" w14:textId="77777777" w:rsidR="00945112" w:rsidRPr="00AE7AE9" w:rsidRDefault="00945112" w:rsidP="00FA2E9C">
            <w:pPr>
              <w:jc w:val="center"/>
              <w:rPr>
                <w:rFonts w:ascii="Arial" w:hAnsi="Arial" w:cs="Arial"/>
              </w:rPr>
            </w:pPr>
            <w:r w:rsidRPr="00AE7AE9">
              <w:rPr>
                <w:rFonts w:ascii="Arial" w:hAnsi="Arial" w:cs="Arial"/>
              </w:rPr>
              <w:t>1.437</w:t>
            </w:r>
          </w:p>
        </w:tc>
      </w:tr>
      <w:tr w:rsidR="00945112" w:rsidRPr="00AE7AE9" w14:paraId="0494DC2E" w14:textId="77777777" w:rsidTr="00945112">
        <w:trPr>
          <w:jc w:val="center"/>
        </w:trPr>
        <w:tc>
          <w:tcPr>
            <w:tcW w:w="1129" w:type="dxa"/>
            <w:vMerge/>
            <w:tcMar>
              <w:top w:w="80" w:type="dxa"/>
              <w:left w:w="100" w:type="dxa"/>
              <w:bottom w:w="80" w:type="dxa"/>
              <w:right w:w="100" w:type="dxa"/>
            </w:tcMar>
            <w:vAlign w:val="center"/>
          </w:tcPr>
          <w:p w14:paraId="68298CE3"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1D0ED6C7" w14:textId="77777777" w:rsidR="00945112" w:rsidRPr="00AE7AE9" w:rsidRDefault="00945112" w:rsidP="00FA2E9C">
            <w:pPr>
              <w:rPr>
                <w:rFonts w:ascii="Arial" w:hAnsi="Arial" w:cs="Arial"/>
              </w:rPr>
            </w:pPr>
            <w:r w:rsidRPr="00AE7AE9">
              <w:rPr>
                <w:rFonts w:ascii="Arial" w:hAnsi="Arial" w:cs="Arial"/>
              </w:rPr>
              <w:t>Experience</w:t>
            </w:r>
          </w:p>
        </w:tc>
        <w:tc>
          <w:tcPr>
            <w:tcW w:w="4252" w:type="dxa"/>
            <w:tcMar>
              <w:top w:w="80" w:type="dxa"/>
              <w:left w:w="100" w:type="dxa"/>
              <w:bottom w:w="80" w:type="dxa"/>
              <w:right w:w="100" w:type="dxa"/>
            </w:tcMar>
            <w:vAlign w:val="center"/>
          </w:tcPr>
          <w:p w14:paraId="5D5262DD" w14:textId="77777777" w:rsidR="00945112" w:rsidRPr="00AE7AE9" w:rsidRDefault="00945112" w:rsidP="00FA2E9C">
            <w:pPr>
              <w:jc w:val="center"/>
              <w:rPr>
                <w:rFonts w:ascii="Arial" w:hAnsi="Arial" w:cs="Arial"/>
              </w:rPr>
            </w:pPr>
            <w:r w:rsidRPr="00AE7AE9">
              <w:rPr>
                <w:rFonts w:ascii="Arial" w:hAnsi="Arial" w:cs="Arial"/>
              </w:rPr>
              <w:t>1.348</w:t>
            </w:r>
          </w:p>
        </w:tc>
      </w:tr>
      <w:tr w:rsidR="00945112" w:rsidRPr="00AE7AE9" w14:paraId="0285BA87" w14:textId="77777777" w:rsidTr="00945112">
        <w:trPr>
          <w:jc w:val="center"/>
        </w:trPr>
        <w:tc>
          <w:tcPr>
            <w:tcW w:w="1129" w:type="dxa"/>
            <w:vMerge/>
            <w:tcMar>
              <w:top w:w="80" w:type="dxa"/>
              <w:left w:w="100" w:type="dxa"/>
              <w:bottom w:w="80" w:type="dxa"/>
              <w:right w:w="100" w:type="dxa"/>
            </w:tcMar>
            <w:vAlign w:val="center"/>
          </w:tcPr>
          <w:p w14:paraId="5DCF7A98"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7B9F07A9" w14:textId="77777777" w:rsidR="00945112" w:rsidRPr="00AE7AE9" w:rsidRDefault="00945112" w:rsidP="00FA2E9C">
            <w:pPr>
              <w:rPr>
                <w:rFonts w:ascii="Arial" w:hAnsi="Arial" w:cs="Arial"/>
              </w:rPr>
            </w:pPr>
            <w:r w:rsidRPr="00AE7AE9">
              <w:rPr>
                <w:rFonts w:ascii="Arial" w:hAnsi="Arial" w:cs="Arial"/>
              </w:rPr>
              <w:t>Lesion grade</w:t>
            </w:r>
          </w:p>
        </w:tc>
        <w:tc>
          <w:tcPr>
            <w:tcW w:w="4252" w:type="dxa"/>
            <w:tcMar>
              <w:top w:w="80" w:type="dxa"/>
              <w:left w:w="100" w:type="dxa"/>
              <w:bottom w:w="80" w:type="dxa"/>
              <w:right w:w="100" w:type="dxa"/>
            </w:tcMar>
            <w:vAlign w:val="center"/>
          </w:tcPr>
          <w:p w14:paraId="1EF5D48F" w14:textId="77777777" w:rsidR="00945112" w:rsidRPr="00AE7AE9" w:rsidRDefault="00945112" w:rsidP="00FA2E9C">
            <w:pPr>
              <w:jc w:val="center"/>
              <w:rPr>
                <w:rFonts w:ascii="Arial" w:hAnsi="Arial" w:cs="Arial"/>
              </w:rPr>
            </w:pPr>
            <w:r w:rsidRPr="00AE7AE9">
              <w:rPr>
                <w:rFonts w:ascii="Arial" w:hAnsi="Arial" w:cs="Arial"/>
              </w:rPr>
              <w:t>1.318</w:t>
            </w:r>
          </w:p>
        </w:tc>
      </w:tr>
      <w:tr w:rsidR="00945112" w:rsidRPr="00AE7AE9" w14:paraId="009DDFDA" w14:textId="77777777" w:rsidTr="00945112">
        <w:trPr>
          <w:jc w:val="center"/>
        </w:trPr>
        <w:tc>
          <w:tcPr>
            <w:tcW w:w="1129" w:type="dxa"/>
            <w:vMerge/>
            <w:tcMar>
              <w:top w:w="80" w:type="dxa"/>
              <w:left w:w="100" w:type="dxa"/>
              <w:bottom w:w="80" w:type="dxa"/>
              <w:right w:w="100" w:type="dxa"/>
            </w:tcMar>
            <w:vAlign w:val="center"/>
          </w:tcPr>
          <w:p w14:paraId="5F518B4F"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565A2D5E" w14:textId="77777777" w:rsidR="00945112" w:rsidRPr="00AE7AE9" w:rsidRDefault="00945112" w:rsidP="00FA2E9C">
            <w:pPr>
              <w:rPr>
                <w:rFonts w:ascii="Arial" w:hAnsi="Arial" w:cs="Arial"/>
              </w:rPr>
            </w:pPr>
            <w:r w:rsidRPr="00AE7AE9">
              <w:rPr>
                <w:rFonts w:ascii="Arial" w:hAnsi="Arial" w:cs="Arial"/>
              </w:rPr>
              <w:t xml:space="preserve">Presence of </w:t>
            </w:r>
            <w:proofErr w:type="spellStart"/>
            <w:r w:rsidRPr="00AE7AE9">
              <w:rPr>
                <w:rFonts w:ascii="Arial" w:hAnsi="Arial" w:cs="Arial"/>
              </w:rPr>
              <w:t>microfeeders</w:t>
            </w:r>
            <w:proofErr w:type="spellEnd"/>
          </w:p>
        </w:tc>
        <w:tc>
          <w:tcPr>
            <w:tcW w:w="4252" w:type="dxa"/>
            <w:tcMar>
              <w:top w:w="80" w:type="dxa"/>
              <w:left w:w="100" w:type="dxa"/>
              <w:bottom w:w="80" w:type="dxa"/>
              <w:right w:w="100" w:type="dxa"/>
            </w:tcMar>
            <w:vAlign w:val="center"/>
          </w:tcPr>
          <w:p w14:paraId="5C8B4D8F" w14:textId="77777777" w:rsidR="00945112" w:rsidRPr="00AE7AE9" w:rsidRDefault="00945112" w:rsidP="00FA2E9C">
            <w:pPr>
              <w:jc w:val="center"/>
              <w:rPr>
                <w:rFonts w:ascii="Arial" w:hAnsi="Arial" w:cs="Arial"/>
              </w:rPr>
            </w:pPr>
            <w:r w:rsidRPr="00AE7AE9">
              <w:rPr>
                <w:rFonts w:ascii="Arial" w:hAnsi="Arial" w:cs="Arial"/>
              </w:rPr>
              <w:t>1.238</w:t>
            </w:r>
          </w:p>
        </w:tc>
      </w:tr>
      <w:tr w:rsidR="00945112" w:rsidRPr="00AE7AE9" w14:paraId="3A2ADD1C" w14:textId="77777777" w:rsidTr="000401DB">
        <w:trPr>
          <w:jc w:val="center"/>
        </w:trPr>
        <w:tc>
          <w:tcPr>
            <w:tcW w:w="9209" w:type="dxa"/>
            <w:gridSpan w:val="3"/>
            <w:tcMar>
              <w:top w:w="80" w:type="dxa"/>
              <w:left w:w="100" w:type="dxa"/>
              <w:bottom w:w="80" w:type="dxa"/>
              <w:right w:w="100" w:type="dxa"/>
            </w:tcMar>
            <w:vAlign w:val="center"/>
          </w:tcPr>
          <w:p w14:paraId="3880A446" w14:textId="77777777" w:rsidR="00945112" w:rsidRPr="00AE7AE9" w:rsidRDefault="00945112" w:rsidP="00FA2E9C">
            <w:pPr>
              <w:jc w:val="center"/>
              <w:rPr>
                <w:rFonts w:ascii="Arial" w:hAnsi="Arial" w:cs="Arial"/>
              </w:rPr>
            </w:pPr>
          </w:p>
        </w:tc>
      </w:tr>
      <w:tr w:rsidR="00945112" w:rsidRPr="00AE7AE9" w14:paraId="3B34BAD1" w14:textId="77777777" w:rsidTr="00945112">
        <w:trPr>
          <w:jc w:val="center"/>
        </w:trPr>
        <w:tc>
          <w:tcPr>
            <w:tcW w:w="1129" w:type="dxa"/>
            <w:vMerge w:val="restart"/>
            <w:tcMar>
              <w:top w:w="80" w:type="dxa"/>
              <w:left w:w="100" w:type="dxa"/>
              <w:bottom w:w="80" w:type="dxa"/>
              <w:right w:w="100" w:type="dxa"/>
            </w:tcMar>
            <w:textDirection w:val="btLr"/>
            <w:vAlign w:val="center"/>
          </w:tcPr>
          <w:p w14:paraId="43A16CE9" w14:textId="05EA0695" w:rsidR="00945112" w:rsidRPr="00AE7AE9" w:rsidRDefault="00945112" w:rsidP="00945112">
            <w:pPr>
              <w:ind w:left="113" w:right="113"/>
              <w:jc w:val="center"/>
              <w:rPr>
                <w:rFonts w:ascii="Arial" w:hAnsi="Arial" w:cs="Arial"/>
              </w:rPr>
            </w:pPr>
            <w:r w:rsidRPr="00AE7AE9">
              <w:rPr>
                <w:rFonts w:ascii="Arial" w:hAnsi="Arial" w:cs="Arial"/>
                <w:b/>
              </w:rPr>
              <w:t>Fusion time</w:t>
            </w:r>
          </w:p>
        </w:tc>
        <w:tc>
          <w:tcPr>
            <w:tcW w:w="3828" w:type="dxa"/>
            <w:tcMar>
              <w:top w:w="80" w:type="dxa"/>
              <w:left w:w="100" w:type="dxa"/>
              <w:bottom w:w="80" w:type="dxa"/>
              <w:right w:w="100" w:type="dxa"/>
            </w:tcMar>
            <w:vAlign w:val="center"/>
          </w:tcPr>
          <w:p w14:paraId="22DC01C3" w14:textId="77777777" w:rsidR="00945112" w:rsidRPr="00AE7AE9" w:rsidRDefault="00945112" w:rsidP="00945112">
            <w:pPr>
              <w:jc w:val="center"/>
              <w:rPr>
                <w:rFonts w:ascii="Arial" w:hAnsi="Arial" w:cs="Arial"/>
              </w:rPr>
            </w:pPr>
            <w:r w:rsidRPr="00AE7AE9">
              <w:rPr>
                <w:rFonts w:ascii="Arial" w:hAnsi="Arial" w:cs="Arial"/>
              </w:rPr>
              <w:t xml:space="preserve">Presence of </w:t>
            </w:r>
            <w:proofErr w:type="spellStart"/>
            <w:r w:rsidRPr="00AE7AE9">
              <w:rPr>
                <w:rFonts w:ascii="Arial" w:hAnsi="Arial" w:cs="Arial"/>
              </w:rPr>
              <w:t>microfeeders</w:t>
            </w:r>
            <w:proofErr w:type="spellEnd"/>
          </w:p>
        </w:tc>
        <w:tc>
          <w:tcPr>
            <w:tcW w:w="4252" w:type="dxa"/>
            <w:tcMar>
              <w:top w:w="80" w:type="dxa"/>
              <w:left w:w="100" w:type="dxa"/>
              <w:bottom w:w="80" w:type="dxa"/>
              <w:right w:w="100" w:type="dxa"/>
            </w:tcMar>
            <w:vAlign w:val="center"/>
          </w:tcPr>
          <w:p w14:paraId="6D3C4FFB" w14:textId="77777777" w:rsidR="00945112" w:rsidRPr="00AE7AE9" w:rsidRDefault="00945112" w:rsidP="00FA2E9C">
            <w:pPr>
              <w:jc w:val="center"/>
              <w:rPr>
                <w:rFonts w:ascii="Arial" w:hAnsi="Arial" w:cs="Arial"/>
              </w:rPr>
            </w:pPr>
            <w:r w:rsidRPr="00AE7AE9">
              <w:rPr>
                <w:rFonts w:ascii="Arial" w:hAnsi="Arial" w:cs="Arial"/>
              </w:rPr>
              <w:t>1.463</w:t>
            </w:r>
          </w:p>
        </w:tc>
      </w:tr>
      <w:tr w:rsidR="00945112" w:rsidRPr="00AE7AE9" w14:paraId="5B21FB01" w14:textId="77777777" w:rsidTr="00945112">
        <w:trPr>
          <w:jc w:val="center"/>
        </w:trPr>
        <w:tc>
          <w:tcPr>
            <w:tcW w:w="1129" w:type="dxa"/>
            <w:vMerge/>
            <w:tcMar>
              <w:top w:w="80" w:type="dxa"/>
              <w:left w:w="100" w:type="dxa"/>
              <w:bottom w:w="80" w:type="dxa"/>
              <w:right w:w="100" w:type="dxa"/>
            </w:tcMar>
            <w:vAlign w:val="center"/>
          </w:tcPr>
          <w:p w14:paraId="70EFB419"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36DD0A8F" w14:textId="77777777" w:rsidR="00945112" w:rsidRPr="00AE7AE9" w:rsidRDefault="00945112" w:rsidP="00FA2E9C">
            <w:pPr>
              <w:rPr>
                <w:rFonts w:ascii="Arial" w:hAnsi="Arial" w:cs="Arial"/>
              </w:rPr>
            </w:pPr>
            <w:r w:rsidRPr="00AE7AE9">
              <w:rPr>
                <w:rFonts w:ascii="Arial" w:hAnsi="Arial" w:cs="Arial"/>
              </w:rPr>
              <w:t>Number of feeding arteries</w:t>
            </w:r>
          </w:p>
        </w:tc>
        <w:tc>
          <w:tcPr>
            <w:tcW w:w="4252" w:type="dxa"/>
            <w:tcMar>
              <w:top w:w="80" w:type="dxa"/>
              <w:left w:w="100" w:type="dxa"/>
              <w:bottom w:w="80" w:type="dxa"/>
              <w:right w:w="100" w:type="dxa"/>
            </w:tcMar>
            <w:vAlign w:val="center"/>
          </w:tcPr>
          <w:p w14:paraId="58EAE3F1" w14:textId="77777777" w:rsidR="00945112" w:rsidRPr="00AE7AE9" w:rsidRDefault="00945112" w:rsidP="00FA2E9C">
            <w:pPr>
              <w:jc w:val="center"/>
              <w:rPr>
                <w:rFonts w:ascii="Arial" w:hAnsi="Arial" w:cs="Arial"/>
              </w:rPr>
            </w:pPr>
            <w:r w:rsidRPr="00AE7AE9">
              <w:rPr>
                <w:rFonts w:ascii="Arial" w:hAnsi="Arial" w:cs="Arial"/>
              </w:rPr>
              <w:t>1.446</w:t>
            </w:r>
          </w:p>
        </w:tc>
      </w:tr>
      <w:tr w:rsidR="00945112" w:rsidRPr="00AE7AE9" w14:paraId="039400FA" w14:textId="77777777" w:rsidTr="00945112">
        <w:trPr>
          <w:jc w:val="center"/>
        </w:trPr>
        <w:tc>
          <w:tcPr>
            <w:tcW w:w="1129" w:type="dxa"/>
            <w:vMerge/>
            <w:tcMar>
              <w:top w:w="80" w:type="dxa"/>
              <w:left w:w="100" w:type="dxa"/>
              <w:bottom w:w="80" w:type="dxa"/>
              <w:right w:w="100" w:type="dxa"/>
            </w:tcMar>
            <w:vAlign w:val="center"/>
          </w:tcPr>
          <w:p w14:paraId="41A72CBB"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456BD3D5" w14:textId="77777777" w:rsidR="00945112" w:rsidRPr="00AE7AE9" w:rsidRDefault="00945112" w:rsidP="00FA2E9C">
            <w:pPr>
              <w:rPr>
                <w:rFonts w:ascii="Arial" w:hAnsi="Arial" w:cs="Arial"/>
              </w:rPr>
            </w:pPr>
            <w:r w:rsidRPr="00AE7AE9">
              <w:rPr>
                <w:rFonts w:ascii="Arial" w:hAnsi="Arial" w:cs="Arial"/>
              </w:rPr>
              <w:t>Lesion type (</w:t>
            </w:r>
            <w:proofErr w:type="spellStart"/>
            <w:r w:rsidRPr="00AE7AE9">
              <w:rPr>
                <w:rFonts w:ascii="Arial" w:hAnsi="Arial" w:cs="Arial"/>
              </w:rPr>
              <w:t>bAVM</w:t>
            </w:r>
            <w:proofErr w:type="spellEnd"/>
            <w:r w:rsidRPr="00AE7AE9">
              <w:rPr>
                <w:rFonts w:ascii="Arial" w:hAnsi="Arial" w:cs="Arial"/>
              </w:rPr>
              <w:t>)</w:t>
            </w:r>
          </w:p>
        </w:tc>
        <w:tc>
          <w:tcPr>
            <w:tcW w:w="4252" w:type="dxa"/>
            <w:tcMar>
              <w:top w:w="80" w:type="dxa"/>
              <w:left w:w="100" w:type="dxa"/>
              <w:bottom w:w="80" w:type="dxa"/>
              <w:right w:w="100" w:type="dxa"/>
            </w:tcMar>
            <w:vAlign w:val="center"/>
          </w:tcPr>
          <w:p w14:paraId="54AA5A4F" w14:textId="77777777" w:rsidR="00945112" w:rsidRPr="00AE7AE9" w:rsidRDefault="00945112" w:rsidP="00FA2E9C">
            <w:pPr>
              <w:jc w:val="center"/>
              <w:rPr>
                <w:rFonts w:ascii="Arial" w:hAnsi="Arial" w:cs="Arial"/>
              </w:rPr>
            </w:pPr>
            <w:r w:rsidRPr="00AE7AE9">
              <w:rPr>
                <w:rFonts w:ascii="Arial" w:hAnsi="Arial" w:cs="Arial"/>
              </w:rPr>
              <w:t>1.358</w:t>
            </w:r>
          </w:p>
        </w:tc>
      </w:tr>
      <w:tr w:rsidR="00945112" w:rsidRPr="00AE7AE9" w14:paraId="63ADE560" w14:textId="77777777" w:rsidTr="00945112">
        <w:trPr>
          <w:jc w:val="center"/>
        </w:trPr>
        <w:tc>
          <w:tcPr>
            <w:tcW w:w="1129" w:type="dxa"/>
            <w:vMerge/>
            <w:tcMar>
              <w:top w:w="80" w:type="dxa"/>
              <w:left w:w="100" w:type="dxa"/>
              <w:bottom w:w="80" w:type="dxa"/>
              <w:right w:w="100" w:type="dxa"/>
            </w:tcMar>
            <w:vAlign w:val="center"/>
          </w:tcPr>
          <w:p w14:paraId="5FF6383B"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03D81F3B" w14:textId="77777777" w:rsidR="00945112" w:rsidRPr="00AE7AE9" w:rsidRDefault="00945112" w:rsidP="00FA2E9C">
            <w:pPr>
              <w:rPr>
                <w:rFonts w:ascii="Arial" w:hAnsi="Arial" w:cs="Arial"/>
              </w:rPr>
            </w:pPr>
            <w:r w:rsidRPr="00AE7AE9">
              <w:rPr>
                <w:rFonts w:ascii="Arial" w:hAnsi="Arial" w:cs="Arial"/>
              </w:rPr>
              <w:t>Experience</w:t>
            </w:r>
          </w:p>
        </w:tc>
        <w:tc>
          <w:tcPr>
            <w:tcW w:w="4252" w:type="dxa"/>
            <w:tcMar>
              <w:top w:w="80" w:type="dxa"/>
              <w:left w:w="100" w:type="dxa"/>
              <w:bottom w:w="80" w:type="dxa"/>
              <w:right w:w="100" w:type="dxa"/>
            </w:tcMar>
            <w:vAlign w:val="center"/>
          </w:tcPr>
          <w:p w14:paraId="1532CE36" w14:textId="77777777" w:rsidR="00945112" w:rsidRPr="00AE7AE9" w:rsidRDefault="00945112" w:rsidP="00FA2E9C">
            <w:pPr>
              <w:jc w:val="center"/>
              <w:rPr>
                <w:rFonts w:ascii="Arial" w:hAnsi="Arial" w:cs="Arial"/>
              </w:rPr>
            </w:pPr>
            <w:r w:rsidRPr="00AE7AE9">
              <w:rPr>
                <w:rFonts w:ascii="Arial" w:hAnsi="Arial" w:cs="Arial"/>
              </w:rPr>
              <w:t>1.230</w:t>
            </w:r>
          </w:p>
        </w:tc>
      </w:tr>
      <w:tr w:rsidR="00945112" w:rsidRPr="00AE7AE9" w14:paraId="3664AC36" w14:textId="77777777" w:rsidTr="00945112">
        <w:trPr>
          <w:jc w:val="center"/>
        </w:trPr>
        <w:tc>
          <w:tcPr>
            <w:tcW w:w="1129" w:type="dxa"/>
            <w:vMerge/>
            <w:tcMar>
              <w:top w:w="80" w:type="dxa"/>
              <w:left w:w="100" w:type="dxa"/>
              <w:bottom w:w="80" w:type="dxa"/>
              <w:right w:w="100" w:type="dxa"/>
            </w:tcMar>
            <w:vAlign w:val="center"/>
          </w:tcPr>
          <w:p w14:paraId="214589F7" w14:textId="77777777" w:rsidR="00945112" w:rsidRPr="00AE7AE9" w:rsidRDefault="00945112" w:rsidP="00FA2E9C">
            <w:pPr>
              <w:rPr>
                <w:rFonts w:ascii="Arial" w:hAnsi="Arial" w:cs="Arial"/>
              </w:rPr>
            </w:pPr>
          </w:p>
        </w:tc>
        <w:tc>
          <w:tcPr>
            <w:tcW w:w="3828" w:type="dxa"/>
            <w:tcMar>
              <w:top w:w="80" w:type="dxa"/>
              <w:left w:w="100" w:type="dxa"/>
              <w:bottom w:w="80" w:type="dxa"/>
              <w:right w:w="100" w:type="dxa"/>
            </w:tcMar>
            <w:vAlign w:val="center"/>
          </w:tcPr>
          <w:p w14:paraId="03CA8667" w14:textId="77777777" w:rsidR="00945112" w:rsidRPr="00AE7AE9" w:rsidRDefault="00945112" w:rsidP="00FA2E9C">
            <w:pPr>
              <w:rPr>
                <w:rFonts w:ascii="Arial" w:hAnsi="Arial" w:cs="Arial"/>
              </w:rPr>
            </w:pPr>
            <w:r w:rsidRPr="00AE7AE9">
              <w:rPr>
                <w:rFonts w:ascii="Arial" w:hAnsi="Arial" w:cs="Arial"/>
              </w:rPr>
              <w:t>VA injection</w:t>
            </w:r>
          </w:p>
        </w:tc>
        <w:tc>
          <w:tcPr>
            <w:tcW w:w="4252" w:type="dxa"/>
            <w:tcMar>
              <w:top w:w="80" w:type="dxa"/>
              <w:left w:w="100" w:type="dxa"/>
              <w:bottom w:w="80" w:type="dxa"/>
              <w:right w:w="100" w:type="dxa"/>
            </w:tcMar>
            <w:vAlign w:val="center"/>
          </w:tcPr>
          <w:p w14:paraId="0B92BD57" w14:textId="77777777" w:rsidR="00945112" w:rsidRPr="00AE7AE9" w:rsidRDefault="00945112" w:rsidP="00FA2E9C">
            <w:pPr>
              <w:jc w:val="center"/>
              <w:rPr>
                <w:rFonts w:ascii="Arial" w:hAnsi="Arial" w:cs="Arial"/>
              </w:rPr>
            </w:pPr>
            <w:r w:rsidRPr="00AE7AE9">
              <w:rPr>
                <w:rFonts w:ascii="Arial" w:hAnsi="Arial" w:cs="Arial"/>
              </w:rPr>
              <w:t>1.047</w:t>
            </w:r>
          </w:p>
        </w:tc>
      </w:tr>
    </w:tbl>
    <w:p w14:paraId="7FD1AABB" w14:textId="77777777" w:rsidR="00945112" w:rsidRPr="00AE7AE9" w:rsidRDefault="00945112">
      <w:pPr>
        <w:rPr>
          <w:rFonts w:ascii="Arial" w:hAnsi="Arial" w:cs="Arial"/>
          <w:sz w:val="22"/>
          <w:szCs w:val="22"/>
          <w:lang w:val="en-US"/>
        </w:rPr>
      </w:pPr>
    </w:p>
    <w:p w14:paraId="08ECFBD9" w14:textId="6865B7EB" w:rsidR="00945112" w:rsidRPr="00AE7AE9" w:rsidRDefault="00945112" w:rsidP="009901F9">
      <w:pPr>
        <w:jc w:val="both"/>
        <w:rPr>
          <w:rFonts w:ascii="Arial" w:hAnsi="Arial" w:cs="Arial"/>
          <w:sz w:val="22"/>
          <w:szCs w:val="22"/>
          <w:lang w:val="en-US"/>
        </w:rPr>
      </w:pPr>
      <w:r w:rsidRPr="00AE7AE9">
        <w:rPr>
          <w:rFonts w:ascii="Arial" w:hAnsi="Arial" w:cs="Arial"/>
          <w:sz w:val="22"/>
          <w:szCs w:val="22"/>
          <w:lang w:val="en-US"/>
        </w:rPr>
        <w:t>Supplementary Table 1</w:t>
      </w:r>
      <w:r w:rsidR="00AE7AE9" w:rsidRPr="00AE7AE9">
        <w:rPr>
          <w:rFonts w:ascii="Arial" w:hAnsi="Arial" w:cs="Arial"/>
          <w:sz w:val="22"/>
          <w:szCs w:val="22"/>
          <w:lang w:val="en-US"/>
        </w:rPr>
        <w:t>:</w:t>
      </w:r>
      <w:r w:rsidRPr="00AE7AE9">
        <w:rPr>
          <w:rFonts w:ascii="Arial" w:hAnsi="Arial" w:cs="Arial"/>
          <w:sz w:val="22"/>
          <w:szCs w:val="22"/>
          <w:lang w:val="en-US"/>
        </w:rPr>
        <w:t xml:space="preserve"> </w:t>
      </w:r>
      <w:r w:rsidR="009901F9" w:rsidRPr="00AE7AE9">
        <w:rPr>
          <w:rFonts w:ascii="Arial" w:hAnsi="Arial" w:cs="Arial"/>
          <w:sz w:val="22"/>
          <w:szCs w:val="22"/>
          <w:lang w:val="en-US"/>
        </w:rPr>
        <w:t>VIF</w:t>
      </w:r>
      <w:r w:rsidRPr="00AE7AE9">
        <w:rPr>
          <w:rFonts w:ascii="Arial" w:hAnsi="Arial" w:cs="Arial"/>
          <w:sz w:val="22"/>
          <w:szCs w:val="22"/>
          <w:lang w:val="en-US"/>
        </w:rPr>
        <w:t xml:space="preserve"> analysis of predictors included in the multivariable regression models. VIF</w:t>
      </w:r>
      <w:r w:rsidR="00881C37" w:rsidRPr="00AE7AE9">
        <w:rPr>
          <w:rFonts w:ascii="Arial" w:hAnsi="Arial" w:cs="Arial"/>
          <w:sz w:val="22"/>
          <w:szCs w:val="22"/>
          <w:lang w:val="en-US"/>
        </w:rPr>
        <w:t>s</w:t>
      </w:r>
      <w:r w:rsidRPr="00AE7AE9">
        <w:rPr>
          <w:rFonts w:ascii="Arial" w:hAnsi="Arial" w:cs="Arial"/>
          <w:sz w:val="22"/>
          <w:szCs w:val="22"/>
          <w:lang w:val="en-US"/>
        </w:rPr>
        <w:t xml:space="preserve"> were calculated to assess multicollinearity among predictors included in the multivariable models for total time expenditure, segmentation time and fusion time. Nidus size is applicable only to </w:t>
      </w:r>
      <w:proofErr w:type="spellStart"/>
      <w:r w:rsidRPr="00AE7AE9">
        <w:rPr>
          <w:rFonts w:ascii="Arial" w:hAnsi="Arial" w:cs="Arial"/>
          <w:sz w:val="22"/>
          <w:szCs w:val="22"/>
          <w:lang w:val="en-US"/>
        </w:rPr>
        <w:t>bAVM</w:t>
      </w:r>
      <w:proofErr w:type="spellEnd"/>
      <w:r w:rsidRPr="00AE7AE9">
        <w:rPr>
          <w:rFonts w:ascii="Arial" w:hAnsi="Arial" w:cs="Arial"/>
          <w:sz w:val="22"/>
          <w:szCs w:val="22"/>
          <w:lang w:val="en-US"/>
        </w:rPr>
        <w:t xml:space="preserve">. To retain </w:t>
      </w:r>
      <w:proofErr w:type="spellStart"/>
      <w:r w:rsidRPr="00AE7AE9">
        <w:rPr>
          <w:rFonts w:ascii="Arial" w:hAnsi="Arial" w:cs="Arial"/>
          <w:sz w:val="22"/>
          <w:szCs w:val="22"/>
          <w:lang w:val="en-US"/>
        </w:rPr>
        <w:t>dAVF</w:t>
      </w:r>
      <w:proofErr w:type="spellEnd"/>
      <w:r w:rsidRPr="00AE7AE9">
        <w:rPr>
          <w:rFonts w:ascii="Arial" w:hAnsi="Arial" w:cs="Arial"/>
          <w:sz w:val="22"/>
          <w:szCs w:val="22"/>
          <w:lang w:val="en-US"/>
        </w:rPr>
        <w:t xml:space="preserve"> cases in the combined total-time and segmentation-time models, nidus-size values for </w:t>
      </w:r>
      <w:proofErr w:type="spellStart"/>
      <w:r w:rsidRPr="00AE7AE9">
        <w:rPr>
          <w:rFonts w:ascii="Arial" w:hAnsi="Arial" w:cs="Arial"/>
          <w:sz w:val="22"/>
          <w:szCs w:val="22"/>
          <w:lang w:val="en-US"/>
        </w:rPr>
        <w:t>dAVF</w:t>
      </w:r>
      <w:proofErr w:type="spellEnd"/>
      <w:r w:rsidRPr="00AE7AE9">
        <w:rPr>
          <w:rFonts w:ascii="Arial" w:hAnsi="Arial" w:cs="Arial"/>
          <w:sz w:val="22"/>
          <w:szCs w:val="22"/>
          <w:lang w:val="en-US"/>
        </w:rPr>
        <w:t xml:space="preserve"> cases were imputed as zero and accompanied by an indicator variable denoting cases in which nidus size was not applicable. The comparatively elevated VIF values for these two variables reflect expected structural collinearity arising from the non-applicability of nidus size in </w:t>
      </w:r>
      <w:proofErr w:type="spellStart"/>
      <w:r w:rsidRPr="00AE7AE9">
        <w:rPr>
          <w:rFonts w:ascii="Arial" w:hAnsi="Arial" w:cs="Arial"/>
          <w:sz w:val="22"/>
          <w:szCs w:val="22"/>
          <w:lang w:val="en-US"/>
        </w:rPr>
        <w:t>dAVF</w:t>
      </w:r>
      <w:proofErr w:type="spellEnd"/>
      <w:r w:rsidRPr="00AE7AE9">
        <w:rPr>
          <w:rFonts w:ascii="Arial" w:hAnsi="Arial" w:cs="Arial"/>
          <w:sz w:val="22"/>
          <w:szCs w:val="22"/>
          <w:lang w:val="en-US"/>
        </w:rPr>
        <w:t xml:space="preserve"> cases. </w:t>
      </w:r>
      <w:r w:rsidR="009901F9" w:rsidRPr="00AE7AE9">
        <w:rPr>
          <w:rFonts w:ascii="Arial" w:hAnsi="Arial" w:cs="Arial"/>
          <w:sz w:val="22"/>
          <w:szCs w:val="22"/>
          <w:lang w:val="en-US"/>
        </w:rPr>
        <w:tab/>
      </w:r>
      <w:r w:rsidRPr="00AE7AE9">
        <w:rPr>
          <w:rFonts w:ascii="Arial" w:hAnsi="Arial" w:cs="Arial"/>
          <w:sz w:val="22"/>
          <w:szCs w:val="22"/>
          <w:lang w:val="en-US"/>
        </w:rPr>
        <w:br/>
      </w:r>
      <w:proofErr w:type="spellStart"/>
      <w:r w:rsidRPr="00AE7AE9">
        <w:rPr>
          <w:rFonts w:ascii="Arial" w:hAnsi="Arial" w:cs="Arial"/>
          <w:sz w:val="22"/>
          <w:szCs w:val="22"/>
          <w:lang w:val="en-US"/>
        </w:rPr>
        <w:t>bAVM</w:t>
      </w:r>
      <w:proofErr w:type="spellEnd"/>
      <w:r w:rsidRPr="00AE7AE9">
        <w:rPr>
          <w:rFonts w:ascii="Arial" w:hAnsi="Arial" w:cs="Arial"/>
          <w:sz w:val="22"/>
          <w:szCs w:val="22"/>
          <w:lang w:val="en-US"/>
        </w:rPr>
        <w:t xml:space="preserve">: brain arteriovenous malformation; </w:t>
      </w:r>
      <w:proofErr w:type="spellStart"/>
      <w:r w:rsidRPr="00AE7AE9">
        <w:rPr>
          <w:rFonts w:ascii="Arial" w:hAnsi="Arial" w:cs="Arial"/>
          <w:sz w:val="22"/>
          <w:szCs w:val="22"/>
          <w:lang w:val="en-US"/>
        </w:rPr>
        <w:t>dAVF</w:t>
      </w:r>
      <w:proofErr w:type="spellEnd"/>
      <w:r w:rsidRPr="00AE7AE9">
        <w:rPr>
          <w:rFonts w:ascii="Arial" w:hAnsi="Arial" w:cs="Arial"/>
          <w:sz w:val="22"/>
          <w:szCs w:val="22"/>
          <w:lang w:val="en-US"/>
        </w:rPr>
        <w:t>: dural arteriovenous fistula; VIF: variance inflation factor.</w:t>
      </w:r>
    </w:p>
    <w:p w14:paraId="06AB0FAA" w14:textId="77777777" w:rsidR="00AE7AE9" w:rsidRPr="00AE7AE9" w:rsidRDefault="00AE7AE9" w:rsidP="009901F9">
      <w:pPr>
        <w:jc w:val="both"/>
        <w:rPr>
          <w:rFonts w:ascii="Arial" w:hAnsi="Arial" w:cs="Arial"/>
          <w:sz w:val="22"/>
          <w:szCs w:val="22"/>
          <w:lang w:val="en-US"/>
        </w:rPr>
      </w:pPr>
    </w:p>
    <w:sectPr w:rsidR="00AE7AE9" w:rsidRPr="00AE7AE9" w:rsidSect="00167E7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CB4"/>
    <w:rsid w:val="00003612"/>
    <w:rsid w:val="00141CB5"/>
    <w:rsid w:val="0015256E"/>
    <w:rsid w:val="00167E72"/>
    <w:rsid w:val="0018219D"/>
    <w:rsid w:val="001912E7"/>
    <w:rsid w:val="003A71DB"/>
    <w:rsid w:val="005510CF"/>
    <w:rsid w:val="00662CB4"/>
    <w:rsid w:val="007C3231"/>
    <w:rsid w:val="00881C37"/>
    <w:rsid w:val="00945112"/>
    <w:rsid w:val="009901F9"/>
    <w:rsid w:val="00A263F9"/>
    <w:rsid w:val="00AE7AE9"/>
    <w:rsid w:val="00B27D79"/>
    <w:rsid w:val="00C34078"/>
    <w:rsid w:val="00C7601B"/>
    <w:rsid w:val="00C9034E"/>
    <w:rsid w:val="00CA5E5C"/>
    <w:rsid w:val="00D02DE7"/>
    <w:rsid w:val="00F822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B5F18"/>
  <w15:chartTrackingRefBased/>
  <w15:docId w15:val="{DD920251-4CF7-4AAC-905B-4EA8C706A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62C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62C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62CB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62CB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62CB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62CB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62CB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62CB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62CB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62CB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62CB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62CB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62CB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62CB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62CB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62CB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62CB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62CB4"/>
    <w:rPr>
      <w:rFonts w:eastAsiaTheme="majorEastAsia" w:cstheme="majorBidi"/>
      <w:color w:val="272727" w:themeColor="text1" w:themeTint="D8"/>
    </w:rPr>
  </w:style>
  <w:style w:type="paragraph" w:styleId="Titel">
    <w:name w:val="Title"/>
    <w:basedOn w:val="Standard"/>
    <w:next w:val="Standard"/>
    <w:link w:val="TitelZchn"/>
    <w:uiPriority w:val="10"/>
    <w:qFormat/>
    <w:rsid w:val="00662C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62CB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62CB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62CB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62CB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62CB4"/>
    <w:rPr>
      <w:i/>
      <w:iCs/>
      <w:color w:val="404040" w:themeColor="text1" w:themeTint="BF"/>
    </w:rPr>
  </w:style>
  <w:style w:type="paragraph" w:styleId="Listenabsatz">
    <w:name w:val="List Paragraph"/>
    <w:basedOn w:val="Standard"/>
    <w:uiPriority w:val="34"/>
    <w:qFormat/>
    <w:rsid w:val="00662CB4"/>
    <w:pPr>
      <w:ind w:left="720"/>
      <w:contextualSpacing/>
    </w:pPr>
  </w:style>
  <w:style w:type="character" w:styleId="IntensiveHervorhebung">
    <w:name w:val="Intense Emphasis"/>
    <w:basedOn w:val="Absatz-Standardschriftart"/>
    <w:uiPriority w:val="21"/>
    <w:qFormat/>
    <w:rsid w:val="00662CB4"/>
    <w:rPr>
      <w:i/>
      <w:iCs/>
      <w:color w:val="0F4761" w:themeColor="accent1" w:themeShade="BF"/>
    </w:rPr>
  </w:style>
  <w:style w:type="paragraph" w:styleId="IntensivesZitat">
    <w:name w:val="Intense Quote"/>
    <w:basedOn w:val="Standard"/>
    <w:next w:val="Standard"/>
    <w:link w:val="IntensivesZitatZchn"/>
    <w:uiPriority w:val="30"/>
    <w:qFormat/>
    <w:rsid w:val="00662C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62CB4"/>
    <w:rPr>
      <w:i/>
      <w:iCs/>
      <w:color w:val="0F4761" w:themeColor="accent1" w:themeShade="BF"/>
    </w:rPr>
  </w:style>
  <w:style w:type="character" w:styleId="IntensiverVerweis">
    <w:name w:val="Intense Reference"/>
    <w:basedOn w:val="Absatz-Standardschriftart"/>
    <w:uiPriority w:val="32"/>
    <w:qFormat/>
    <w:rsid w:val="00662CB4"/>
    <w:rPr>
      <w:b/>
      <w:bCs/>
      <w:smallCaps/>
      <w:color w:val="0F4761" w:themeColor="accent1" w:themeShade="BF"/>
      <w:spacing w:val="5"/>
    </w:rPr>
  </w:style>
  <w:style w:type="table" w:styleId="Tabellenraster">
    <w:name w:val="Table Grid"/>
    <w:basedOn w:val="NormaleTabelle"/>
    <w:uiPriority w:val="59"/>
    <w:rsid w:val="00945112"/>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382</Words>
  <Characters>2408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 Fabian Aurel (STUDENTS)</dc:creator>
  <cp:keywords/>
  <dc:description/>
  <cp:lastModifiedBy>Wolf, Fabian Aurel (STUDENTS)</cp:lastModifiedBy>
  <cp:revision>8</cp:revision>
  <dcterms:created xsi:type="dcterms:W3CDTF">2026-05-26T19:17:00Z</dcterms:created>
  <dcterms:modified xsi:type="dcterms:W3CDTF">2026-05-27T14:58:00Z</dcterms:modified>
</cp:coreProperties>
</file>