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A5B2F1">
      <w:pPr>
        <w:pStyle w:val="35"/>
        <w:spacing w:line="360" w:lineRule="auto"/>
        <w:ind w:left="440" w:firstLine="0" w:firstLineChars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Dominance, drivers and thresholds of DEN, ANA, and DNRA quantified using a global dataset of cross-ecosystems and machine-learning</w:t>
      </w:r>
    </w:p>
    <w:p w14:paraId="53CE99BF">
      <w:pPr>
        <w:widowControl/>
        <w:spacing w:line="360" w:lineRule="auto"/>
        <w:jc w:val="left"/>
        <w:rPr>
          <w:rFonts w:ascii="Times New Roman" w:hAnsi="Times New Roman" w:cs="Times New Roman"/>
          <w:sz w:val="24"/>
        </w:rPr>
      </w:pPr>
    </w:p>
    <w:p w14:paraId="37ED1831">
      <w:pPr>
        <w:widowControl/>
        <w:spacing w:line="360" w:lineRule="auto"/>
        <w:jc w:val="left"/>
        <w:rPr>
          <w:rFonts w:ascii="Times New Roman" w:hAnsi="Times New Roman" w:cs="Times New Roman"/>
          <w:sz w:val="24"/>
        </w:rPr>
      </w:pPr>
    </w:p>
    <w:p w14:paraId="1DC5E78B">
      <w:pPr>
        <w:widowControl/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Yao Ma</w:t>
      </w:r>
      <w:r>
        <w:rPr>
          <w:rFonts w:ascii="Times New Roman" w:hAnsi="Times New Roman" w:cs="Times New Roman"/>
          <w:sz w:val="24"/>
          <w:vertAlign w:val="superscript"/>
        </w:rPr>
        <w:t>1</w:t>
      </w:r>
      <w:r>
        <w:rPr>
          <w:rFonts w:hint="eastAsia" w:ascii="Times New Roman" w:hAnsi="Times New Roman" w:cs="Times New Roman"/>
          <w:sz w:val="24"/>
        </w:rPr>
        <w:t>, Song Jiang</w:t>
      </w:r>
      <w:r>
        <w:rPr>
          <w:rFonts w:ascii="Times New Roman" w:hAnsi="Times New Roman" w:cs="Times New Roman"/>
          <w:sz w:val="24"/>
          <w:vertAlign w:val="superscript"/>
        </w:rPr>
        <w:t>1</w:t>
      </w:r>
      <w:r>
        <w:rPr>
          <w:rFonts w:hint="eastAsia" w:ascii="Times New Roman" w:hAnsi="Times New Roman" w:cs="Times New Roman"/>
          <w:sz w:val="24"/>
          <w:vertAlign w:val="superscript"/>
        </w:rPr>
        <w:t>,2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Yibing Ma</w:t>
      </w:r>
      <w:r>
        <w:rPr>
          <w:rFonts w:ascii="Times New Roman" w:hAnsi="Times New Roman" w:cs="Times New Roman"/>
          <w:sz w:val="24"/>
          <w:vertAlign w:val="superscript"/>
        </w:rPr>
        <w:t>1, *</w:t>
      </w:r>
    </w:p>
    <w:p w14:paraId="4C508DDF">
      <w:pPr>
        <w:widowControl/>
        <w:spacing w:line="360" w:lineRule="auto"/>
        <w:jc w:val="left"/>
        <w:rPr>
          <w:rFonts w:ascii="Times New Roman" w:hAnsi="Times New Roman" w:cs="Times New Roman"/>
          <w:sz w:val="24"/>
        </w:rPr>
      </w:pPr>
    </w:p>
    <w:p w14:paraId="495F7DB3">
      <w:pPr>
        <w:widowControl/>
        <w:spacing w:line="360" w:lineRule="auto"/>
        <w:jc w:val="left"/>
        <w:rPr>
          <w:rFonts w:ascii="Times New Roman" w:hAnsi="Times New Roman" w:cs="Times New Roman"/>
          <w:i/>
          <w:iCs/>
          <w:sz w:val="24"/>
        </w:rPr>
      </w:pPr>
      <w:r>
        <w:rPr>
          <w:rFonts w:ascii="Times New Roman" w:hAnsi="Times New Roman" w:cs="Times New Roman"/>
          <w:i/>
          <w:iCs/>
          <w:sz w:val="24"/>
          <w:vertAlign w:val="superscript"/>
        </w:rPr>
        <w:t>1</w:t>
      </w:r>
      <w:r>
        <w:rPr>
          <w:rFonts w:ascii="Times New Roman" w:hAnsi="Times New Roman" w:cs="Times New Roman"/>
          <w:i/>
          <w:iCs/>
          <w:sz w:val="24"/>
        </w:rPr>
        <w:t xml:space="preserve">National Observation and Research Station of Coastal Ecological Environments in Macao, Macau Environmental Research Institute, Macau University of Science and Technology, Macao SAR 999078, China. </w:t>
      </w:r>
    </w:p>
    <w:p w14:paraId="6F662620">
      <w:pPr>
        <w:widowControl/>
        <w:spacing w:line="360" w:lineRule="auto"/>
        <w:jc w:val="left"/>
        <w:rPr>
          <w:rFonts w:ascii="Times New Roman" w:hAnsi="Times New Roman" w:cs="Times New Roman"/>
          <w:i/>
          <w:iCs/>
          <w:sz w:val="24"/>
        </w:rPr>
      </w:pPr>
      <w:r>
        <w:rPr>
          <w:rFonts w:hint="eastAsia" w:ascii="Times New Roman" w:hAnsi="Times New Roman" w:cs="Times New Roman"/>
          <w:i/>
          <w:iCs/>
          <w:sz w:val="24"/>
          <w:vertAlign w:val="superscript"/>
        </w:rPr>
        <w:t>2</w:t>
      </w:r>
      <w:r>
        <w:rPr>
          <w:rFonts w:hint="eastAsia" w:ascii="Times New Roman" w:hAnsi="Times New Roman" w:cs="Times New Roman"/>
          <w:i/>
          <w:iCs/>
          <w:sz w:val="24"/>
        </w:rPr>
        <w:t>Heilongjiang Forestry Institute, Harbin 150040, China</w:t>
      </w:r>
    </w:p>
    <w:p w14:paraId="3CD17B42">
      <w:pPr>
        <w:widowControl/>
        <w:spacing w:line="360" w:lineRule="auto"/>
        <w:jc w:val="left"/>
        <w:rPr>
          <w:rFonts w:ascii="Times New Roman" w:hAnsi="Times New Roman" w:cs="Times New Roman"/>
          <w:i/>
          <w:iCs/>
          <w:sz w:val="24"/>
        </w:rPr>
      </w:pPr>
    </w:p>
    <w:p w14:paraId="4B726087">
      <w:pPr>
        <w:widowControl/>
        <w:spacing w:line="360" w:lineRule="auto"/>
        <w:jc w:val="left"/>
        <w:rPr>
          <w:rFonts w:ascii="Times New Roman" w:hAnsi="Times New Roman" w:cs="Times New Roman"/>
          <w:i/>
          <w:iCs/>
          <w:sz w:val="24"/>
        </w:rPr>
      </w:pPr>
      <w:r>
        <w:rPr>
          <w:rFonts w:ascii="Times New Roman" w:hAnsi="Times New Roman" w:cs="Times New Roman"/>
          <w:i/>
          <w:iCs/>
          <w:sz w:val="24"/>
        </w:rPr>
        <w:t>*Corresponding author</w:t>
      </w:r>
    </w:p>
    <w:p w14:paraId="7DEDF4CE">
      <w:pPr>
        <w:widowControl/>
        <w:numPr>
          <w:ilvl w:val="0"/>
          <w:numId w:val="1"/>
        </w:numPr>
        <w:spacing w:line="360" w:lineRule="auto"/>
        <w:jc w:val="left"/>
        <w:rPr>
          <w:rFonts w:ascii="Times New Roman" w:hAnsi="Times New Roman" w:cs="Times New Roman"/>
          <w:i/>
          <w:iCs/>
          <w:sz w:val="24"/>
        </w:rPr>
      </w:pPr>
      <w:r>
        <w:rPr>
          <w:rFonts w:ascii="Times New Roman" w:hAnsi="Times New Roman" w:cs="Times New Roman"/>
          <w:i/>
          <w:iCs/>
          <w:sz w:val="24"/>
        </w:rPr>
        <w:t>mail:</w:t>
      </w:r>
      <w:r>
        <w:rPr>
          <w:rFonts w:ascii="Times New Roman" w:hAnsi="Times New Roman" w:cs="Times New Roman"/>
          <w:sz w:val="24"/>
        </w:rPr>
        <w:t xml:space="preserve"> </w:t>
      </w:r>
      <w:r>
        <w:fldChar w:fldCharType="begin"/>
      </w:r>
      <w:r>
        <w:instrText xml:space="preserve"> HYPERLINK "mailto:ybma@must.edu.mo" </w:instrText>
      </w:r>
      <w:r>
        <w:fldChar w:fldCharType="separate"/>
      </w:r>
      <w:r>
        <w:rPr>
          <w:rStyle w:val="19"/>
          <w:rFonts w:ascii="Times New Roman" w:hAnsi="Times New Roman" w:cs="Times New Roman"/>
          <w:i/>
          <w:iCs/>
          <w:color w:val="auto"/>
          <w:sz w:val="24"/>
          <w:u w:val="none"/>
        </w:rPr>
        <w:t>ybma@must.edu.mo</w:t>
      </w:r>
      <w:r>
        <w:rPr>
          <w:rStyle w:val="19"/>
          <w:rFonts w:ascii="Times New Roman" w:hAnsi="Times New Roman" w:cs="Times New Roman"/>
          <w:i/>
          <w:iCs/>
          <w:color w:val="auto"/>
          <w:sz w:val="24"/>
          <w:u w:val="none"/>
        </w:rPr>
        <w:fldChar w:fldCharType="end"/>
      </w:r>
    </w:p>
    <w:p w14:paraId="2CD573E7">
      <w:pPr>
        <w:widowControl/>
        <w:spacing w:line="360" w:lineRule="auto"/>
        <w:jc w:val="left"/>
        <w:rPr>
          <w:rFonts w:ascii="Times New Roman" w:hAnsi="Times New Roman" w:cs="Times New Roman"/>
          <w:i/>
          <w:iCs/>
          <w:sz w:val="24"/>
        </w:rPr>
      </w:pPr>
      <w:r>
        <w:rPr>
          <w:rFonts w:hint="eastAsia" w:ascii="Times New Roman" w:hAnsi="Times New Roman" w:cs="Times New Roman"/>
          <w:i/>
          <w:iCs/>
          <w:sz w:val="24"/>
        </w:rPr>
        <w:t>Tel: +853 8897-2926</w:t>
      </w:r>
    </w:p>
    <w:p w14:paraId="13CC4282">
      <w:pPr>
        <w:widowControl/>
        <w:spacing w:line="360" w:lineRule="auto"/>
        <w:jc w:val="left"/>
        <w:rPr>
          <w:rFonts w:ascii="Times New Roman" w:hAnsi="Times New Roman" w:cs="Times New Roman"/>
          <w:i/>
          <w:iCs/>
          <w:sz w:val="24"/>
        </w:rPr>
      </w:pPr>
      <w:r>
        <w:rPr>
          <w:rFonts w:hint="eastAsia" w:ascii="Times New Roman" w:hAnsi="Times New Roman" w:cs="Times New Roman"/>
          <w:i/>
          <w:iCs/>
          <w:sz w:val="24"/>
        </w:rPr>
        <w:t>Fax: +853 2883-3280</w:t>
      </w:r>
    </w:p>
    <w:p w14:paraId="1E2023AF">
      <w:pPr>
        <w:widowControl/>
        <w:spacing w:line="360" w:lineRule="auto"/>
        <w:jc w:val="left"/>
        <w:rPr>
          <w:rFonts w:ascii="Times New Roman" w:hAnsi="Times New Roman" w:cs="Times New Roman"/>
          <w:i/>
          <w:iCs/>
          <w:sz w:val="24"/>
        </w:rPr>
      </w:pPr>
      <w:r>
        <w:rPr>
          <w:rFonts w:hint="eastAsia" w:ascii="Times New Roman" w:hAnsi="Times New Roman" w:cs="Times New Roman"/>
          <w:i/>
          <w:iCs/>
          <w:sz w:val="24"/>
        </w:rPr>
        <w:t>*A423, Macau University of Science and Technology, Avenida Wai Long, Taipa, Macau, China.</w:t>
      </w:r>
    </w:p>
    <w:p w14:paraId="5205BBBA">
      <w:pPr>
        <w:widowControl/>
        <w:spacing w:line="360" w:lineRule="auto"/>
        <w:jc w:val="left"/>
      </w:pPr>
    </w:p>
    <w:p w14:paraId="40FFAF87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1440" w:right="1800" w:bottom="1440" w:left="1800" w:header="851" w:footer="992" w:gutter="0"/>
          <w:lnNumType w:countBy="0" w:restart="continuous"/>
          <w:cols w:space="425" w:num="1"/>
          <w:docGrid w:type="lines" w:linePitch="312" w:charSpace="0"/>
        </w:sectPr>
      </w:pPr>
    </w:p>
    <w:p w14:paraId="349EFED7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drawing>
          <wp:inline distT="0" distB="0" distL="0" distR="0">
            <wp:extent cx="4857750" cy="5283200"/>
            <wp:effectExtent l="0" t="0" r="0" b="0"/>
            <wp:docPr id="1834326567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326567" name="图片 4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528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A34B35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Fig</w:t>
      </w:r>
      <w:r>
        <w:rPr>
          <w:rFonts w:hint="eastAsia"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hint="eastAsia" w:ascii="Times New Roman" w:hAnsi="Times New Roman" w:cs="Times New Roman"/>
          <w:sz w:val="20"/>
          <w:szCs w:val="20"/>
        </w:rPr>
        <w:t>S</w:t>
      </w:r>
      <w:r>
        <w:rPr>
          <w:rFonts w:ascii="Times New Roman" w:hAnsi="Times New Roman" w:cs="Times New Roman"/>
          <w:sz w:val="20"/>
          <w:szCs w:val="20"/>
        </w:rPr>
        <w:t>1. PRISMA-style flow diagram of literature screening and study inclusion</w:t>
      </w:r>
    </w:p>
    <w:p w14:paraId="70FE32EC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E6E6DAC">
      <w:pPr>
        <w:pStyle w:val="43"/>
        <w:widowControl/>
        <w:ind w:left="360" w:firstLine="0" w:firstLineChars="0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sz w:val="20"/>
          <w:szCs w:val="20"/>
        </w:rPr>
        <w:t xml:space="preserve">Table </w:t>
      </w:r>
      <w:r>
        <w:rPr>
          <w:rFonts w:hint="eastAsia"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1. Pearson correlation coefficients (R) and significance (*p ≤ 0.05, **p ≤ 0.01) among variables (note: MA</w:t>
      </w:r>
      <w:r>
        <w:rPr>
          <w:rFonts w:hint="eastAsia" w:ascii="Times New Roman" w:hAnsi="Times New Roman"/>
          <w:sz w:val="20"/>
          <w:szCs w:val="20"/>
          <w:lang w:val="en-US" w:eastAsia="zh-CN"/>
        </w:rPr>
        <w:t>P</w:t>
      </w:r>
      <w:r>
        <w:rPr>
          <w:rFonts w:ascii="Times New Roman" w:hAnsi="Times New Roman"/>
          <w:sz w:val="20"/>
          <w:szCs w:val="20"/>
        </w:rPr>
        <w:t xml:space="preserve"> denotes mean annual precipitation, MA</w:t>
      </w:r>
      <w:r>
        <w:rPr>
          <w:rFonts w:hint="eastAsia" w:ascii="Times New Roman" w:hAnsi="Times New Roman"/>
          <w:sz w:val="20"/>
          <w:szCs w:val="20"/>
          <w:lang w:val="en-US" w:eastAsia="zh-CN"/>
        </w:rPr>
        <w:t>T</w:t>
      </w:r>
      <w:r>
        <w:rPr>
          <w:rFonts w:ascii="Times New Roman" w:hAnsi="Times New Roman"/>
          <w:sz w:val="20"/>
          <w:szCs w:val="20"/>
        </w:rPr>
        <w:t xml:space="preserve"> denotes mean annual temperature, TOC denotes total organic carbon, TN denotes total nitrogen, NO</w:t>
      </w:r>
      <w:r>
        <w:rPr>
          <w:rFonts w:ascii="Times New Roman" w:hAnsi="Times New Roman"/>
          <w:sz w:val="20"/>
          <w:szCs w:val="20"/>
          <w:vertAlign w:val="subscript"/>
        </w:rPr>
        <w:t>3</w:t>
      </w:r>
      <w:r>
        <w:rPr>
          <w:rFonts w:ascii="Times New Roman" w:hAnsi="Times New Roman"/>
          <w:sz w:val="20"/>
          <w:szCs w:val="20"/>
          <w:vertAlign w:val="superscript"/>
        </w:rPr>
        <w:t>-</w:t>
      </w:r>
      <w:r>
        <w:rPr>
          <w:rFonts w:ascii="Times New Roman" w:hAnsi="Times New Roman"/>
          <w:sz w:val="20"/>
          <w:szCs w:val="20"/>
        </w:rPr>
        <w:t xml:space="preserve"> denotes nitrate, and NH</w:t>
      </w:r>
      <w:r>
        <w:rPr>
          <w:rFonts w:ascii="Times New Roman" w:hAnsi="Times New Roman"/>
          <w:sz w:val="20"/>
          <w:szCs w:val="20"/>
          <w:vertAlign w:val="subscript"/>
        </w:rPr>
        <w:t>4</w:t>
      </w:r>
      <w:r>
        <w:rPr>
          <w:rFonts w:ascii="Times New Roman" w:hAnsi="Times New Roman"/>
          <w:sz w:val="20"/>
          <w:szCs w:val="20"/>
          <w:vertAlign w:val="superscript"/>
        </w:rPr>
        <w:t>+</w:t>
      </w:r>
      <w:r>
        <w:rPr>
          <w:rFonts w:ascii="Times New Roman" w:hAnsi="Times New Roman"/>
          <w:sz w:val="20"/>
          <w:szCs w:val="20"/>
        </w:rPr>
        <w:t xml:space="preserve"> denotes ammonium).</w:t>
      </w:r>
    </w:p>
    <w:tbl>
      <w:tblPr>
        <w:tblStyle w:val="21"/>
        <w:tblW w:w="4390" w:type="dxa"/>
        <w:jc w:val="center"/>
        <w:tblBorders>
          <w:top w:val="none" w:color="auto" w:sz="6" w:space="0"/>
          <w:left w:val="none" w:color="auto" w:sz="6" w:space="0"/>
          <w:bottom w:val="single" w:color="auto" w:sz="12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0"/>
        <w:gridCol w:w="1065"/>
        <w:gridCol w:w="1097"/>
        <w:gridCol w:w="1098"/>
      </w:tblGrid>
      <w:tr w14:paraId="183CA71F">
        <w:tblPrEx>
          <w:tblBorders>
            <w:top w:val="none" w:color="auto" w:sz="6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70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insideH w:val="single" w:sz="6" w:space="0"/>
              <w:insideV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D72137D">
            <w:pPr>
              <w:widowControl/>
              <w:spacing w:line="360" w:lineRule="exact"/>
              <w:jc w:val="center"/>
              <w:rPr>
                <w:rFonts w:ascii="Times New Roman" w:hAnsi="Times New Roman" w:eastAsia="Times New Roman" w:cs="Times New Roman"/>
                <w:b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Environmental variables</w:t>
            </w:r>
          </w:p>
        </w:tc>
        <w:tc>
          <w:tcPr>
            <w:tcW w:w="159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insideH w:val="single" w:sz="6" w:space="0"/>
              <w:insideV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C625822">
            <w:pPr>
              <w:widowControl/>
              <w:spacing w:line="360" w:lineRule="exact"/>
              <w:jc w:val="center"/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DNRA</w:t>
            </w:r>
          </w:p>
        </w:tc>
        <w:tc>
          <w:tcPr>
            <w:tcW w:w="1647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insideH w:val="single" w:sz="6" w:space="0"/>
              <w:insideV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3DBF343">
            <w:pPr>
              <w:widowControl/>
              <w:spacing w:line="360" w:lineRule="exact"/>
              <w:jc w:val="center"/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DEN</w:t>
            </w:r>
          </w:p>
        </w:tc>
        <w:tc>
          <w:tcPr>
            <w:tcW w:w="164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insideH w:val="single" w:sz="6" w:space="0"/>
              <w:insideV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80FFBD2">
            <w:pPr>
              <w:widowControl/>
              <w:spacing w:line="360" w:lineRule="exact"/>
              <w:jc w:val="center"/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ANA</w:t>
            </w:r>
          </w:p>
        </w:tc>
      </w:tr>
      <w:tr w14:paraId="5169ECDC">
        <w:tblPrEx>
          <w:tblBorders>
            <w:top w:val="none" w:color="auto" w:sz="6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70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E3FF3D">
            <w:pPr>
              <w:widowControl/>
              <w:spacing w:line="360" w:lineRule="exact"/>
              <w:jc w:val="center"/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MAT</w:t>
            </w:r>
          </w:p>
        </w:tc>
        <w:tc>
          <w:tcPr>
            <w:tcW w:w="159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C3C317">
            <w:pPr>
              <w:widowControl/>
              <w:spacing w:line="360" w:lineRule="exact"/>
              <w:jc w:val="center"/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-0.07</w:t>
            </w:r>
          </w:p>
        </w:tc>
        <w:tc>
          <w:tcPr>
            <w:tcW w:w="1647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2033D3">
            <w:pPr>
              <w:widowControl/>
              <w:spacing w:line="360" w:lineRule="exact"/>
              <w:jc w:val="center"/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0.29**</w:t>
            </w:r>
          </w:p>
        </w:tc>
        <w:tc>
          <w:tcPr>
            <w:tcW w:w="164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712A20">
            <w:pPr>
              <w:widowControl/>
              <w:spacing w:line="360" w:lineRule="exact"/>
              <w:jc w:val="center"/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0.09</w:t>
            </w:r>
          </w:p>
        </w:tc>
      </w:tr>
      <w:tr w14:paraId="69077382">
        <w:tblPrEx>
          <w:tblBorders>
            <w:top w:val="none" w:color="auto" w:sz="6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B08897">
            <w:pPr>
              <w:widowControl/>
              <w:spacing w:line="360" w:lineRule="exact"/>
              <w:jc w:val="center"/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MAP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74EC6F">
            <w:pPr>
              <w:widowControl/>
              <w:spacing w:line="360" w:lineRule="exact"/>
              <w:jc w:val="center"/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0.17**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9F4785">
            <w:pPr>
              <w:widowControl/>
              <w:spacing w:line="360" w:lineRule="exact"/>
              <w:jc w:val="center"/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0.13*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87BA6A">
            <w:pPr>
              <w:widowControl/>
              <w:spacing w:line="360" w:lineRule="exact"/>
              <w:jc w:val="center"/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-0.07</w:t>
            </w:r>
          </w:p>
        </w:tc>
      </w:tr>
      <w:tr w14:paraId="16487AFF">
        <w:tblPrEx>
          <w:tblBorders>
            <w:top w:val="none" w:color="auto" w:sz="6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E73DDB">
            <w:pPr>
              <w:widowControl/>
              <w:spacing w:line="360" w:lineRule="exact"/>
              <w:jc w:val="center"/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Depth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3CEF86">
            <w:pPr>
              <w:widowControl/>
              <w:spacing w:line="360" w:lineRule="exact"/>
              <w:jc w:val="center"/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0.09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BDAFE9">
            <w:pPr>
              <w:widowControl/>
              <w:spacing w:line="360" w:lineRule="exact"/>
              <w:jc w:val="center"/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-0.08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125B60">
            <w:pPr>
              <w:widowControl/>
              <w:spacing w:line="360" w:lineRule="exact"/>
              <w:jc w:val="center"/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0.09</w:t>
            </w:r>
          </w:p>
        </w:tc>
      </w:tr>
      <w:tr w14:paraId="6123DDE8">
        <w:tblPrEx>
          <w:tblBorders>
            <w:top w:val="none" w:color="auto" w:sz="6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A34BB2">
            <w:pPr>
              <w:widowControl/>
              <w:spacing w:line="360" w:lineRule="exact"/>
              <w:jc w:val="center"/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pH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9BDB4F">
            <w:pPr>
              <w:widowControl/>
              <w:spacing w:line="360" w:lineRule="exact"/>
              <w:jc w:val="center"/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0.06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39320D">
            <w:pPr>
              <w:widowControl/>
              <w:spacing w:line="360" w:lineRule="exact"/>
              <w:jc w:val="center"/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-0.02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41FA15">
            <w:pPr>
              <w:widowControl/>
              <w:spacing w:line="360" w:lineRule="exact"/>
              <w:jc w:val="center"/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0.1</w:t>
            </w:r>
          </w:p>
        </w:tc>
      </w:tr>
      <w:tr w14:paraId="63386391">
        <w:tblPrEx>
          <w:tblBorders>
            <w:top w:val="none" w:color="auto" w:sz="6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04E4CC">
            <w:pPr>
              <w:widowControl/>
              <w:spacing w:line="360" w:lineRule="exact"/>
              <w:jc w:val="center"/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TOC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CA45F2">
            <w:pPr>
              <w:widowControl/>
              <w:spacing w:line="360" w:lineRule="exact"/>
              <w:jc w:val="center"/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0.01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EA149B">
            <w:pPr>
              <w:widowControl/>
              <w:spacing w:line="360" w:lineRule="exact"/>
              <w:jc w:val="center"/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0.01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2540EB">
            <w:pPr>
              <w:widowControl/>
              <w:spacing w:line="360" w:lineRule="exact"/>
              <w:jc w:val="center"/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0.07</w:t>
            </w:r>
          </w:p>
        </w:tc>
      </w:tr>
      <w:tr w14:paraId="46B7B3F2">
        <w:tblPrEx>
          <w:tblBorders>
            <w:top w:val="none" w:color="auto" w:sz="6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50969C">
            <w:pPr>
              <w:widowControl/>
              <w:spacing w:line="360" w:lineRule="exact"/>
              <w:jc w:val="center"/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TN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AE857B">
            <w:pPr>
              <w:widowControl/>
              <w:spacing w:line="360" w:lineRule="exact"/>
              <w:jc w:val="center"/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-0.08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43C355">
            <w:pPr>
              <w:widowControl/>
              <w:spacing w:line="360" w:lineRule="exact"/>
              <w:jc w:val="center"/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-0.05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A97343">
            <w:pPr>
              <w:widowControl/>
              <w:spacing w:line="360" w:lineRule="exact"/>
              <w:jc w:val="center"/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-0.06</w:t>
            </w:r>
          </w:p>
        </w:tc>
      </w:tr>
      <w:tr w14:paraId="551EAA97">
        <w:tblPrEx>
          <w:tblBorders>
            <w:top w:val="none" w:color="auto" w:sz="6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7F2641">
            <w:pPr>
              <w:widowControl/>
              <w:spacing w:line="360" w:lineRule="exact"/>
              <w:jc w:val="center"/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NO</w:t>
            </w: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3</w:t>
            </w: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-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EB4F32">
            <w:pPr>
              <w:widowControl/>
              <w:spacing w:line="360" w:lineRule="exact"/>
              <w:jc w:val="center"/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-0.04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4A2B38">
            <w:pPr>
              <w:widowControl/>
              <w:spacing w:line="360" w:lineRule="exact"/>
              <w:jc w:val="center"/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-0.18**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68FF81">
            <w:pPr>
              <w:widowControl/>
              <w:spacing w:line="360" w:lineRule="exact"/>
              <w:jc w:val="center"/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</w:tr>
      <w:tr w14:paraId="68B7DB7B">
        <w:tblPrEx>
          <w:tblBorders>
            <w:top w:val="none" w:color="auto" w:sz="6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833B93">
            <w:pPr>
              <w:widowControl/>
              <w:spacing w:line="360" w:lineRule="exact"/>
              <w:jc w:val="center"/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NH</w:t>
            </w: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4</w:t>
            </w: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+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912C48">
            <w:pPr>
              <w:widowControl/>
              <w:spacing w:line="360" w:lineRule="exact"/>
              <w:jc w:val="center"/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0.05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5C6A46">
            <w:pPr>
              <w:widowControl/>
              <w:spacing w:line="360" w:lineRule="exact"/>
              <w:jc w:val="center"/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-0.08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65C808">
            <w:pPr>
              <w:widowControl/>
              <w:spacing w:line="360" w:lineRule="exact"/>
              <w:jc w:val="center"/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-0.06</w:t>
            </w:r>
          </w:p>
        </w:tc>
      </w:tr>
      <w:tr w14:paraId="24116030">
        <w:tblPrEx>
          <w:tblBorders>
            <w:top w:val="none" w:color="auto" w:sz="6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6BF232">
            <w:pPr>
              <w:widowControl/>
              <w:spacing w:line="360" w:lineRule="exact"/>
              <w:jc w:val="center"/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Moisture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37534F">
            <w:pPr>
              <w:widowControl/>
              <w:spacing w:line="360" w:lineRule="exact"/>
              <w:jc w:val="center"/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-0.09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83F44F">
            <w:pPr>
              <w:widowControl/>
              <w:spacing w:line="360" w:lineRule="exact"/>
              <w:jc w:val="center"/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0.14*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406938">
            <w:pPr>
              <w:widowControl/>
              <w:spacing w:line="360" w:lineRule="exact"/>
              <w:jc w:val="center"/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0.28**</w:t>
            </w:r>
          </w:p>
        </w:tc>
      </w:tr>
      <w:tr w14:paraId="0F42D743">
        <w:tblPrEx>
          <w:tblBorders>
            <w:top w:val="none" w:color="auto" w:sz="6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A3D8EB">
            <w:pPr>
              <w:widowControl/>
              <w:spacing w:line="360" w:lineRule="exact"/>
              <w:jc w:val="center"/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DNRA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C59427">
            <w:pPr>
              <w:widowControl/>
              <w:spacing w:line="360" w:lineRule="exact"/>
              <w:jc w:val="center"/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D15B69">
            <w:pPr>
              <w:widowControl/>
              <w:spacing w:line="360" w:lineRule="exact"/>
              <w:jc w:val="center"/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0.09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AC8A4E">
            <w:pPr>
              <w:widowControl/>
              <w:spacing w:line="360" w:lineRule="exact"/>
              <w:jc w:val="center"/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0.13*</w:t>
            </w:r>
          </w:p>
        </w:tc>
      </w:tr>
      <w:tr w14:paraId="130E5C9D">
        <w:tblPrEx>
          <w:tblBorders>
            <w:top w:val="none" w:color="auto" w:sz="6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48E1CF">
            <w:pPr>
              <w:widowControl/>
              <w:spacing w:line="360" w:lineRule="exact"/>
              <w:jc w:val="center"/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DEN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0B8C15">
            <w:pPr>
              <w:spacing w:line="360" w:lineRule="exact"/>
              <w:jc w:val="center"/>
              <w:rPr>
                <w:rFonts w:ascii="Times New Roman" w:hAnsi="Times New Roman"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09B8DB">
            <w:pPr>
              <w:widowControl/>
              <w:spacing w:line="360" w:lineRule="exact"/>
              <w:jc w:val="center"/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055804">
            <w:pPr>
              <w:widowControl/>
              <w:spacing w:line="360" w:lineRule="exact"/>
              <w:jc w:val="center"/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0.51**</w:t>
            </w:r>
          </w:p>
        </w:tc>
      </w:tr>
      <w:tr w14:paraId="15116A0F">
        <w:tblPrEx>
          <w:tblBorders>
            <w:top w:val="none" w:color="auto" w:sz="6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70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29039E45">
            <w:pPr>
              <w:widowControl/>
              <w:spacing w:line="360" w:lineRule="exact"/>
              <w:jc w:val="center"/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ANA</w:t>
            </w:r>
          </w:p>
        </w:tc>
        <w:tc>
          <w:tcPr>
            <w:tcW w:w="159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0ADB8F7E">
            <w:pPr>
              <w:spacing w:line="360" w:lineRule="exact"/>
              <w:jc w:val="center"/>
              <w:rPr>
                <w:rFonts w:ascii="Times New Roman" w:hAnsi="Times New Roman"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241C80C2">
            <w:pPr>
              <w:spacing w:line="360" w:lineRule="exact"/>
              <w:jc w:val="center"/>
              <w:rPr>
                <w:rFonts w:ascii="Times New Roman" w:hAnsi="Times New Roman"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74845DDA">
            <w:pPr>
              <w:widowControl/>
              <w:spacing w:line="360" w:lineRule="exact"/>
              <w:jc w:val="center"/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</w:tr>
    </w:tbl>
    <w:p w14:paraId="41A95F80">
      <w:pPr>
        <w:rPr>
          <w:rFonts w:hint="eastAsia" w:ascii="Times New Roman" w:hAnsi="Times New Roman" w:cs="Times New Roman"/>
          <w:sz w:val="20"/>
          <w:szCs w:val="20"/>
        </w:rPr>
      </w:pPr>
    </w:p>
    <w:p w14:paraId="19C19741">
      <w:pPr>
        <w:ind w:firstLine="400" w:firstLineChars="20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Table</w:t>
      </w:r>
      <w:r>
        <w:rPr>
          <w:rFonts w:hint="eastAsia" w:ascii="Times New Roman" w:hAnsi="Times New Roman" w:cs="Times New Roman"/>
          <w:sz w:val="20"/>
          <w:szCs w:val="20"/>
        </w:rPr>
        <w:t xml:space="preserve"> S</w:t>
      </w:r>
      <w:r>
        <w:rPr>
          <w:rFonts w:ascii="Times New Roman" w:hAnsi="Times New Roman" w:cs="Times New Roman"/>
          <w:sz w:val="20"/>
          <w:szCs w:val="20"/>
        </w:rPr>
        <w:t>2</w:t>
      </w:r>
      <w:bookmarkStart w:id="0" w:name="_Hlk220071426"/>
      <w:r>
        <w:rPr>
          <w:rFonts w:ascii="Times New Roman" w:hAnsi="Times New Roman" w:cs="Times New Roman"/>
          <w:sz w:val="20"/>
          <w:szCs w:val="20"/>
        </w:rPr>
        <w:t>. Factor loadings of environmental variables and nitrogen transformation rates on principal components</w:t>
      </w:r>
      <w:bookmarkEnd w:id="0"/>
    </w:p>
    <w:tbl>
      <w:tblPr>
        <w:tblStyle w:val="17"/>
        <w:tblW w:w="794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5"/>
        <w:gridCol w:w="960"/>
        <w:gridCol w:w="960"/>
        <w:gridCol w:w="960"/>
        <w:gridCol w:w="960"/>
        <w:gridCol w:w="960"/>
        <w:gridCol w:w="960"/>
        <w:gridCol w:w="960"/>
      </w:tblGrid>
      <w:tr w14:paraId="04EBBC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25" w:type="dxa"/>
            <w:tcBorders>
              <w:top w:val="single" w:color="000000" w:sz="12" w:space="0"/>
              <w:left w:val="nil"/>
              <w:bottom w:val="nil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32D465B7"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6720" w:type="dxa"/>
            <w:gridSpan w:val="7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4EF3CD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Component</w:t>
            </w:r>
          </w:p>
        </w:tc>
      </w:tr>
      <w:tr w14:paraId="770C3A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2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62ACD565"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1B8366AD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1B06AC4E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6A0CDB50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0A4687FF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4EDC05BF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69D54E7F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37313D5F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</w:tr>
      <w:tr w14:paraId="70C54E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2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20DA4B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TOC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633229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0.826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880A3D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0.034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FD9A9A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0.173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20FAFB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0.216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4964E6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-0.138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B08CD2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0.189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170FC8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-0.02</w:t>
            </w:r>
          </w:p>
        </w:tc>
      </w:tr>
      <w:tr w14:paraId="4B173F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4F9C10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23081F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FB8632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-0.172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580C98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E81AA7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0.187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536709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-0.096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A4B378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0.092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85A4FC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-0.205</w:t>
            </w:r>
          </w:p>
        </w:tc>
      </w:tr>
      <w:tr w14:paraId="5BA90BB9">
        <w:trPr>
          <w:trHeight w:val="280" w:hRule="atLeast"/>
          <w:jc w:val="center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F37BEF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Temp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E66BB8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BF6143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0.254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032513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-0.071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B22CA9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-0.289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68124F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-0.303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931C0B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0.009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A7A671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0.112</w:t>
            </w:r>
          </w:p>
        </w:tc>
      </w:tr>
      <w:tr w14:paraId="298A22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33ADC4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MAP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9E382D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-0.641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DE1FD7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-0.159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7860EF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-0.119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2B84E5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0.559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961763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0.105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0C14C5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85A14F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-0.034</w:t>
            </w:r>
          </w:p>
        </w:tc>
      </w:tr>
      <w:tr w14:paraId="69B14C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4A0C98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MAT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D1E6F4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-0.616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960046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0.048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954AE9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0.478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677915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0.199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9CC318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-0.123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F5267D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-0.124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D28126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-0.017</w:t>
            </w:r>
          </w:p>
        </w:tc>
      </w:tr>
      <w:tr w14:paraId="652B79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C9C47F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ANA rate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842CC1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-0.021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B5C22E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0.729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E71EEC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0.307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9A3720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0.145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4195F9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0.182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235902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0.142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1A7C9D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-0.04</w:t>
            </w:r>
          </w:p>
        </w:tc>
      </w:tr>
      <w:tr w14:paraId="3EB17A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E26931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Fe(II)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EA5045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0.048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164E3F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0.602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C47EEF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-0.191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466B92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0.067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99843A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0.321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7263C8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0.239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6AF122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0.024</w:t>
            </w:r>
          </w:p>
        </w:tc>
      </w:tr>
      <w:tr w14:paraId="7C3669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B154C0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DEN rate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0D1E58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51F295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0.522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D40516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0.408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D3F75C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C53A25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-0.064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548058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CCA72E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-0.086</w:t>
            </w:r>
          </w:p>
        </w:tc>
      </w:tr>
      <w:tr w14:paraId="41DABE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709869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Depth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93DE2B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0.155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BEF249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61AC1D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-0.517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14CD52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-0.264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159522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0.085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072B18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-0.257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0D0738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-0.094</w:t>
            </w:r>
          </w:p>
        </w:tc>
      </w:tr>
      <w:tr w14:paraId="737403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C9D43C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Moisture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E00F68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0.167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BC14AC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0.408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71E91E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0.484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090D8D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-0.338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59920C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-0.032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449634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-0.105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42F314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-0.184</w:t>
            </w:r>
          </w:p>
        </w:tc>
      </w:tr>
      <w:tr w14:paraId="75AA97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C4CE3C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NH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4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vertAlign w:val="superscript"/>
                <w:lang w:bidi="a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28C05E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-0.187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68B78E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-0.225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56A185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-0.347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7F4A7A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0.216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58F805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0.272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2FBF84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0.229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D313C8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-0.203</w:t>
            </w:r>
          </w:p>
        </w:tc>
      </w:tr>
      <w:tr w14:paraId="5A9006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84E965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FA9433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0.037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14071A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61281E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-0.324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4CF628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0.287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8C4369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-0.291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02D5AE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-0.173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CC5971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-0.231</w:t>
            </w:r>
          </w:p>
        </w:tc>
      </w:tr>
      <w:tr w14:paraId="4B964A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622D55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NO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3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vertAlign w:val="superscript"/>
                <w:lang w:bidi="ar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71F290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-0.145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73729B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-0.242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005431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0.377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AA91E7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-0.421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AC03F0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0.478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1FF0CA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0.264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657716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0.197</w:t>
            </w:r>
          </w:p>
        </w:tc>
      </w:tr>
      <w:tr w14:paraId="7BF3BB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B7E375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9DFB96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0.202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C97B8A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0.434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953301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-0.337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D266FC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-0.025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C59F2B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-0.439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783BB7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-0.053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97C881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0.266</w:t>
            </w:r>
          </w:p>
        </w:tc>
      </w:tr>
      <w:tr w14:paraId="04FF55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675844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C/N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B20A30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3D92F9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-0.061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3C5BDB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0.017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9CD513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0.371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A6FEC2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0.434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8855E9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-0.427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5481AB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0.225</w:t>
            </w:r>
          </w:p>
        </w:tc>
      </w:tr>
      <w:tr w14:paraId="4C2FAD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814F7F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Density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D3961A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0.144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322A8D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0.136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974B85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-0.263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392787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-0.212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AE2356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0.379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8E640C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-0.083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A0F6FA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0.19</w:t>
            </w:r>
          </w:p>
        </w:tc>
      </w:tr>
      <w:tr w14:paraId="23D05F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29DC9E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Salinity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017DE0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46EA78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9DCD3E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0.149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D7A096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0.202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3864E4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0.157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838D31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CC6F23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0.423</w:t>
            </w:r>
          </w:p>
        </w:tc>
      </w:tr>
      <w:tr w14:paraId="0D83D3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EC2D15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DNRA rate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8A3CF7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-0.064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51D4BB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5ACD4C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-0.289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829B66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0.285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907A24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AA61A3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0.393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708AA6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-0.071</w:t>
            </w:r>
          </w:p>
        </w:tc>
      </w:tr>
      <w:tr w14:paraId="0F3B8D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2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1553D81E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SOM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4C96BB9B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0.091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4DA818CD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-0.054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44CC551A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-0.015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6DE99E1C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0.198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366385F1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-0.273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23164C70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0.434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297F2F05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0.723</w:t>
            </w:r>
          </w:p>
        </w:tc>
      </w:tr>
    </w:tbl>
    <w:p w14:paraId="4D47E66A">
      <w:pPr>
        <w:rPr>
          <w:rFonts w:hint="eastAsia" w:ascii="Times New Roman" w:hAnsi="Times New Roman" w:cs="Times New Roman"/>
        </w:rPr>
      </w:pPr>
    </w:p>
    <w:p w14:paraId="5A5F5AFB">
      <w:pPr>
        <w:ind w:firstLine="400" w:firstLineChars="20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Table </w:t>
      </w:r>
      <w:r>
        <w:rPr>
          <w:rFonts w:hint="eastAsia" w:ascii="Times New Roman" w:hAnsi="Times New Roman" w:cs="Times New Roman"/>
          <w:sz w:val="20"/>
          <w:szCs w:val="20"/>
        </w:rPr>
        <w:t>S3</w:t>
      </w:r>
      <w:r>
        <w:rPr>
          <w:rFonts w:ascii="Times New Roman" w:hAnsi="Times New Roman" w:cs="Times New Roman"/>
          <w:sz w:val="20"/>
          <w:szCs w:val="20"/>
        </w:rPr>
        <w:t>. Random forest model performance under different validation methods</w:t>
      </w:r>
    </w:p>
    <w:tbl>
      <w:tblPr>
        <w:tblStyle w:val="17"/>
        <w:tblW w:w="753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40"/>
        <w:gridCol w:w="1530"/>
        <w:gridCol w:w="1080"/>
        <w:gridCol w:w="1080"/>
      </w:tblGrid>
      <w:tr w14:paraId="6C5EEA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384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17322D4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kern w:val="0"/>
                <w:sz w:val="22"/>
                <w:szCs w:val="22"/>
                <w:lang w:bidi="ar"/>
              </w:rPr>
              <w:t>Validation</w:t>
            </w:r>
          </w:p>
        </w:tc>
        <w:tc>
          <w:tcPr>
            <w:tcW w:w="153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7B00757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kern w:val="0"/>
                <w:sz w:val="22"/>
                <w:szCs w:val="22"/>
                <w:lang w:bidi="ar"/>
              </w:rPr>
              <w:t>Process</w:t>
            </w:r>
          </w:p>
        </w:tc>
        <w:tc>
          <w:tcPr>
            <w:tcW w:w="108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5BA7C45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kern w:val="0"/>
                <w:sz w:val="22"/>
                <w:szCs w:val="22"/>
                <w:lang w:bidi="ar"/>
              </w:rPr>
              <w:t>R</w:t>
            </w:r>
            <w:r>
              <w:rPr>
                <w:rStyle w:val="44"/>
                <w:rFonts w:eastAsia="宋体"/>
                <w:b w:val="0"/>
                <w:lang w:bidi="ar"/>
              </w:rPr>
              <w:t>2</w:t>
            </w:r>
          </w:p>
        </w:tc>
        <w:tc>
          <w:tcPr>
            <w:tcW w:w="108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4E24946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kern w:val="0"/>
                <w:sz w:val="22"/>
                <w:szCs w:val="22"/>
                <w:lang w:bidi="ar"/>
              </w:rPr>
              <w:t>RMSE</w:t>
            </w:r>
          </w:p>
        </w:tc>
      </w:tr>
      <w:tr w14:paraId="1D2044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840" w:type="dxa"/>
            <w:vMerge w:val="restar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52110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Leave-one-ecosystem-out</w:t>
            </w:r>
          </w:p>
        </w:tc>
        <w:tc>
          <w:tcPr>
            <w:tcW w:w="153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63531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ANA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78741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0.082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0BBB6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1.289</w:t>
            </w:r>
          </w:p>
        </w:tc>
      </w:tr>
      <w:tr w14:paraId="52EFD4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8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E8B2BB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1DA6B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DEN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90D0C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0.335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A5711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1.375</w:t>
            </w:r>
          </w:p>
        </w:tc>
      </w:tr>
      <w:tr w14:paraId="1DEA64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8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B7E9DF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93F2C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DNRA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D5327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-0.219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FE540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2.145</w:t>
            </w:r>
          </w:p>
        </w:tc>
      </w:tr>
      <w:tr w14:paraId="095998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8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310C9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Leave-one-study-out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BCA5B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ANA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2D50E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0.158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86042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1.236</w:t>
            </w:r>
          </w:p>
        </w:tc>
      </w:tr>
      <w:tr w14:paraId="5685CA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8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3B00B2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9682F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DEN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2BBA9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0.465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A2F46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1.216</w:t>
            </w:r>
          </w:p>
        </w:tc>
      </w:tr>
      <w:tr w14:paraId="7D11C3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8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B4E48F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B13E0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DNRA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A58AF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-0.146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D0888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2.084</w:t>
            </w:r>
          </w:p>
        </w:tc>
      </w:tr>
      <w:tr w14:paraId="30EFE8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7ABC3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Out-of-bag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94774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ANA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AFE58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0.557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067CD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0.899</w:t>
            </w:r>
          </w:p>
        </w:tc>
      </w:tr>
      <w:tr w14:paraId="537850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A6DB91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42527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639FB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0.658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F1FCB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0.986</w:t>
            </w:r>
          </w:p>
        </w:tc>
      </w:tr>
      <w:tr w14:paraId="24C85E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49A5864E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6E1E332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DNRA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179D50B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0.264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092D2A9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1.66</w:t>
            </w:r>
          </w:p>
        </w:tc>
      </w:tr>
    </w:tbl>
    <w:p w14:paraId="35E8529B">
      <w:pPr>
        <w:rPr>
          <w:rFonts w:ascii="Times New Roman" w:hAnsi="Times New Roman" w:cs="Times New Roman"/>
        </w:rPr>
      </w:pPr>
    </w:p>
    <w:p w14:paraId="2CB5D02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5266690" cy="3072130"/>
            <wp:effectExtent l="0" t="0" r="3810" b="1270"/>
            <wp:docPr id="2" name="图片 2" descr="RF_observed_vs_predicted_group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RF_observed_vs_predicted_grouped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07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FEA1A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Fig. </w:t>
      </w:r>
      <w:r>
        <w:rPr>
          <w:rFonts w:hint="eastAsia" w:ascii="Times New Roman" w:hAnsi="Times New Roman" w:cs="Times New Roman"/>
          <w:sz w:val="20"/>
          <w:szCs w:val="20"/>
        </w:rPr>
        <w:t>S2</w:t>
      </w:r>
      <w:r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</w:rPr>
        <w:t xml:space="preserve"> Observed-versus-predicted plots for random forest models based on grouped validation</w:t>
      </w:r>
    </w:p>
    <w:p w14:paraId="248CAD28">
      <w:pPr>
        <w:rPr>
          <w:rFonts w:ascii="Times New Roman" w:hAnsi="Times New Roman" w:cs="Times New Roman"/>
        </w:rPr>
      </w:pPr>
    </w:p>
    <w:p w14:paraId="43DBAC6D">
      <w:pPr>
        <w:rPr>
          <w:rFonts w:ascii="Times New Roman" w:hAnsi="Times New Roman" w:cs="Times New Roman"/>
        </w:rPr>
      </w:pPr>
    </w:p>
    <w:p w14:paraId="5D72A3B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5266690" cy="1755775"/>
            <wp:effectExtent l="0" t="0" r="3810" b="9525"/>
            <wp:docPr id="1" name="图片 1" descr="RF_observed_vs_predicted_OO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RF_observed_vs_predicted_OOB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75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FA6A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Fig. </w:t>
      </w:r>
      <w:r>
        <w:rPr>
          <w:rFonts w:hint="eastAsia" w:ascii="Times New Roman" w:hAnsi="Times New Roman" w:cs="Times New Roman"/>
          <w:sz w:val="20"/>
          <w:szCs w:val="20"/>
        </w:rPr>
        <w:t>S3</w:t>
      </w:r>
      <w:r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</w:rPr>
        <w:t xml:space="preserve"> Observed-versus-predicted plots for random forest models based on out-of-bag prediction</w:t>
      </w:r>
    </w:p>
    <w:p w14:paraId="1F3C48BF">
      <w:pPr>
        <w:jc w:val="center"/>
        <w:rPr>
          <w:rFonts w:ascii="Times New Roman" w:hAnsi="Times New Roman" w:cs="Times New Roman"/>
        </w:rPr>
      </w:pPr>
    </w:p>
    <w:p w14:paraId="78E71BE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eastAsia="zh-TW"/>
        </w:rPr>
        <w:drawing>
          <wp:inline distT="0" distB="0" distL="114300" distR="114300">
            <wp:extent cx="5266690" cy="3511550"/>
            <wp:effectExtent l="0" t="0" r="3810" b="6350"/>
            <wp:docPr id="13" name="图片 13" descr="C:/Users/mayao/Desktop/机器学习论文/论文主体/图/功能基因混合效应模型/新新图/Figure_LMM_DEN_genes_ln_log10.pngFigure_LMM_DEN_genes_ln_log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C:/Users/mayao/Desktop/机器学习论文/论文主体/图/功能基因混合效应模型/新新图/Figure_LMM_DEN_genes_ln_log10.pngFigure_LMM_DEN_genes_ln_log10"/>
                    <pic:cNvPicPr>
                      <a:picLocks noChangeAspect="1"/>
                    </pic:cNvPicPr>
                  </pic:nvPicPr>
                  <pic:blipFill>
                    <a:blip r:embed="rId13"/>
                    <a:srcRect l="9" r="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51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lang w:eastAsia="zh-TW"/>
        </w:rPr>
        <w:drawing>
          <wp:inline distT="0" distB="0" distL="114300" distR="114300">
            <wp:extent cx="5266690" cy="3511550"/>
            <wp:effectExtent l="0" t="0" r="3810" b="6350"/>
            <wp:docPr id="14" name="图片 14" descr="C:/Users/mayao/Desktop/机器学习论文/论文主体/图/功能基因混合效应模型/新新图/Figure_LMM_ANA_genes_ln_log10.pngFigure_LMM_ANA_genes_ln_log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C:/Users/mayao/Desktop/机器学习论文/论文主体/图/功能基因混合效应模型/新新图/Figure_LMM_ANA_genes_ln_log10.pngFigure_LMM_ANA_genes_ln_log10"/>
                    <pic:cNvPicPr>
                      <a:picLocks noChangeAspect="1"/>
                    </pic:cNvPicPr>
                  </pic:nvPicPr>
                  <pic:blipFill>
                    <a:blip r:embed="rId14"/>
                    <a:srcRect l="9" r="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51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lang w:eastAsia="zh-TW"/>
        </w:rPr>
        <w:drawing>
          <wp:inline distT="0" distB="0" distL="114300" distR="114300">
            <wp:extent cx="5266690" cy="3511550"/>
            <wp:effectExtent l="0" t="0" r="3810" b="6350"/>
            <wp:docPr id="12" name="图片 12" descr="C:/Users/mayao/Desktop/机器学习论文/论文主体/图/功能基因混合效应模型/新新图/Figure_LMM_DNRA_genes_ln_log10.pngFigure_LMM_DNRA_genes_ln_log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C:/Users/mayao/Desktop/机器学习论文/论文主体/图/功能基因混合效应模型/新新图/Figure_LMM_DNRA_genes_ln_log10.pngFigure_LMM_DNRA_genes_ln_log10"/>
                    <pic:cNvPicPr>
                      <a:picLocks noChangeAspect="1"/>
                    </pic:cNvPicPr>
                  </pic:nvPicPr>
                  <pic:blipFill>
                    <a:blip r:embed="rId15"/>
                    <a:srcRect l="9" r="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51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25A583">
      <w:pPr>
        <w:rPr>
          <w:rFonts w:ascii="Times New Roman" w:hAnsi="Times New Roman" w:cs="Times New Roman"/>
          <w:sz w:val="24"/>
        </w:rPr>
      </w:pPr>
    </w:p>
    <w:p w14:paraId="204B6889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Fig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.</w:t>
      </w:r>
      <w:bookmarkStart w:id="1" w:name="_GoBack"/>
      <w:bookmarkEnd w:id="1"/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hint="eastAsia" w:ascii="Times New Roman" w:hAnsi="Times New Roman" w:cs="Times New Roman"/>
          <w:sz w:val="20"/>
          <w:szCs w:val="20"/>
        </w:rPr>
        <w:t>S4</w:t>
      </w:r>
      <w:r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eastAsia="宋体" w:cs="Times New Roman"/>
          <w:kern w:val="0"/>
          <w:sz w:val="24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Linear mixed model relationship between nitrogen transformation rate and functional gene abundance</w:t>
      </w:r>
    </w:p>
    <w:p w14:paraId="5D434627">
      <w:pPr>
        <w:jc w:val="center"/>
        <w:rPr>
          <w:rFonts w:hint="eastAsia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7482487"/>
    </w:sdtPr>
    <w:sdtEndPr>
      <w:rPr>
        <w:rFonts w:ascii="Times New Roman" w:hAnsi="Times New Roman" w:cs="Times New Roman"/>
      </w:rPr>
    </w:sdtEndPr>
    <w:sdtContent>
      <w:p w14:paraId="7F8D092D">
        <w:pPr>
          <w:pStyle w:val="12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PAGE   \* MERGEFORMAT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lang w:val="zh-CN"/>
          </w:rPr>
          <w:t>21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60A5F649">
    <w:pPr>
      <w:pStyle w:val="1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2880B4">
    <w:pPr>
      <w:pStyle w:val="1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CEA7FB">
    <w:pPr>
      <w:pStyle w:val="1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51A9D0">
    <w:pPr>
      <w:pStyle w:val="1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690942">
    <w:pPr>
      <w:pStyle w:val="1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5F8AC">
    <w:pPr>
      <w:pStyle w:val="1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D6692C5"/>
    <w:multiLevelType w:val="singleLevel"/>
    <w:tmpl w:val="9D6692C5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1F7"/>
    <w:rsid w:val="00175F34"/>
    <w:rsid w:val="00290428"/>
    <w:rsid w:val="002F31F7"/>
    <w:rsid w:val="0035496A"/>
    <w:rsid w:val="004D1BD2"/>
    <w:rsid w:val="0056676F"/>
    <w:rsid w:val="00701C32"/>
    <w:rsid w:val="007448C8"/>
    <w:rsid w:val="007D65BE"/>
    <w:rsid w:val="008D19D1"/>
    <w:rsid w:val="008E7FEC"/>
    <w:rsid w:val="00933A37"/>
    <w:rsid w:val="009B240E"/>
    <w:rsid w:val="009F5CB7"/>
    <w:rsid w:val="00A04AB5"/>
    <w:rsid w:val="00A93BF6"/>
    <w:rsid w:val="00B07B06"/>
    <w:rsid w:val="00B30222"/>
    <w:rsid w:val="00B52EA8"/>
    <w:rsid w:val="00D23CF4"/>
    <w:rsid w:val="00EA42CA"/>
    <w:rsid w:val="00F1602B"/>
    <w:rsid w:val="00F9656D"/>
    <w:rsid w:val="0A3574BF"/>
    <w:rsid w:val="124819E4"/>
    <w:rsid w:val="22852601"/>
    <w:rsid w:val="268B2B2A"/>
    <w:rsid w:val="2CD37E5D"/>
    <w:rsid w:val="310C7D8F"/>
    <w:rsid w:val="52CB3C2D"/>
    <w:rsid w:val="53FF772D"/>
    <w:rsid w:val="633261F2"/>
    <w:rsid w:val="7A272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2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3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4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5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6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7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  <w:szCs w:val="22"/>
    </w:rPr>
  </w:style>
  <w:style w:type="paragraph" w:styleId="8">
    <w:name w:val="heading 7"/>
    <w:basedOn w:val="1"/>
    <w:next w:val="1"/>
    <w:link w:val="28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9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0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42"/>
    <w:qFormat/>
    <w:uiPriority w:val="0"/>
    <w:pPr>
      <w:jc w:val="left"/>
    </w:pPr>
    <w:rPr>
      <w:rFonts w:ascii="Calibri" w:hAnsi="Calibri" w:eastAsia="宋体" w:cs="Times New Roman"/>
    </w:rPr>
  </w:style>
  <w:style w:type="paragraph" w:styleId="12">
    <w:name w:val="footer"/>
    <w:basedOn w:val="1"/>
    <w:link w:val="4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40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32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Normal (Web)"/>
    <w:basedOn w:val="1"/>
    <w:semiHidden/>
    <w:unhideWhenUsed/>
    <w:qFormat/>
    <w:uiPriority w:val="99"/>
    <w:rPr>
      <w:sz w:val="24"/>
    </w:rPr>
  </w:style>
  <w:style w:type="paragraph" w:styleId="16">
    <w:name w:val="Title"/>
    <w:basedOn w:val="1"/>
    <w:next w:val="1"/>
    <w:link w:val="31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9">
    <w:name w:val="Hyperlink"/>
    <w:basedOn w:val="18"/>
    <w:qFormat/>
    <w:uiPriority w:val="0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styleId="20">
    <w:name w:val="annotation reference"/>
    <w:basedOn w:val="18"/>
    <w:qFormat/>
    <w:uiPriority w:val="0"/>
    <w:rPr>
      <w:sz w:val="21"/>
      <w:szCs w:val="21"/>
    </w:rPr>
  </w:style>
  <w:style w:type="table" w:customStyle="1" w:styleId="21">
    <w:name w:val="三线表"/>
    <w:basedOn w:val="17"/>
    <w:qFormat/>
    <w:uiPriority w:val="99"/>
    <w:pPr>
      <w:spacing w:line="360" w:lineRule="exact"/>
      <w:jc w:val="center"/>
    </w:pPr>
    <w:rPr>
      <w:rFonts w:eastAsia="Times New Roman"/>
    </w:rPr>
    <w:tblPr>
      <w:tblBorders>
        <w:bottom w:val="single" w:color="auto" w:sz="12" w:space="0"/>
      </w:tblBorders>
    </w:tblPr>
    <w:tblStylePr w:type="firstRow">
      <w:tcPr>
        <w:tcBorders>
          <w:top w:val="single" w:color="auto" w:sz="12" w:space="0"/>
          <w:left w:val="nil"/>
          <w:bottom w:val="single" w:color="auto" w:sz="6" w:space="0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22">
    <w:name w:val="标题 1 字符"/>
    <w:basedOn w:val="18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3">
    <w:name w:val="标题 2 字符"/>
    <w:basedOn w:val="18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4">
    <w:name w:val="标题 3 字符"/>
    <w:basedOn w:val="18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5">
    <w:name w:val="标题 4 字符"/>
    <w:basedOn w:val="18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6">
    <w:name w:val="标题 5 字符"/>
    <w:basedOn w:val="18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7">
    <w:name w:val="标题 6 字符"/>
    <w:basedOn w:val="18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8">
    <w:name w:val="标题 7 字符"/>
    <w:basedOn w:val="18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8 字符"/>
    <w:basedOn w:val="18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9 字符"/>
    <w:basedOn w:val="18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1">
    <w:name w:val="标题 字符"/>
    <w:basedOn w:val="18"/>
    <w:link w:val="1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2">
    <w:name w:val="副标题 字符"/>
    <w:basedOn w:val="18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3">
    <w:name w:val="Quote"/>
    <w:basedOn w:val="1"/>
    <w:next w:val="1"/>
    <w:link w:val="34"/>
    <w:qFormat/>
    <w:uiPriority w:val="29"/>
    <w:pPr>
      <w:spacing w:before="160" w:after="160"/>
      <w:jc w:val="center"/>
    </w:pPr>
    <w:rPr>
      <w:i/>
      <w:iCs/>
      <w:color w:val="404040" w:themeColor="text1" w:themeTint="BF"/>
      <w:szCs w:val="2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4">
    <w:name w:val="引用 字符"/>
    <w:basedOn w:val="18"/>
    <w:link w:val="33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5">
    <w:name w:val="List Paragraph"/>
    <w:basedOn w:val="1"/>
    <w:qFormat/>
    <w:uiPriority w:val="34"/>
    <w:pPr>
      <w:ind w:left="720"/>
      <w:contextualSpacing/>
    </w:pPr>
    <w:rPr>
      <w:szCs w:val="22"/>
    </w:rPr>
  </w:style>
  <w:style w:type="character" w:customStyle="1" w:styleId="36">
    <w:name w:val="明显强调1"/>
    <w:basedOn w:val="18"/>
    <w:qFormat/>
    <w:uiPriority w:val="21"/>
    <w:rPr>
      <w:i/>
      <w:iCs/>
      <w:color w:val="104862" w:themeColor="accent1" w:themeShade="BF"/>
    </w:rPr>
  </w:style>
  <w:style w:type="paragraph" w:styleId="37">
    <w:name w:val="Intense Quote"/>
    <w:basedOn w:val="1"/>
    <w:next w:val="1"/>
    <w:link w:val="38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  <w:szCs w:val="22"/>
    </w:rPr>
  </w:style>
  <w:style w:type="character" w:customStyle="1" w:styleId="38">
    <w:name w:val="明显引用 字符"/>
    <w:basedOn w:val="18"/>
    <w:link w:val="37"/>
    <w:qFormat/>
    <w:uiPriority w:val="30"/>
    <w:rPr>
      <w:i/>
      <w:iCs/>
      <w:color w:val="104862" w:themeColor="accent1" w:themeShade="BF"/>
    </w:rPr>
  </w:style>
  <w:style w:type="character" w:customStyle="1" w:styleId="39">
    <w:name w:val="明显参考1"/>
    <w:basedOn w:val="18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40">
    <w:name w:val="页眉 字符"/>
    <w:basedOn w:val="18"/>
    <w:link w:val="13"/>
    <w:qFormat/>
    <w:uiPriority w:val="99"/>
    <w:rPr>
      <w:sz w:val="18"/>
      <w:szCs w:val="18"/>
    </w:rPr>
  </w:style>
  <w:style w:type="character" w:customStyle="1" w:styleId="41">
    <w:name w:val="页脚 字符"/>
    <w:basedOn w:val="18"/>
    <w:link w:val="12"/>
    <w:qFormat/>
    <w:uiPriority w:val="99"/>
    <w:rPr>
      <w:sz w:val="18"/>
      <w:szCs w:val="18"/>
    </w:rPr>
  </w:style>
  <w:style w:type="character" w:customStyle="1" w:styleId="42">
    <w:name w:val="批注文字 字符"/>
    <w:basedOn w:val="18"/>
    <w:link w:val="11"/>
    <w:qFormat/>
    <w:uiPriority w:val="0"/>
    <w:rPr>
      <w:szCs w:val="24"/>
    </w:rPr>
  </w:style>
  <w:style w:type="paragraph" w:customStyle="1" w:styleId="43">
    <w:name w:val="msolistparagraph"/>
    <w:basedOn w:val="1"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character" w:customStyle="1" w:styleId="44">
    <w:name w:val="font31"/>
    <w:basedOn w:val="18"/>
    <w:qFormat/>
    <w:uiPriority w:val="0"/>
    <w:rPr>
      <w:rFonts w:hint="default" w:ascii="Times New Roman" w:hAnsi="Times New Roman" w:cs="Times New Roman"/>
      <w:b/>
      <w:bCs/>
      <w:color w:val="000000"/>
      <w:sz w:val="22"/>
      <w:szCs w:val="22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image" Target="media/image6.png"/><Relationship Id="rId14" Type="http://schemas.openxmlformats.org/officeDocument/2006/relationships/image" Target="media/image5.png"/><Relationship Id="rId13" Type="http://schemas.openxmlformats.org/officeDocument/2006/relationships/image" Target="media/image4.png"/><Relationship Id="rId12" Type="http://schemas.openxmlformats.org/officeDocument/2006/relationships/image" Target="media/image3.png"/><Relationship Id="rId11" Type="http://schemas.openxmlformats.org/officeDocument/2006/relationships/image" Target="media/image2.png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442</Words>
  <Characters>2491</Characters>
  <Lines>338</Lines>
  <Paragraphs>310</Paragraphs>
  <TotalTime>0</TotalTime>
  <ScaleCrop>false</ScaleCrop>
  <LinksUpToDate>false</LinksUpToDate>
  <CharactersWithSpaces>2675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2026-01-23T04:57:00Z</dcterms:created>
  <dc:creator>yao ma</dc:creator>
  <cp:lastModifiedBy>小太阳啊会发光</cp:lastModifiedBy>
  <dcterms:modified xsi:type="dcterms:W3CDTF">2026-06-12T10:01:37Z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eyJoZGlkIjoiY2RmNjU2NGZjZTdkNTUyZjE4MjE3NDllNWY3YjFkZDciLCJ1c2VySWQiOiI2Nzc2MjI1NjUifQ==</vt:lpwstr>
  </property>
  <property fmtid="{D5CDD505-2E9C-101B-9397-08002B2CF9AE}" pid="3" name="KSOProductBuildVer">
    <vt:lpwstr>2052-12.1.0.21915</vt:lpwstr>
  </property>
  <property fmtid="{D5CDD505-2E9C-101B-9397-08002B2CF9AE}" pid="4" name="ICV">
    <vt:lpwstr>7FF6632891C6499EA1A792DC057DE626_12</vt:lpwstr>
  </property>
</Properties>
</file>