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904AA" w14:textId="4AD79E31" w:rsidR="00091C26" w:rsidRDefault="00091C26" w:rsidP="00091C26">
      <w:pPr>
        <w:jc w:val="center"/>
      </w:pPr>
      <w:r w:rsidRPr="00FD175A">
        <w:rPr>
          <w:rFonts w:ascii="Times New Roman" w:hAnsi="Times New Roman" w:cs="Times New Roman"/>
          <w:b/>
          <w:bCs/>
        </w:rPr>
        <w:t>Table S</w:t>
      </w:r>
      <w:r w:rsidR="006C2410">
        <w:rPr>
          <w:rFonts w:ascii="Times New Roman" w:hAnsi="Times New Roman" w:cs="Times New Roman"/>
          <w:b/>
          <w:bCs/>
        </w:rPr>
        <w:t>2</w:t>
      </w:r>
      <w:r w:rsidRPr="00FD175A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Distribution of the core, accessory and YE16 unique genes into COG functional categories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947"/>
        <w:gridCol w:w="1292"/>
        <w:gridCol w:w="1837"/>
        <w:gridCol w:w="1564"/>
      </w:tblGrid>
      <w:tr w:rsidR="00F175D1" w:rsidRPr="00816C81" w14:paraId="1D8425A5" w14:textId="77777777" w:rsidTr="002336DC">
        <w:tc>
          <w:tcPr>
            <w:tcW w:w="4947" w:type="dxa"/>
            <w:hideMark/>
          </w:tcPr>
          <w:p w14:paraId="639C01EB" w14:textId="133643A4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816C81">
              <w:rPr>
                <w:rFonts w:ascii="Times New Roman" w:hAnsi="Times New Roman" w:cs="Times New Roman"/>
                <w:b/>
                <w:bCs/>
              </w:rPr>
              <w:t>COG Functional category</w:t>
            </w:r>
          </w:p>
        </w:tc>
        <w:tc>
          <w:tcPr>
            <w:tcW w:w="1292" w:type="dxa"/>
            <w:hideMark/>
          </w:tcPr>
          <w:p w14:paraId="73028702" w14:textId="442BB131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816C81">
              <w:rPr>
                <w:rFonts w:ascii="Times New Roman" w:hAnsi="Times New Roman" w:cs="Times New Roman"/>
                <w:b/>
                <w:bCs/>
              </w:rPr>
              <w:t>Core (%)</w:t>
            </w:r>
          </w:p>
        </w:tc>
        <w:tc>
          <w:tcPr>
            <w:tcW w:w="1837" w:type="dxa"/>
            <w:hideMark/>
          </w:tcPr>
          <w:p w14:paraId="4302547B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816C81">
              <w:rPr>
                <w:rFonts w:ascii="Times New Roman" w:hAnsi="Times New Roman" w:cs="Times New Roman"/>
                <w:b/>
                <w:bCs/>
              </w:rPr>
              <w:t xml:space="preserve">Accessory (%) </w:t>
            </w:r>
          </w:p>
        </w:tc>
        <w:tc>
          <w:tcPr>
            <w:tcW w:w="1564" w:type="dxa"/>
            <w:hideMark/>
          </w:tcPr>
          <w:p w14:paraId="4B6FDD28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816C81">
              <w:rPr>
                <w:rFonts w:ascii="Times New Roman" w:hAnsi="Times New Roman" w:cs="Times New Roman"/>
                <w:b/>
                <w:bCs/>
              </w:rPr>
              <w:t>Unique (%)</w:t>
            </w:r>
          </w:p>
        </w:tc>
      </w:tr>
      <w:tr w:rsidR="00F175D1" w:rsidRPr="00816C81" w14:paraId="6169E3BB" w14:textId="77777777" w:rsidTr="002336DC">
        <w:tc>
          <w:tcPr>
            <w:tcW w:w="4947" w:type="dxa"/>
            <w:hideMark/>
          </w:tcPr>
          <w:p w14:paraId="5DC4773B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bookmarkStart w:id="0" w:name="_Hlk221309971"/>
            <w:r w:rsidRPr="00816C81">
              <w:rPr>
                <w:rFonts w:ascii="Times New Roman" w:hAnsi="Times New Roman" w:cs="Times New Roman"/>
              </w:rPr>
              <w:t>RNA processing and modification</w:t>
            </w:r>
          </w:p>
        </w:tc>
        <w:tc>
          <w:tcPr>
            <w:tcW w:w="1292" w:type="dxa"/>
            <w:vAlign w:val="bottom"/>
            <w:hideMark/>
          </w:tcPr>
          <w:p w14:paraId="551EF62A" w14:textId="1BC781E6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837" w:type="dxa"/>
            <w:vAlign w:val="bottom"/>
            <w:hideMark/>
          </w:tcPr>
          <w:p w14:paraId="1FD67A08" w14:textId="119FFBAE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564" w:type="dxa"/>
            <w:hideMark/>
          </w:tcPr>
          <w:p w14:paraId="02145768" w14:textId="7F0FA2B3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0</w:t>
            </w:r>
          </w:p>
        </w:tc>
      </w:tr>
      <w:tr w:rsidR="00F175D1" w:rsidRPr="00816C81" w14:paraId="7C3AF7E3" w14:textId="77777777" w:rsidTr="002336DC">
        <w:tc>
          <w:tcPr>
            <w:tcW w:w="4947" w:type="dxa"/>
            <w:hideMark/>
          </w:tcPr>
          <w:p w14:paraId="12CEB077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Chromatin structure and dynamics</w:t>
            </w:r>
          </w:p>
        </w:tc>
        <w:tc>
          <w:tcPr>
            <w:tcW w:w="1292" w:type="dxa"/>
            <w:vAlign w:val="bottom"/>
            <w:hideMark/>
          </w:tcPr>
          <w:p w14:paraId="1E5487C5" w14:textId="541230F9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1837" w:type="dxa"/>
            <w:vAlign w:val="bottom"/>
            <w:hideMark/>
          </w:tcPr>
          <w:p w14:paraId="2BE94F6F" w14:textId="737D7C3C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564" w:type="dxa"/>
            <w:hideMark/>
          </w:tcPr>
          <w:p w14:paraId="30991803" w14:textId="0CB9EDE1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0</w:t>
            </w:r>
          </w:p>
        </w:tc>
      </w:tr>
      <w:bookmarkEnd w:id="0"/>
      <w:tr w:rsidR="00F175D1" w:rsidRPr="00816C81" w14:paraId="546F98D0" w14:textId="77777777" w:rsidTr="002336DC">
        <w:tc>
          <w:tcPr>
            <w:tcW w:w="4947" w:type="dxa"/>
            <w:hideMark/>
          </w:tcPr>
          <w:p w14:paraId="528528C4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Energy production and conversion</w:t>
            </w:r>
          </w:p>
        </w:tc>
        <w:tc>
          <w:tcPr>
            <w:tcW w:w="1292" w:type="dxa"/>
            <w:vAlign w:val="bottom"/>
            <w:hideMark/>
          </w:tcPr>
          <w:p w14:paraId="5979C10A" w14:textId="31F3FCDD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5.49</w:t>
            </w:r>
          </w:p>
        </w:tc>
        <w:tc>
          <w:tcPr>
            <w:tcW w:w="1837" w:type="dxa"/>
            <w:vAlign w:val="bottom"/>
            <w:hideMark/>
          </w:tcPr>
          <w:p w14:paraId="2EEF94AB" w14:textId="0863BB45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3.66</w:t>
            </w:r>
          </w:p>
        </w:tc>
        <w:tc>
          <w:tcPr>
            <w:tcW w:w="1564" w:type="dxa"/>
            <w:vAlign w:val="bottom"/>
            <w:hideMark/>
          </w:tcPr>
          <w:p w14:paraId="38273D83" w14:textId="726C334C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7.69</w:t>
            </w:r>
          </w:p>
        </w:tc>
      </w:tr>
      <w:tr w:rsidR="00F175D1" w:rsidRPr="00816C81" w14:paraId="2FE91F0C" w14:textId="77777777" w:rsidTr="002336DC">
        <w:trPr>
          <w:trHeight w:val="316"/>
        </w:trPr>
        <w:tc>
          <w:tcPr>
            <w:tcW w:w="4947" w:type="dxa"/>
            <w:hideMark/>
          </w:tcPr>
          <w:p w14:paraId="1D51C031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Cell cycle control, cell division</w:t>
            </w:r>
          </w:p>
        </w:tc>
        <w:tc>
          <w:tcPr>
            <w:tcW w:w="1292" w:type="dxa"/>
            <w:vAlign w:val="bottom"/>
            <w:hideMark/>
          </w:tcPr>
          <w:p w14:paraId="6446D251" w14:textId="29C76198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1837" w:type="dxa"/>
            <w:vAlign w:val="bottom"/>
            <w:hideMark/>
          </w:tcPr>
          <w:p w14:paraId="0BFF6850" w14:textId="1B02B38A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564" w:type="dxa"/>
            <w:vAlign w:val="bottom"/>
            <w:hideMark/>
          </w:tcPr>
          <w:p w14:paraId="60517457" w14:textId="5740E023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</w:tr>
      <w:tr w:rsidR="00F175D1" w:rsidRPr="00816C81" w14:paraId="46AA3D13" w14:textId="77777777" w:rsidTr="002336DC">
        <w:tc>
          <w:tcPr>
            <w:tcW w:w="4947" w:type="dxa"/>
            <w:hideMark/>
          </w:tcPr>
          <w:p w14:paraId="76FCDAF0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Amino acid transport and metabolism</w:t>
            </w:r>
          </w:p>
        </w:tc>
        <w:tc>
          <w:tcPr>
            <w:tcW w:w="1292" w:type="dxa"/>
            <w:vAlign w:val="bottom"/>
            <w:hideMark/>
          </w:tcPr>
          <w:p w14:paraId="5D6820B2" w14:textId="1D5156AE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9.63</w:t>
            </w:r>
          </w:p>
        </w:tc>
        <w:tc>
          <w:tcPr>
            <w:tcW w:w="1837" w:type="dxa"/>
            <w:vAlign w:val="bottom"/>
            <w:hideMark/>
          </w:tcPr>
          <w:p w14:paraId="7EBB4213" w14:textId="2EB00F26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6.53</w:t>
            </w:r>
          </w:p>
        </w:tc>
        <w:tc>
          <w:tcPr>
            <w:tcW w:w="1564" w:type="dxa"/>
            <w:vAlign w:val="bottom"/>
            <w:hideMark/>
          </w:tcPr>
          <w:p w14:paraId="70E2C4F1" w14:textId="2BD6203F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10.26</w:t>
            </w:r>
          </w:p>
        </w:tc>
      </w:tr>
      <w:tr w:rsidR="00F175D1" w:rsidRPr="00816C81" w14:paraId="3E745643" w14:textId="77777777" w:rsidTr="002336DC">
        <w:tc>
          <w:tcPr>
            <w:tcW w:w="4947" w:type="dxa"/>
            <w:hideMark/>
          </w:tcPr>
          <w:p w14:paraId="7001F074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Nucleotide transport and metabolism</w:t>
            </w:r>
          </w:p>
        </w:tc>
        <w:tc>
          <w:tcPr>
            <w:tcW w:w="1292" w:type="dxa"/>
            <w:vAlign w:val="bottom"/>
            <w:hideMark/>
          </w:tcPr>
          <w:p w14:paraId="15728E4D" w14:textId="7620D86A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2.78</w:t>
            </w:r>
          </w:p>
        </w:tc>
        <w:tc>
          <w:tcPr>
            <w:tcW w:w="1837" w:type="dxa"/>
            <w:vAlign w:val="bottom"/>
            <w:hideMark/>
          </w:tcPr>
          <w:p w14:paraId="66C9D2B2" w14:textId="0673CA60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564" w:type="dxa"/>
            <w:vAlign w:val="bottom"/>
            <w:hideMark/>
          </w:tcPr>
          <w:p w14:paraId="67A4F5BE" w14:textId="1DD52318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</w:tr>
      <w:tr w:rsidR="00F175D1" w:rsidRPr="00816C81" w14:paraId="59BBCDC5" w14:textId="77777777" w:rsidTr="002336DC">
        <w:tc>
          <w:tcPr>
            <w:tcW w:w="4947" w:type="dxa"/>
            <w:hideMark/>
          </w:tcPr>
          <w:p w14:paraId="6CC4CAE4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Carbohydrate transport and metabolism</w:t>
            </w:r>
          </w:p>
        </w:tc>
        <w:tc>
          <w:tcPr>
            <w:tcW w:w="1292" w:type="dxa"/>
            <w:vAlign w:val="bottom"/>
            <w:hideMark/>
          </w:tcPr>
          <w:p w14:paraId="54A88D67" w14:textId="65A1C7CB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7.77</w:t>
            </w:r>
          </w:p>
        </w:tc>
        <w:tc>
          <w:tcPr>
            <w:tcW w:w="1837" w:type="dxa"/>
            <w:vAlign w:val="bottom"/>
            <w:hideMark/>
          </w:tcPr>
          <w:p w14:paraId="61459CEE" w14:textId="3C18A82E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8.88</w:t>
            </w:r>
          </w:p>
        </w:tc>
        <w:tc>
          <w:tcPr>
            <w:tcW w:w="1564" w:type="dxa"/>
            <w:vAlign w:val="bottom"/>
            <w:hideMark/>
          </w:tcPr>
          <w:p w14:paraId="46A2419C" w14:textId="43B03636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12.82</w:t>
            </w:r>
          </w:p>
        </w:tc>
      </w:tr>
      <w:tr w:rsidR="00F175D1" w:rsidRPr="00816C81" w14:paraId="68CDCFD4" w14:textId="77777777" w:rsidTr="002336DC">
        <w:tc>
          <w:tcPr>
            <w:tcW w:w="4947" w:type="dxa"/>
            <w:hideMark/>
          </w:tcPr>
          <w:p w14:paraId="5267B3F1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Coenzyme transport and metabolism</w:t>
            </w:r>
          </w:p>
        </w:tc>
        <w:tc>
          <w:tcPr>
            <w:tcW w:w="1292" w:type="dxa"/>
            <w:vAlign w:val="bottom"/>
            <w:hideMark/>
          </w:tcPr>
          <w:p w14:paraId="6F6F0ECC" w14:textId="1DA19E4B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3.66</w:t>
            </w:r>
          </w:p>
        </w:tc>
        <w:tc>
          <w:tcPr>
            <w:tcW w:w="1837" w:type="dxa"/>
            <w:vAlign w:val="bottom"/>
            <w:hideMark/>
          </w:tcPr>
          <w:p w14:paraId="129797AE" w14:textId="17FA8286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1564" w:type="dxa"/>
            <w:hideMark/>
          </w:tcPr>
          <w:p w14:paraId="5CA2B385" w14:textId="126827D2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0</w:t>
            </w:r>
          </w:p>
        </w:tc>
      </w:tr>
      <w:tr w:rsidR="00F175D1" w:rsidRPr="00816C81" w14:paraId="73BF849D" w14:textId="77777777" w:rsidTr="002336DC">
        <w:tc>
          <w:tcPr>
            <w:tcW w:w="4947" w:type="dxa"/>
            <w:hideMark/>
          </w:tcPr>
          <w:p w14:paraId="48AE744C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Lipid transport and metabolism</w:t>
            </w:r>
          </w:p>
        </w:tc>
        <w:tc>
          <w:tcPr>
            <w:tcW w:w="1292" w:type="dxa"/>
            <w:vAlign w:val="bottom"/>
            <w:hideMark/>
          </w:tcPr>
          <w:p w14:paraId="67B05934" w14:textId="79059D5E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3.25</w:t>
            </w:r>
          </w:p>
        </w:tc>
        <w:tc>
          <w:tcPr>
            <w:tcW w:w="1837" w:type="dxa"/>
            <w:vAlign w:val="bottom"/>
            <w:hideMark/>
          </w:tcPr>
          <w:p w14:paraId="735B18AC" w14:textId="16DCCFA3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4.18</w:t>
            </w:r>
          </w:p>
        </w:tc>
        <w:tc>
          <w:tcPr>
            <w:tcW w:w="1564" w:type="dxa"/>
            <w:vAlign w:val="bottom"/>
            <w:hideMark/>
          </w:tcPr>
          <w:p w14:paraId="08CE7733" w14:textId="7AD5E71D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10.26</w:t>
            </w:r>
          </w:p>
        </w:tc>
      </w:tr>
      <w:tr w:rsidR="00F175D1" w:rsidRPr="00816C81" w14:paraId="0A2FD2CC" w14:textId="77777777" w:rsidTr="002336DC">
        <w:trPr>
          <w:trHeight w:val="345"/>
        </w:trPr>
        <w:tc>
          <w:tcPr>
            <w:tcW w:w="4947" w:type="dxa"/>
          </w:tcPr>
          <w:p w14:paraId="24B64ACE" w14:textId="141BFBE8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F175D1">
              <w:rPr>
                <w:rFonts w:ascii="Times New Roman" w:hAnsi="Times New Roman" w:cs="Times New Roman"/>
              </w:rPr>
              <w:t xml:space="preserve">ranslation, ribosomal </w:t>
            </w:r>
            <w:proofErr w:type="gramStart"/>
            <w:r w:rsidRPr="00F175D1">
              <w:rPr>
                <w:rFonts w:ascii="Times New Roman" w:hAnsi="Times New Roman" w:cs="Times New Roman"/>
              </w:rPr>
              <w:t>structure</w:t>
            </w:r>
            <w:proofErr w:type="gramEnd"/>
            <w:r w:rsidRPr="00F175D1">
              <w:rPr>
                <w:rFonts w:ascii="Times New Roman" w:hAnsi="Times New Roman" w:cs="Times New Roman"/>
              </w:rPr>
              <w:t xml:space="preserve"> and biogenesis</w:t>
            </w:r>
          </w:p>
        </w:tc>
        <w:tc>
          <w:tcPr>
            <w:tcW w:w="1292" w:type="dxa"/>
            <w:vAlign w:val="bottom"/>
          </w:tcPr>
          <w:p w14:paraId="00607B6F" w14:textId="433C5769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5.20</w:t>
            </w:r>
          </w:p>
        </w:tc>
        <w:tc>
          <w:tcPr>
            <w:tcW w:w="1837" w:type="dxa"/>
            <w:vAlign w:val="bottom"/>
          </w:tcPr>
          <w:p w14:paraId="106C0674" w14:textId="6675695D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1564" w:type="dxa"/>
            <w:vAlign w:val="bottom"/>
          </w:tcPr>
          <w:p w14:paraId="1B403B4E" w14:textId="3762D9AC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</w:tr>
      <w:tr w:rsidR="00F175D1" w:rsidRPr="00816C81" w14:paraId="7F2BFF3E" w14:textId="77777777" w:rsidTr="002336DC">
        <w:tc>
          <w:tcPr>
            <w:tcW w:w="4947" w:type="dxa"/>
            <w:hideMark/>
          </w:tcPr>
          <w:p w14:paraId="61A3BFAE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Transcription</w:t>
            </w:r>
          </w:p>
        </w:tc>
        <w:tc>
          <w:tcPr>
            <w:tcW w:w="1292" w:type="dxa"/>
            <w:vAlign w:val="bottom"/>
            <w:hideMark/>
          </w:tcPr>
          <w:p w14:paraId="61FD6015" w14:textId="714E30BA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8.54</w:t>
            </w:r>
          </w:p>
        </w:tc>
        <w:tc>
          <w:tcPr>
            <w:tcW w:w="1837" w:type="dxa"/>
            <w:vAlign w:val="bottom"/>
            <w:hideMark/>
          </w:tcPr>
          <w:p w14:paraId="505BF8B8" w14:textId="6A6AD838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11.23</w:t>
            </w:r>
          </w:p>
        </w:tc>
        <w:tc>
          <w:tcPr>
            <w:tcW w:w="1564" w:type="dxa"/>
            <w:vAlign w:val="bottom"/>
            <w:hideMark/>
          </w:tcPr>
          <w:p w14:paraId="736184AE" w14:textId="0DB9309C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5.13</w:t>
            </w:r>
          </w:p>
        </w:tc>
      </w:tr>
      <w:tr w:rsidR="00F175D1" w:rsidRPr="00816C81" w14:paraId="5ECF6DF1" w14:textId="77777777" w:rsidTr="002336DC">
        <w:tc>
          <w:tcPr>
            <w:tcW w:w="4947" w:type="dxa"/>
            <w:hideMark/>
          </w:tcPr>
          <w:p w14:paraId="57004AD5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 xml:space="preserve">Replication, </w:t>
            </w:r>
            <w:proofErr w:type="gramStart"/>
            <w:r w:rsidRPr="00816C81">
              <w:rPr>
                <w:rFonts w:ascii="Times New Roman" w:hAnsi="Times New Roman" w:cs="Times New Roman"/>
              </w:rPr>
              <w:t>recombination</w:t>
            </w:r>
            <w:proofErr w:type="gramEnd"/>
            <w:r w:rsidRPr="00816C81">
              <w:rPr>
                <w:rFonts w:ascii="Times New Roman" w:hAnsi="Times New Roman" w:cs="Times New Roman"/>
              </w:rPr>
              <w:t xml:space="preserve"> and repair</w:t>
            </w:r>
          </w:p>
        </w:tc>
        <w:tc>
          <w:tcPr>
            <w:tcW w:w="1292" w:type="dxa"/>
            <w:vAlign w:val="bottom"/>
            <w:hideMark/>
          </w:tcPr>
          <w:p w14:paraId="4143BE39" w14:textId="075C0E6D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3.66</w:t>
            </w:r>
          </w:p>
        </w:tc>
        <w:tc>
          <w:tcPr>
            <w:tcW w:w="1837" w:type="dxa"/>
            <w:vAlign w:val="bottom"/>
            <w:hideMark/>
          </w:tcPr>
          <w:p w14:paraId="5EE55950" w14:textId="31A2AC01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2.35</w:t>
            </w:r>
          </w:p>
        </w:tc>
        <w:tc>
          <w:tcPr>
            <w:tcW w:w="1564" w:type="dxa"/>
            <w:vAlign w:val="bottom"/>
            <w:hideMark/>
          </w:tcPr>
          <w:p w14:paraId="1FA02C47" w14:textId="21137672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5.13</w:t>
            </w:r>
          </w:p>
        </w:tc>
      </w:tr>
      <w:tr w:rsidR="00F175D1" w:rsidRPr="00816C81" w14:paraId="496E70F8" w14:textId="77777777" w:rsidTr="002336DC">
        <w:tc>
          <w:tcPr>
            <w:tcW w:w="4947" w:type="dxa"/>
            <w:hideMark/>
          </w:tcPr>
          <w:p w14:paraId="2A7D2021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Cell wall/membrane/envelope biogenesis</w:t>
            </w:r>
          </w:p>
        </w:tc>
        <w:tc>
          <w:tcPr>
            <w:tcW w:w="1292" w:type="dxa"/>
            <w:vAlign w:val="bottom"/>
            <w:hideMark/>
          </w:tcPr>
          <w:p w14:paraId="1D464C23" w14:textId="72D9D5B8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5.08</w:t>
            </w:r>
          </w:p>
        </w:tc>
        <w:tc>
          <w:tcPr>
            <w:tcW w:w="1837" w:type="dxa"/>
            <w:vAlign w:val="bottom"/>
            <w:hideMark/>
          </w:tcPr>
          <w:p w14:paraId="2CE38C65" w14:textId="410739A2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11.75</w:t>
            </w:r>
          </w:p>
        </w:tc>
        <w:tc>
          <w:tcPr>
            <w:tcW w:w="1564" w:type="dxa"/>
            <w:vAlign w:val="bottom"/>
            <w:hideMark/>
          </w:tcPr>
          <w:p w14:paraId="308DC294" w14:textId="41D401F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</w:tr>
      <w:tr w:rsidR="00F175D1" w:rsidRPr="00816C81" w14:paraId="3E73FE18" w14:textId="77777777" w:rsidTr="002336DC">
        <w:tc>
          <w:tcPr>
            <w:tcW w:w="4947" w:type="dxa"/>
            <w:hideMark/>
          </w:tcPr>
          <w:p w14:paraId="2BDCEAD9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Cell motility</w:t>
            </w:r>
          </w:p>
        </w:tc>
        <w:tc>
          <w:tcPr>
            <w:tcW w:w="1292" w:type="dxa"/>
            <w:vAlign w:val="bottom"/>
            <w:hideMark/>
          </w:tcPr>
          <w:p w14:paraId="552A4E9D" w14:textId="6782D224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1.65</w:t>
            </w:r>
          </w:p>
        </w:tc>
        <w:tc>
          <w:tcPr>
            <w:tcW w:w="1837" w:type="dxa"/>
            <w:vAlign w:val="bottom"/>
            <w:hideMark/>
          </w:tcPr>
          <w:p w14:paraId="5316B753" w14:textId="661BEDD9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564" w:type="dxa"/>
            <w:hideMark/>
          </w:tcPr>
          <w:p w14:paraId="2983C046" w14:textId="55AA6270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0</w:t>
            </w:r>
          </w:p>
        </w:tc>
      </w:tr>
      <w:tr w:rsidR="00F175D1" w:rsidRPr="00816C81" w14:paraId="50554555" w14:textId="77777777" w:rsidTr="002336DC">
        <w:tc>
          <w:tcPr>
            <w:tcW w:w="4947" w:type="dxa"/>
            <w:hideMark/>
          </w:tcPr>
          <w:p w14:paraId="0D38C7CA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Posttranslational modification, protein turnover</w:t>
            </w:r>
          </w:p>
        </w:tc>
        <w:tc>
          <w:tcPr>
            <w:tcW w:w="1292" w:type="dxa"/>
            <w:vAlign w:val="bottom"/>
            <w:hideMark/>
          </w:tcPr>
          <w:p w14:paraId="565553D2" w14:textId="3196F095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2.81</w:t>
            </w:r>
          </w:p>
        </w:tc>
        <w:tc>
          <w:tcPr>
            <w:tcW w:w="1837" w:type="dxa"/>
            <w:vAlign w:val="bottom"/>
            <w:hideMark/>
          </w:tcPr>
          <w:p w14:paraId="227D7C0B" w14:textId="57CBA17E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1.57</w:t>
            </w:r>
          </w:p>
        </w:tc>
        <w:tc>
          <w:tcPr>
            <w:tcW w:w="1564" w:type="dxa"/>
            <w:vAlign w:val="bottom"/>
            <w:hideMark/>
          </w:tcPr>
          <w:p w14:paraId="430C779B" w14:textId="0806023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</w:tr>
      <w:tr w:rsidR="00F175D1" w:rsidRPr="00816C81" w14:paraId="462EEF21" w14:textId="77777777" w:rsidTr="002336DC">
        <w:tc>
          <w:tcPr>
            <w:tcW w:w="4947" w:type="dxa"/>
            <w:hideMark/>
          </w:tcPr>
          <w:p w14:paraId="41909008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Inorganic ion transport and metabolism</w:t>
            </w:r>
          </w:p>
        </w:tc>
        <w:tc>
          <w:tcPr>
            <w:tcW w:w="1292" w:type="dxa"/>
            <w:vAlign w:val="bottom"/>
            <w:hideMark/>
          </w:tcPr>
          <w:p w14:paraId="61F26CEE" w14:textId="1E7F2316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6.85</w:t>
            </w:r>
          </w:p>
        </w:tc>
        <w:tc>
          <w:tcPr>
            <w:tcW w:w="1837" w:type="dxa"/>
            <w:vAlign w:val="bottom"/>
            <w:hideMark/>
          </w:tcPr>
          <w:p w14:paraId="2C49C120" w14:textId="136A3FD3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6.01</w:t>
            </w:r>
          </w:p>
        </w:tc>
        <w:tc>
          <w:tcPr>
            <w:tcW w:w="1564" w:type="dxa"/>
            <w:vAlign w:val="bottom"/>
            <w:hideMark/>
          </w:tcPr>
          <w:p w14:paraId="2482BA39" w14:textId="49666585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175D1" w:rsidRPr="00816C81" w14:paraId="3C708CB4" w14:textId="77777777" w:rsidTr="002336DC">
        <w:tc>
          <w:tcPr>
            <w:tcW w:w="4947" w:type="dxa"/>
            <w:hideMark/>
          </w:tcPr>
          <w:p w14:paraId="25F2899F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Secondary metabolites biosynthesis</w:t>
            </w:r>
          </w:p>
        </w:tc>
        <w:tc>
          <w:tcPr>
            <w:tcW w:w="1292" w:type="dxa"/>
            <w:vAlign w:val="bottom"/>
            <w:hideMark/>
          </w:tcPr>
          <w:p w14:paraId="64966842" w14:textId="3ED8E415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1837" w:type="dxa"/>
            <w:vAlign w:val="bottom"/>
            <w:hideMark/>
          </w:tcPr>
          <w:p w14:paraId="792AA176" w14:textId="40796B50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  <w:tc>
          <w:tcPr>
            <w:tcW w:w="1564" w:type="dxa"/>
            <w:vAlign w:val="bottom"/>
            <w:hideMark/>
          </w:tcPr>
          <w:p w14:paraId="738124E0" w14:textId="66AD9BB4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7.69</w:t>
            </w:r>
          </w:p>
        </w:tc>
      </w:tr>
      <w:tr w:rsidR="00F175D1" w:rsidRPr="00816C81" w14:paraId="38BC8353" w14:textId="77777777" w:rsidTr="002336DC">
        <w:tc>
          <w:tcPr>
            <w:tcW w:w="4947" w:type="dxa"/>
            <w:hideMark/>
          </w:tcPr>
          <w:p w14:paraId="5EA25E3F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General function prediction only</w:t>
            </w:r>
          </w:p>
        </w:tc>
        <w:tc>
          <w:tcPr>
            <w:tcW w:w="1292" w:type="dxa"/>
            <w:vAlign w:val="bottom"/>
            <w:hideMark/>
          </w:tcPr>
          <w:p w14:paraId="16067E11" w14:textId="612E7961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37" w:type="dxa"/>
            <w:vAlign w:val="bottom"/>
            <w:hideMark/>
          </w:tcPr>
          <w:p w14:paraId="121F0A3A" w14:textId="3AF134BB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564" w:type="dxa"/>
            <w:hideMark/>
          </w:tcPr>
          <w:p w14:paraId="4BD80173" w14:textId="54855619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0</w:t>
            </w:r>
          </w:p>
        </w:tc>
      </w:tr>
      <w:tr w:rsidR="00F175D1" w:rsidRPr="00816C81" w14:paraId="7E89BBEF" w14:textId="77777777" w:rsidTr="002336DC">
        <w:tc>
          <w:tcPr>
            <w:tcW w:w="4947" w:type="dxa"/>
            <w:hideMark/>
          </w:tcPr>
          <w:p w14:paraId="2BA16E8C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Function unknown</w:t>
            </w:r>
          </w:p>
        </w:tc>
        <w:tc>
          <w:tcPr>
            <w:tcW w:w="1292" w:type="dxa"/>
            <w:vAlign w:val="bottom"/>
            <w:hideMark/>
          </w:tcPr>
          <w:p w14:paraId="6B1AC5E7" w14:textId="6D3B32BF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26.32</w:t>
            </w:r>
          </w:p>
        </w:tc>
        <w:tc>
          <w:tcPr>
            <w:tcW w:w="1837" w:type="dxa"/>
            <w:vAlign w:val="bottom"/>
            <w:hideMark/>
          </w:tcPr>
          <w:p w14:paraId="7D270EF9" w14:textId="2D963AA0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24.02</w:t>
            </w:r>
          </w:p>
        </w:tc>
        <w:tc>
          <w:tcPr>
            <w:tcW w:w="1564" w:type="dxa"/>
            <w:vAlign w:val="bottom"/>
            <w:hideMark/>
          </w:tcPr>
          <w:p w14:paraId="5E766190" w14:textId="61710550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23.08</w:t>
            </w:r>
          </w:p>
        </w:tc>
      </w:tr>
      <w:tr w:rsidR="00F175D1" w:rsidRPr="00816C81" w14:paraId="21014065" w14:textId="77777777" w:rsidTr="002336DC">
        <w:tc>
          <w:tcPr>
            <w:tcW w:w="4947" w:type="dxa"/>
            <w:hideMark/>
          </w:tcPr>
          <w:p w14:paraId="45FD6127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Signal transduction mechanisms</w:t>
            </w:r>
          </w:p>
        </w:tc>
        <w:tc>
          <w:tcPr>
            <w:tcW w:w="1292" w:type="dxa"/>
            <w:vAlign w:val="bottom"/>
            <w:hideMark/>
          </w:tcPr>
          <w:p w14:paraId="2484F886" w14:textId="6C20D8F3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4.46</w:t>
            </w:r>
          </w:p>
        </w:tc>
        <w:tc>
          <w:tcPr>
            <w:tcW w:w="1837" w:type="dxa"/>
            <w:vAlign w:val="bottom"/>
            <w:hideMark/>
          </w:tcPr>
          <w:p w14:paraId="1C3F00FA" w14:textId="6631A2DA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  <w:tc>
          <w:tcPr>
            <w:tcW w:w="1564" w:type="dxa"/>
            <w:hideMark/>
          </w:tcPr>
          <w:p w14:paraId="3815378F" w14:textId="545AED11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0</w:t>
            </w:r>
          </w:p>
        </w:tc>
      </w:tr>
      <w:tr w:rsidR="00F175D1" w:rsidRPr="00816C81" w14:paraId="3390A92E" w14:textId="77777777" w:rsidTr="002336DC">
        <w:tc>
          <w:tcPr>
            <w:tcW w:w="4947" w:type="dxa"/>
            <w:hideMark/>
          </w:tcPr>
          <w:p w14:paraId="2C09E2FA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Intracellular trafficking and secretion</w:t>
            </w:r>
          </w:p>
        </w:tc>
        <w:tc>
          <w:tcPr>
            <w:tcW w:w="1292" w:type="dxa"/>
            <w:vAlign w:val="bottom"/>
            <w:hideMark/>
          </w:tcPr>
          <w:p w14:paraId="1255530F" w14:textId="1A4AB179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  <w:tc>
          <w:tcPr>
            <w:tcW w:w="1837" w:type="dxa"/>
            <w:vAlign w:val="bottom"/>
            <w:hideMark/>
          </w:tcPr>
          <w:p w14:paraId="6E602FCD" w14:textId="7F7F848E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564" w:type="dxa"/>
            <w:vAlign w:val="bottom"/>
            <w:hideMark/>
          </w:tcPr>
          <w:p w14:paraId="7B16C501" w14:textId="6929427C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</w:tr>
      <w:tr w:rsidR="00F175D1" w:rsidRPr="00816C81" w14:paraId="2D45EAA8" w14:textId="77777777" w:rsidTr="002336DC">
        <w:tc>
          <w:tcPr>
            <w:tcW w:w="4947" w:type="dxa"/>
            <w:hideMark/>
          </w:tcPr>
          <w:p w14:paraId="3F5D2F96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Defense mechanisms</w:t>
            </w:r>
          </w:p>
        </w:tc>
        <w:tc>
          <w:tcPr>
            <w:tcW w:w="1292" w:type="dxa"/>
            <w:vAlign w:val="bottom"/>
            <w:hideMark/>
          </w:tcPr>
          <w:p w14:paraId="74F75C64" w14:textId="61496D9B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1.48</w:t>
            </w:r>
          </w:p>
        </w:tc>
        <w:tc>
          <w:tcPr>
            <w:tcW w:w="1837" w:type="dxa"/>
            <w:vAlign w:val="bottom"/>
            <w:hideMark/>
          </w:tcPr>
          <w:p w14:paraId="50A04C6E" w14:textId="46825FBC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1564" w:type="dxa"/>
            <w:vAlign w:val="bottom"/>
            <w:hideMark/>
          </w:tcPr>
          <w:p w14:paraId="30A10B94" w14:textId="66E408ED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  <w:color w:val="000000"/>
              </w:rPr>
              <w:t>5.13</w:t>
            </w:r>
          </w:p>
        </w:tc>
      </w:tr>
      <w:tr w:rsidR="00F175D1" w:rsidRPr="00816C81" w14:paraId="1A52A3C6" w14:textId="77777777" w:rsidTr="002336DC">
        <w:tc>
          <w:tcPr>
            <w:tcW w:w="4947" w:type="dxa"/>
          </w:tcPr>
          <w:p w14:paraId="5CBCE25B" w14:textId="77777777" w:rsidR="00F175D1" w:rsidRPr="00816C81" w:rsidRDefault="00F175D1" w:rsidP="00F175D1">
            <w:pPr>
              <w:spacing w:after="120"/>
              <w:rPr>
                <w:rFonts w:ascii="Times New Roman" w:hAnsi="Times New Roman" w:cs="Times New Roman"/>
              </w:rPr>
            </w:pPr>
            <w:r w:rsidRPr="00816C81">
              <w:rPr>
                <w:rFonts w:ascii="Times New Roman" w:hAnsi="Times New Roman" w:cs="Times New Roman"/>
              </w:rPr>
              <w:t>Not categorized in COG</w:t>
            </w:r>
          </w:p>
        </w:tc>
        <w:tc>
          <w:tcPr>
            <w:tcW w:w="1292" w:type="dxa"/>
            <w:vAlign w:val="bottom"/>
          </w:tcPr>
          <w:p w14:paraId="554498FF" w14:textId="41199060" w:rsidR="00F175D1" w:rsidRPr="00EB65CA" w:rsidRDefault="00F175D1" w:rsidP="00F175D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EB65CA">
              <w:rPr>
                <w:rFonts w:ascii="Times New Roman" w:hAnsi="Times New Roman" w:cs="Times New Roman"/>
                <w:b/>
                <w:bCs/>
                <w:color w:val="000000"/>
              </w:rPr>
              <w:t>4.46</w:t>
            </w:r>
          </w:p>
        </w:tc>
        <w:tc>
          <w:tcPr>
            <w:tcW w:w="1837" w:type="dxa"/>
            <w:vAlign w:val="bottom"/>
          </w:tcPr>
          <w:p w14:paraId="43AE439B" w14:textId="0FE3984B" w:rsidR="00F175D1" w:rsidRPr="00EB65CA" w:rsidRDefault="00F175D1" w:rsidP="00F175D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EB65CA">
              <w:rPr>
                <w:rFonts w:ascii="Times New Roman" w:hAnsi="Times New Roman" w:cs="Times New Roman"/>
                <w:b/>
                <w:bCs/>
                <w:color w:val="000000"/>
              </w:rPr>
              <w:t>14.10</w:t>
            </w:r>
          </w:p>
        </w:tc>
        <w:tc>
          <w:tcPr>
            <w:tcW w:w="1564" w:type="dxa"/>
            <w:vAlign w:val="bottom"/>
          </w:tcPr>
          <w:p w14:paraId="0F646A67" w14:textId="46AAC107" w:rsidR="00F175D1" w:rsidRPr="00EB65CA" w:rsidRDefault="00F175D1" w:rsidP="00F175D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EB65CA">
              <w:rPr>
                <w:rFonts w:ascii="Times New Roman" w:hAnsi="Times New Roman" w:cs="Times New Roman"/>
                <w:b/>
                <w:bCs/>
                <w:color w:val="000000"/>
              </w:rPr>
              <w:t>12.82</w:t>
            </w:r>
          </w:p>
        </w:tc>
      </w:tr>
    </w:tbl>
    <w:p w14:paraId="55463882" w14:textId="77777777" w:rsidR="00091C26" w:rsidRDefault="00091C26" w:rsidP="00F175D1"/>
    <w:sectPr w:rsidR="00091C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26"/>
    <w:rsid w:val="00091C26"/>
    <w:rsid w:val="002336DC"/>
    <w:rsid w:val="006A379B"/>
    <w:rsid w:val="006B03CC"/>
    <w:rsid w:val="006C2410"/>
    <w:rsid w:val="007B2A72"/>
    <w:rsid w:val="00816C81"/>
    <w:rsid w:val="00EB65CA"/>
    <w:rsid w:val="00F1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3A7A9"/>
  <w15:chartTrackingRefBased/>
  <w15:docId w15:val="{C5EAE85F-77DD-48A0-8EE3-46778B6D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C26"/>
  </w:style>
  <w:style w:type="paragraph" w:styleId="Heading1">
    <w:name w:val="heading 1"/>
    <w:basedOn w:val="Normal"/>
    <w:next w:val="Normal"/>
    <w:link w:val="Heading1Char"/>
    <w:uiPriority w:val="9"/>
    <w:qFormat/>
    <w:rsid w:val="00091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C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C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C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C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C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C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C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C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C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C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C2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DIXITA CHETTRI</dc:creator>
  <cp:keywords/>
  <dc:description/>
  <cp:lastModifiedBy>DIXITA CHETTRI</cp:lastModifiedBy>
  <cp:revision>6</cp:revision>
  <dcterms:created xsi:type="dcterms:W3CDTF">2026-02-06T17:52:00Z</dcterms:created>
  <dcterms:modified xsi:type="dcterms:W3CDTF">2026-02-14T03:30:00Z</dcterms:modified>
</cp:coreProperties>
</file>