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039A8" w14:textId="10C39ED4" w:rsidR="008418BF" w:rsidRPr="00C672B3" w:rsidRDefault="00C672B3" w:rsidP="00C672B3">
      <w:pPr>
        <w:jc w:val="center"/>
        <w:rPr>
          <w:rFonts w:ascii="Times New Roman" w:hAnsi="Times New Roman" w:cs="Times New Roman"/>
          <w:b/>
          <w:bCs/>
        </w:rPr>
      </w:pPr>
      <w:r w:rsidRPr="00C672B3">
        <w:rPr>
          <w:rFonts w:ascii="Times New Roman" w:hAnsi="Times New Roman" w:cs="Times New Roman"/>
          <w:b/>
          <w:bCs/>
        </w:rPr>
        <w:t>Table S</w:t>
      </w:r>
      <w:r w:rsidR="008C490E">
        <w:rPr>
          <w:rFonts w:ascii="Times New Roman" w:hAnsi="Times New Roman" w:cs="Times New Roman"/>
          <w:b/>
          <w:bCs/>
        </w:rPr>
        <w:t>4:</w:t>
      </w:r>
      <w:r w:rsidRPr="00C672B3">
        <w:rPr>
          <w:rFonts w:ascii="Times New Roman" w:hAnsi="Times New Roman" w:cs="Times New Roman"/>
          <w:b/>
          <w:bCs/>
        </w:rPr>
        <w:t xml:space="preserve"> Complete list of antibiotic resistance‑associated genes detected in the YE16 genome by CARD analysis.</w:t>
      </w:r>
    </w:p>
    <w:tbl>
      <w:tblPr>
        <w:tblStyle w:val="TableGrid"/>
        <w:tblW w:w="11624" w:type="dxa"/>
        <w:tblInd w:w="-1139" w:type="dxa"/>
        <w:tblLook w:val="04A0" w:firstRow="1" w:lastRow="0" w:firstColumn="1" w:lastColumn="0" w:noHBand="0" w:noVBand="1"/>
      </w:tblPr>
      <w:tblGrid>
        <w:gridCol w:w="963"/>
        <w:gridCol w:w="2856"/>
        <w:gridCol w:w="2844"/>
        <w:gridCol w:w="1842"/>
        <w:gridCol w:w="1560"/>
        <w:gridCol w:w="1559"/>
      </w:tblGrid>
      <w:tr w:rsidR="008418BF" w:rsidRPr="00C672B3" w14:paraId="52B3A0E5" w14:textId="77777777" w:rsidTr="008418BF">
        <w:tc>
          <w:tcPr>
            <w:tcW w:w="963" w:type="dxa"/>
          </w:tcPr>
          <w:p w14:paraId="62CD149F" w14:textId="1DBE0110" w:rsidR="008418BF" w:rsidRPr="00C672B3" w:rsidRDefault="008418BF" w:rsidP="008418BF">
            <w:pPr>
              <w:rPr>
                <w:rFonts w:ascii="Times New Roman" w:hAnsi="Times New Roman" w:cs="Times New Roman"/>
                <w:b/>
                <w:bCs/>
              </w:rPr>
            </w:pPr>
            <w:r w:rsidRPr="008418BF">
              <w:rPr>
                <w:rFonts w:ascii="Times New Roman" w:hAnsi="Times New Roman" w:cs="Times New Roman"/>
                <w:b/>
                <w:bCs/>
              </w:rPr>
              <w:t>ARO Term</w:t>
            </w:r>
          </w:p>
        </w:tc>
        <w:tc>
          <w:tcPr>
            <w:tcW w:w="2856" w:type="dxa"/>
          </w:tcPr>
          <w:p w14:paraId="50E1C7A0" w14:textId="14343A5A" w:rsidR="008418BF" w:rsidRPr="00C672B3" w:rsidRDefault="008418BF" w:rsidP="008418BF">
            <w:pPr>
              <w:rPr>
                <w:rFonts w:ascii="Times New Roman" w:hAnsi="Times New Roman" w:cs="Times New Roman"/>
                <w:b/>
                <w:bCs/>
              </w:rPr>
            </w:pPr>
            <w:r w:rsidRPr="008418BF">
              <w:rPr>
                <w:rFonts w:ascii="Times New Roman" w:hAnsi="Times New Roman" w:cs="Times New Roman"/>
                <w:b/>
                <w:bCs/>
              </w:rPr>
              <w:t>AMR</w:t>
            </w:r>
            <w:r w:rsidRPr="008418BF">
              <w:rPr>
                <w:rFonts w:ascii="Times New Roman" w:hAnsi="Times New Roman" w:cs="Times New Roman"/>
                <w:b/>
                <w:bCs/>
              </w:rPr>
              <w:br/>
              <w:t>Gene Family</w:t>
            </w:r>
          </w:p>
        </w:tc>
        <w:tc>
          <w:tcPr>
            <w:tcW w:w="2844" w:type="dxa"/>
          </w:tcPr>
          <w:p w14:paraId="00B41993" w14:textId="32AF5DAC" w:rsidR="008418BF" w:rsidRPr="00C672B3" w:rsidRDefault="008418BF" w:rsidP="008418BF">
            <w:pPr>
              <w:rPr>
                <w:rFonts w:ascii="Times New Roman" w:hAnsi="Times New Roman" w:cs="Times New Roman"/>
                <w:b/>
                <w:bCs/>
              </w:rPr>
            </w:pPr>
            <w:r w:rsidRPr="008418BF">
              <w:rPr>
                <w:rFonts w:ascii="Times New Roman" w:hAnsi="Times New Roman" w:cs="Times New Roman"/>
                <w:b/>
                <w:bCs/>
              </w:rPr>
              <w:t>Drug</w:t>
            </w:r>
            <w:r w:rsidRPr="008418BF">
              <w:rPr>
                <w:rFonts w:ascii="Times New Roman" w:hAnsi="Times New Roman" w:cs="Times New Roman"/>
                <w:b/>
                <w:bCs/>
              </w:rPr>
              <w:br/>
              <w:t>Class</w:t>
            </w:r>
          </w:p>
        </w:tc>
        <w:tc>
          <w:tcPr>
            <w:tcW w:w="1842" w:type="dxa"/>
          </w:tcPr>
          <w:p w14:paraId="1845C4B7" w14:textId="0CA95432" w:rsidR="008418BF" w:rsidRPr="00C672B3" w:rsidRDefault="008418BF" w:rsidP="008418BF">
            <w:pPr>
              <w:rPr>
                <w:rFonts w:ascii="Times New Roman" w:hAnsi="Times New Roman" w:cs="Times New Roman"/>
                <w:b/>
                <w:bCs/>
              </w:rPr>
            </w:pPr>
            <w:r w:rsidRPr="008418BF">
              <w:rPr>
                <w:rFonts w:ascii="Times New Roman" w:hAnsi="Times New Roman" w:cs="Times New Roman"/>
                <w:b/>
                <w:bCs/>
              </w:rPr>
              <w:t>Resistance</w:t>
            </w:r>
            <w:r w:rsidRPr="008418BF">
              <w:rPr>
                <w:rFonts w:ascii="Times New Roman" w:hAnsi="Times New Roman" w:cs="Times New Roman"/>
                <w:b/>
                <w:bCs/>
              </w:rPr>
              <w:br/>
              <w:t>Mechanism</w:t>
            </w:r>
          </w:p>
        </w:tc>
        <w:tc>
          <w:tcPr>
            <w:tcW w:w="1560" w:type="dxa"/>
          </w:tcPr>
          <w:p w14:paraId="47986FAE" w14:textId="13B206E7" w:rsidR="008418BF" w:rsidRPr="00C672B3" w:rsidRDefault="008418BF" w:rsidP="008418BF">
            <w:pPr>
              <w:rPr>
                <w:rFonts w:ascii="Times New Roman" w:hAnsi="Times New Roman" w:cs="Times New Roman"/>
                <w:b/>
                <w:bCs/>
              </w:rPr>
            </w:pPr>
            <w:r w:rsidRPr="008418BF">
              <w:rPr>
                <w:rFonts w:ascii="Times New Roman" w:hAnsi="Times New Roman" w:cs="Times New Roman"/>
                <w:b/>
                <w:bCs/>
              </w:rPr>
              <w:t>% Identity of Matching Region</w:t>
            </w:r>
          </w:p>
        </w:tc>
        <w:tc>
          <w:tcPr>
            <w:tcW w:w="1559" w:type="dxa"/>
          </w:tcPr>
          <w:p w14:paraId="3E014B54" w14:textId="2FBF7CC6" w:rsidR="008418BF" w:rsidRPr="00C672B3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  <w:b/>
                <w:bCs/>
              </w:rPr>
              <w:t>% Length of Reference Sequence</w:t>
            </w:r>
          </w:p>
        </w:tc>
      </w:tr>
      <w:tr w:rsidR="008418BF" w:rsidRPr="00C672B3" w14:paraId="4DD02EAD" w14:textId="77777777" w:rsidTr="008418BF">
        <w:tc>
          <w:tcPr>
            <w:tcW w:w="963" w:type="dxa"/>
            <w:hideMark/>
          </w:tcPr>
          <w:p w14:paraId="58BAD0EB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ykkC</w:t>
            </w:r>
          </w:p>
        </w:tc>
        <w:tc>
          <w:tcPr>
            <w:tcW w:w="2856" w:type="dxa"/>
            <w:hideMark/>
          </w:tcPr>
          <w:p w14:paraId="59C5BABF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small multidrug resistance (SMR) antibiotic efflux pump</w:t>
            </w:r>
          </w:p>
        </w:tc>
        <w:tc>
          <w:tcPr>
            <w:tcW w:w="2844" w:type="dxa"/>
            <w:hideMark/>
          </w:tcPr>
          <w:p w14:paraId="119A0E73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aminoglycoside antibiotic, tetracycline antibiotic, phenicol antibiotic</w:t>
            </w:r>
          </w:p>
        </w:tc>
        <w:tc>
          <w:tcPr>
            <w:tcW w:w="1842" w:type="dxa"/>
            <w:hideMark/>
          </w:tcPr>
          <w:p w14:paraId="5E291C2E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560" w:type="dxa"/>
            <w:hideMark/>
          </w:tcPr>
          <w:p w14:paraId="6A2AF8B6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559" w:type="dxa"/>
            <w:hideMark/>
          </w:tcPr>
          <w:p w14:paraId="0D943C75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100.00</w:t>
            </w:r>
          </w:p>
        </w:tc>
      </w:tr>
      <w:tr w:rsidR="008418BF" w:rsidRPr="00C672B3" w14:paraId="716EA911" w14:textId="77777777" w:rsidTr="008418BF">
        <w:tc>
          <w:tcPr>
            <w:tcW w:w="963" w:type="dxa"/>
            <w:hideMark/>
          </w:tcPr>
          <w:p w14:paraId="57AC0ADB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qacG</w:t>
            </w:r>
          </w:p>
        </w:tc>
        <w:tc>
          <w:tcPr>
            <w:tcW w:w="2856" w:type="dxa"/>
            <w:hideMark/>
          </w:tcPr>
          <w:p w14:paraId="0389E6F8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small multidrug resistance (SMR) antibiotic efflux pump</w:t>
            </w:r>
          </w:p>
        </w:tc>
        <w:tc>
          <w:tcPr>
            <w:tcW w:w="2844" w:type="dxa"/>
            <w:hideMark/>
          </w:tcPr>
          <w:p w14:paraId="5C6E693F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disinfecting agents and antiseptics</w:t>
            </w:r>
          </w:p>
        </w:tc>
        <w:tc>
          <w:tcPr>
            <w:tcW w:w="1842" w:type="dxa"/>
            <w:hideMark/>
          </w:tcPr>
          <w:p w14:paraId="12C875B9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560" w:type="dxa"/>
            <w:hideMark/>
          </w:tcPr>
          <w:p w14:paraId="2F58F9E6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42.16</w:t>
            </w:r>
          </w:p>
        </w:tc>
        <w:tc>
          <w:tcPr>
            <w:tcW w:w="1559" w:type="dxa"/>
            <w:hideMark/>
          </w:tcPr>
          <w:p w14:paraId="0377AF2C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111.21</w:t>
            </w:r>
          </w:p>
        </w:tc>
      </w:tr>
      <w:tr w:rsidR="008418BF" w:rsidRPr="00C672B3" w14:paraId="77891FB3" w14:textId="77777777" w:rsidTr="008418BF">
        <w:tc>
          <w:tcPr>
            <w:tcW w:w="963" w:type="dxa"/>
            <w:hideMark/>
          </w:tcPr>
          <w:p w14:paraId="164B1DEB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ykkD</w:t>
            </w:r>
          </w:p>
        </w:tc>
        <w:tc>
          <w:tcPr>
            <w:tcW w:w="2856" w:type="dxa"/>
            <w:hideMark/>
          </w:tcPr>
          <w:p w14:paraId="1A19D8F0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small multidrug resistance (SMR) antibiotic efflux pump</w:t>
            </w:r>
          </w:p>
        </w:tc>
        <w:tc>
          <w:tcPr>
            <w:tcW w:w="2844" w:type="dxa"/>
            <w:hideMark/>
          </w:tcPr>
          <w:p w14:paraId="6CA42B5A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aminoglycoside antibiotic, tetracycline antibiotic, phenicol antibiotic</w:t>
            </w:r>
          </w:p>
        </w:tc>
        <w:tc>
          <w:tcPr>
            <w:tcW w:w="1842" w:type="dxa"/>
            <w:hideMark/>
          </w:tcPr>
          <w:p w14:paraId="7120166D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560" w:type="dxa"/>
            <w:hideMark/>
          </w:tcPr>
          <w:p w14:paraId="770941D0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98.1</w:t>
            </w:r>
          </w:p>
        </w:tc>
        <w:tc>
          <w:tcPr>
            <w:tcW w:w="1559" w:type="dxa"/>
            <w:hideMark/>
          </w:tcPr>
          <w:p w14:paraId="392ED042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100.00</w:t>
            </w:r>
          </w:p>
        </w:tc>
      </w:tr>
      <w:tr w:rsidR="008418BF" w:rsidRPr="00C672B3" w14:paraId="7B0AC6E3" w14:textId="77777777" w:rsidTr="008418BF">
        <w:tc>
          <w:tcPr>
            <w:tcW w:w="963" w:type="dxa"/>
            <w:hideMark/>
          </w:tcPr>
          <w:p w14:paraId="16ED83E5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qacJ</w:t>
            </w:r>
          </w:p>
        </w:tc>
        <w:tc>
          <w:tcPr>
            <w:tcW w:w="2856" w:type="dxa"/>
            <w:hideMark/>
          </w:tcPr>
          <w:p w14:paraId="113BBE28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small multidrug resistance (SMR) antibiotic efflux pump</w:t>
            </w:r>
          </w:p>
        </w:tc>
        <w:tc>
          <w:tcPr>
            <w:tcW w:w="2844" w:type="dxa"/>
            <w:hideMark/>
          </w:tcPr>
          <w:p w14:paraId="3BFAAFC4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disinfecting agents and antiseptics</w:t>
            </w:r>
          </w:p>
        </w:tc>
        <w:tc>
          <w:tcPr>
            <w:tcW w:w="1842" w:type="dxa"/>
            <w:hideMark/>
          </w:tcPr>
          <w:p w14:paraId="1B35C4A0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560" w:type="dxa"/>
            <w:hideMark/>
          </w:tcPr>
          <w:p w14:paraId="78C50078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44.9</w:t>
            </w:r>
          </w:p>
        </w:tc>
        <w:tc>
          <w:tcPr>
            <w:tcW w:w="1559" w:type="dxa"/>
            <w:hideMark/>
          </w:tcPr>
          <w:p w14:paraId="38AFED56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109.35</w:t>
            </w:r>
          </w:p>
        </w:tc>
      </w:tr>
      <w:tr w:rsidR="008418BF" w:rsidRPr="00C672B3" w14:paraId="4F621156" w14:textId="77777777" w:rsidTr="008418BF">
        <w:tc>
          <w:tcPr>
            <w:tcW w:w="963" w:type="dxa"/>
            <w:hideMark/>
          </w:tcPr>
          <w:p w14:paraId="3D263682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qacJ</w:t>
            </w:r>
          </w:p>
        </w:tc>
        <w:tc>
          <w:tcPr>
            <w:tcW w:w="2856" w:type="dxa"/>
            <w:hideMark/>
          </w:tcPr>
          <w:p w14:paraId="43B83B91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small multidrug resistance (SMR) antibiotic efflux pump</w:t>
            </w:r>
          </w:p>
        </w:tc>
        <w:tc>
          <w:tcPr>
            <w:tcW w:w="2844" w:type="dxa"/>
            <w:hideMark/>
          </w:tcPr>
          <w:p w14:paraId="0DD211D4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disinfecting agents and antiseptics</w:t>
            </w:r>
          </w:p>
        </w:tc>
        <w:tc>
          <w:tcPr>
            <w:tcW w:w="1842" w:type="dxa"/>
            <w:hideMark/>
          </w:tcPr>
          <w:p w14:paraId="4F02B7EC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560" w:type="dxa"/>
            <w:hideMark/>
          </w:tcPr>
          <w:p w14:paraId="3656C4A2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45.45</w:t>
            </w:r>
          </w:p>
        </w:tc>
        <w:tc>
          <w:tcPr>
            <w:tcW w:w="1559" w:type="dxa"/>
            <w:hideMark/>
          </w:tcPr>
          <w:p w14:paraId="39C243E8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98.13</w:t>
            </w:r>
          </w:p>
        </w:tc>
      </w:tr>
      <w:tr w:rsidR="008418BF" w:rsidRPr="00C672B3" w14:paraId="0BD3054C" w14:textId="77777777" w:rsidTr="008418BF">
        <w:tc>
          <w:tcPr>
            <w:tcW w:w="963" w:type="dxa"/>
            <w:hideMark/>
          </w:tcPr>
          <w:p w14:paraId="31F5176B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aadK</w:t>
            </w:r>
          </w:p>
        </w:tc>
        <w:tc>
          <w:tcPr>
            <w:tcW w:w="2856" w:type="dxa"/>
            <w:hideMark/>
          </w:tcPr>
          <w:p w14:paraId="1B952EB1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proofErr w:type="gramStart"/>
            <w:r w:rsidRPr="008418BF">
              <w:rPr>
                <w:rFonts w:ascii="Times New Roman" w:hAnsi="Times New Roman" w:cs="Times New Roman"/>
              </w:rPr>
              <w:t>ANT(</w:t>
            </w:r>
            <w:proofErr w:type="gramEnd"/>
            <w:r w:rsidRPr="008418BF"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2844" w:type="dxa"/>
            <w:hideMark/>
          </w:tcPr>
          <w:p w14:paraId="452CFAF1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aminoglycoside antibiotic</w:t>
            </w:r>
          </w:p>
        </w:tc>
        <w:tc>
          <w:tcPr>
            <w:tcW w:w="1842" w:type="dxa"/>
            <w:hideMark/>
          </w:tcPr>
          <w:p w14:paraId="69A3C3B1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antibiotic inactivation</w:t>
            </w:r>
          </w:p>
        </w:tc>
        <w:tc>
          <w:tcPr>
            <w:tcW w:w="1560" w:type="dxa"/>
            <w:hideMark/>
          </w:tcPr>
          <w:p w14:paraId="4A975CD4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98.59</w:t>
            </w:r>
          </w:p>
        </w:tc>
        <w:tc>
          <w:tcPr>
            <w:tcW w:w="1559" w:type="dxa"/>
            <w:hideMark/>
          </w:tcPr>
          <w:p w14:paraId="2BD110B3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100.00</w:t>
            </w:r>
          </w:p>
        </w:tc>
      </w:tr>
      <w:tr w:rsidR="008418BF" w:rsidRPr="00C672B3" w14:paraId="1CF17F42" w14:textId="77777777" w:rsidTr="008418BF">
        <w:tc>
          <w:tcPr>
            <w:tcW w:w="963" w:type="dxa"/>
            <w:hideMark/>
          </w:tcPr>
          <w:p w14:paraId="573DE745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vanY gene in vanM cluster</w:t>
            </w:r>
          </w:p>
        </w:tc>
        <w:tc>
          <w:tcPr>
            <w:tcW w:w="2856" w:type="dxa"/>
            <w:hideMark/>
          </w:tcPr>
          <w:p w14:paraId="53B65672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vanY, glycopeptide resistance gene cluster</w:t>
            </w:r>
          </w:p>
        </w:tc>
        <w:tc>
          <w:tcPr>
            <w:tcW w:w="2844" w:type="dxa"/>
            <w:hideMark/>
          </w:tcPr>
          <w:p w14:paraId="151F4455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glycopeptide antibiotic</w:t>
            </w:r>
          </w:p>
        </w:tc>
        <w:tc>
          <w:tcPr>
            <w:tcW w:w="1842" w:type="dxa"/>
            <w:hideMark/>
          </w:tcPr>
          <w:p w14:paraId="6B8D4073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antibiotic target alteration</w:t>
            </w:r>
          </w:p>
        </w:tc>
        <w:tc>
          <w:tcPr>
            <w:tcW w:w="1560" w:type="dxa"/>
            <w:hideMark/>
          </w:tcPr>
          <w:p w14:paraId="24EE783C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34.55</w:t>
            </w:r>
          </w:p>
        </w:tc>
        <w:tc>
          <w:tcPr>
            <w:tcW w:w="1559" w:type="dxa"/>
            <w:hideMark/>
          </w:tcPr>
          <w:p w14:paraId="6B876465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117.17</w:t>
            </w:r>
          </w:p>
        </w:tc>
      </w:tr>
      <w:tr w:rsidR="008418BF" w:rsidRPr="00C672B3" w14:paraId="1CD6D2BE" w14:textId="77777777" w:rsidTr="008418BF">
        <w:tc>
          <w:tcPr>
            <w:tcW w:w="963" w:type="dxa"/>
            <w:hideMark/>
          </w:tcPr>
          <w:p w14:paraId="1372D66D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BcI</w:t>
            </w:r>
          </w:p>
        </w:tc>
        <w:tc>
          <w:tcPr>
            <w:tcW w:w="2856" w:type="dxa"/>
            <w:hideMark/>
          </w:tcPr>
          <w:p w14:paraId="5716BA33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class A Bacillus cereus Bc beta-lactamase</w:t>
            </w:r>
          </w:p>
        </w:tc>
        <w:tc>
          <w:tcPr>
            <w:tcW w:w="2844" w:type="dxa"/>
            <w:hideMark/>
          </w:tcPr>
          <w:p w14:paraId="1DF22C8B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cephalosporin</w:t>
            </w:r>
          </w:p>
        </w:tc>
        <w:tc>
          <w:tcPr>
            <w:tcW w:w="1842" w:type="dxa"/>
            <w:hideMark/>
          </w:tcPr>
          <w:p w14:paraId="6EA38731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antibiotic inactivation</w:t>
            </w:r>
          </w:p>
        </w:tc>
        <w:tc>
          <w:tcPr>
            <w:tcW w:w="1560" w:type="dxa"/>
            <w:hideMark/>
          </w:tcPr>
          <w:p w14:paraId="12865392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66.02</w:t>
            </w:r>
          </w:p>
        </w:tc>
        <w:tc>
          <w:tcPr>
            <w:tcW w:w="1559" w:type="dxa"/>
            <w:hideMark/>
          </w:tcPr>
          <w:p w14:paraId="4640C9C0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100.00</w:t>
            </w:r>
          </w:p>
        </w:tc>
      </w:tr>
      <w:tr w:rsidR="008418BF" w:rsidRPr="00C672B3" w14:paraId="58361AE1" w14:textId="77777777" w:rsidTr="008418BF">
        <w:tc>
          <w:tcPr>
            <w:tcW w:w="963" w:type="dxa"/>
            <w:hideMark/>
          </w:tcPr>
          <w:p w14:paraId="047F5994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vanW gene in vanI cluster</w:t>
            </w:r>
          </w:p>
        </w:tc>
        <w:tc>
          <w:tcPr>
            <w:tcW w:w="2856" w:type="dxa"/>
            <w:hideMark/>
          </w:tcPr>
          <w:p w14:paraId="21060C84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vanW, glycopeptide resistance gene cluster</w:t>
            </w:r>
          </w:p>
        </w:tc>
        <w:tc>
          <w:tcPr>
            <w:tcW w:w="2844" w:type="dxa"/>
            <w:hideMark/>
          </w:tcPr>
          <w:p w14:paraId="001AF03C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glycopeptide antibiotic</w:t>
            </w:r>
          </w:p>
        </w:tc>
        <w:tc>
          <w:tcPr>
            <w:tcW w:w="1842" w:type="dxa"/>
            <w:hideMark/>
          </w:tcPr>
          <w:p w14:paraId="247EDDD4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antibiotic target alteration</w:t>
            </w:r>
          </w:p>
        </w:tc>
        <w:tc>
          <w:tcPr>
            <w:tcW w:w="1560" w:type="dxa"/>
            <w:hideMark/>
          </w:tcPr>
          <w:p w14:paraId="3210D20E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37.87</w:t>
            </w:r>
          </w:p>
        </w:tc>
        <w:tc>
          <w:tcPr>
            <w:tcW w:w="1559" w:type="dxa"/>
            <w:hideMark/>
          </w:tcPr>
          <w:p w14:paraId="4A572240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81.23</w:t>
            </w:r>
          </w:p>
        </w:tc>
      </w:tr>
      <w:tr w:rsidR="008418BF" w:rsidRPr="00C672B3" w14:paraId="4CB5E228" w14:textId="77777777" w:rsidTr="008418BF">
        <w:tc>
          <w:tcPr>
            <w:tcW w:w="963" w:type="dxa"/>
            <w:hideMark/>
          </w:tcPr>
          <w:p w14:paraId="7F84E7D2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tmrB</w:t>
            </w:r>
          </w:p>
        </w:tc>
        <w:tc>
          <w:tcPr>
            <w:tcW w:w="2856" w:type="dxa"/>
            <w:hideMark/>
          </w:tcPr>
          <w:p w14:paraId="689E96F6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tunicamycin resistance protein</w:t>
            </w:r>
          </w:p>
        </w:tc>
        <w:tc>
          <w:tcPr>
            <w:tcW w:w="2844" w:type="dxa"/>
            <w:hideMark/>
          </w:tcPr>
          <w:p w14:paraId="2712513B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nucleoside antibiotic</w:t>
            </w:r>
          </w:p>
        </w:tc>
        <w:tc>
          <w:tcPr>
            <w:tcW w:w="1842" w:type="dxa"/>
            <w:hideMark/>
          </w:tcPr>
          <w:p w14:paraId="04C31390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reduced permeability to antibiotic</w:t>
            </w:r>
          </w:p>
        </w:tc>
        <w:tc>
          <w:tcPr>
            <w:tcW w:w="1560" w:type="dxa"/>
            <w:hideMark/>
          </w:tcPr>
          <w:p w14:paraId="4AD22798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98.48</w:t>
            </w:r>
          </w:p>
        </w:tc>
        <w:tc>
          <w:tcPr>
            <w:tcW w:w="1559" w:type="dxa"/>
            <w:hideMark/>
          </w:tcPr>
          <w:p w14:paraId="7B45D977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100.00</w:t>
            </w:r>
          </w:p>
        </w:tc>
      </w:tr>
      <w:tr w:rsidR="008418BF" w:rsidRPr="00C672B3" w14:paraId="398BA155" w14:textId="77777777" w:rsidTr="008418BF">
        <w:tc>
          <w:tcPr>
            <w:tcW w:w="963" w:type="dxa"/>
            <w:hideMark/>
          </w:tcPr>
          <w:p w14:paraId="5B86F0E2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mphK</w:t>
            </w:r>
          </w:p>
        </w:tc>
        <w:tc>
          <w:tcPr>
            <w:tcW w:w="2856" w:type="dxa"/>
            <w:hideMark/>
          </w:tcPr>
          <w:p w14:paraId="21C521AC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macrolide phosphotransferase (MPH)</w:t>
            </w:r>
          </w:p>
        </w:tc>
        <w:tc>
          <w:tcPr>
            <w:tcW w:w="2844" w:type="dxa"/>
            <w:hideMark/>
          </w:tcPr>
          <w:p w14:paraId="22A9801A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macrolide antibiotic</w:t>
            </w:r>
          </w:p>
        </w:tc>
        <w:tc>
          <w:tcPr>
            <w:tcW w:w="1842" w:type="dxa"/>
            <w:hideMark/>
          </w:tcPr>
          <w:p w14:paraId="5BA43D43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antibiotic inactivation</w:t>
            </w:r>
          </w:p>
        </w:tc>
        <w:tc>
          <w:tcPr>
            <w:tcW w:w="1560" w:type="dxa"/>
            <w:hideMark/>
          </w:tcPr>
          <w:p w14:paraId="46CF08AF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98.04</w:t>
            </w:r>
          </w:p>
        </w:tc>
        <w:tc>
          <w:tcPr>
            <w:tcW w:w="1559" w:type="dxa"/>
            <w:hideMark/>
          </w:tcPr>
          <w:p w14:paraId="0F8CF725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100.00</w:t>
            </w:r>
          </w:p>
        </w:tc>
      </w:tr>
      <w:tr w:rsidR="008418BF" w:rsidRPr="00C672B3" w14:paraId="733A5EF3" w14:textId="77777777" w:rsidTr="008418BF">
        <w:tc>
          <w:tcPr>
            <w:tcW w:w="963" w:type="dxa"/>
            <w:hideMark/>
          </w:tcPr>
          <w:p w14:paraId="24054235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vanT gene in vanG cluster</w:t>
            </w:r>
          </w:p>
        </w:tc>
        <w:tc>
          <w:tcPr>
            <w:tcW w:w="2856" w:type="dxa"/>
            <w:hideMark/>
          </w:tcPr>
          <w:p w14:paraId="1A99027D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glycopeptide resistance gene cluster, vanT</w:t>
            </w:r>
          </w:p>
        </w:tc>
        <w:tc>
          <w:tcPr>
            <w:tcW w:w="2844" w:type="dxa"/>
            <w:hideMark/>
          </w:tcPr>
          <w:p w14:paraId="7B0127AF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glycopeptide antibiotic</w:t>
            </w:r>
          </w:p>
        </w:tc>
        <w:tc>
          <w:tcPr>
            <w:tcW w:w="1842" w:type="dxa"/>
            <w:hideMark/>
          </w:tcPr>
          <w:p w14:paraId="765C6034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antibiotic target alteration</w:t>
            </w:r>
          </w:p>
        </w:tc>
        <w:tc>
          <w:tcPr>
            <w:tcW w:w="1560" w:type="dxa"/>
            <w:hideMark/>
          </w:tcPr>
          <w:p w14:paraId="50E3A001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32.05</w:t>
            </w:r>
          </w:p>
        </w:tc>
        <w:tc>
          <w:tcPr>
            <w:tcW w:w="1559" w:type="dxa"/>
            <w:hideMark/>
          </w:tcPr>
          <w:p w14:paraId="477E1C9B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54.63</w:t>
            </w:r>
          </w:p>
        </w:tc>
      </w:tr>
      <w:tr w:rsidR="008418BF" w:rsidRPr="00C672B3" w14:paraId="65122A13" w14:textId="77777777" w:rsidTr="008418BF">
        <w:tc>
          <w:tcPr>
            <w:tcW w:w="963" w:type="dxa"/>
            <w:hideMark/>
          </w:tcPr>
          <w:p w14:paraId="7F992370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vmlR</w:t>
            </w:r>
          </w:p>
        </w:tc>
        <w:tc>
          <w:tcPr>
            <w:tcW w:w="2856" w:type="dxa"/>
            <w:hideMark/>
          </w:tcPr>
          <w:p w14:paraId="7E4E311A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Miscellaneous ABC-F subfamily ATP-binding cassette ribosomal protection proteins</w:t>
            </w:r>
          </w:p>
        </w:tc>
        <w:tc>
          <w:tcPr>
            <w:tcW w:w="2844" w:type="dxa"/>
            <w:hideMark/>
          </w:tcPr>
          <w:p w14:paraId="18BEA29E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 xml:space="preserve">lincosamide antibiotic, streptogramin antibiotic, streptogramin A antibiotic, streptogramin B antibiotic, </w:t>
            </w:r>
            <w:r w:rsidRPr="008418BF">
              <w:rPr>
                <w:rFonts w:ascii="Times New Roman" w:hAnsi="Times New Roman" w:cs="Times New Roman"/>
              </w:rPr>
              <w:lastRenderedPageBreak/>
              <w:t>antibiotic without defined classification, nucleoside antibiotic, pleuromutilin antibiotic</w:t>
            </w:r>
          </w:p>
        </w:tc>
        <w:tc>
          <w:tcPr>
            <w:tcW w:w="1842" w:type="dxa"/>
            <w:hideMark/>
          </w:tcPr>
          <w:p w14:paraId="647137BA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lastRenderedPageBreak/>
              <w:t>antibiotic target protection</w:t>
            </w:r>
          </w:p>
        </w:tc>
        <w:tc>
          <w:tcPr>
            <w:tcW w:w="1560" w:type="dxa"/>
            <w:hideMark/>
          </w:tcPr>
          <w:p w14:paraId="6673BA7A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98.71</w:t>
            </w:r>
          </w:p>
        </w:tc>
        <w:tc>
          <w:tcPr>
            <w:tcW w:w="1559" w:type="dxa"/>
            <w:hideMark/>
          </w:tcPr>
          <w:p w14:paraId="00C5C758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98.90</w:t>
            </w:r>
          </w:p>
        </w:tc>
      </w:tr>
      <w:tr w:rsidR="008418BF" w:rsidRPr="00C672B3" w14:paraId="341426D7" w14:textId="77777777" w:rsidTr="008418BF">
        <w:tc>
          <w:tcPr>
            <w:tcW w:w="963" w:type="dxa"/>
            <w:hideMark/>
          </w:tcPr>
          <w:p w14:paraId="61680DD8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FosBx1</w:t>
            </w:r>
          </w:p>
        </w:tc>
        <w:tc>
          <w:tcPr>
            <w:tcW w:w="2856" w:type="dxa"/>
            <w:hideMark/>
          </w:tcPr>
          <w:p w14:paraId="180E3FB1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fosfomycin thiol transferase</w:t>
            </w:r>
          </w:p>
        </w:tc>
        <w:tc>
          <w:tcPr>
            <w:tcW w:w="2844" w:type="dxa"/>
            <w:hideMark/>
          </w:tcPr>
          <w:p w14:paraId="75AE32E1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phosphonic acid antibiotic</w:t>
            </w:r>
          </w:p>
        </w:tc>
        <w:tc>
          <w:tcPr>
            <w:tcW w:w="1842" w:type="dxa"/>
            <w:hideMark/>
          </w:tcPr>
          <w:p w14:paraId="36E2C9D1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antibiotic inactivation</w:t>
            </w:r>
          </w:p>
        </w:tc>
        <w:tc>
          <w:tcPr>
            <w:tcW w:w="1560" w:type="dxa"/>
            <w:hideMark/>
          </w:tcPr>
          <w:p w14:paraId="356515F1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61.76</w:t>
            </w:r>
          </w:p>
        </w:tc>
        <w:tc>
          <w:tcPr>
            <w:tcW w:w="1559" w:type="dxa"/>
            <w:hideMark/>
          </w:tcPr>
          <w:p w14:paraId="02078F2D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100.72</w:t>
            </w:r>
          </w:p>
        </w:tc>
      </w:tr>
      <w:tr w:rsidR="008418BF" w:rsidRPr="00C672B3" w14:paraId="473B3D67" w14:textId="77777777" w:rsidTr="008418BF">
        <w:tc>
          <w:tcPr>
            <w:tcW w:w="963" w:type="dxa"/>
            <w:hideMark/>
          </w:tcPr>
          <w:p w14:paraId="4985D21F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vanT gene in vanG cluster</w:t>
            </w:r>
          </w:p>
        </w:tc>
        <w:tc>
          <w:tcPr>
            <w:tcW w:w="2856" w:type="dxa"/>
            <w:hideMark/>
          </w:tcPr>
          <w:p w14:paraId="7B9191B7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glycopeptide resistance gene cluster, vanT</w:t>
            </w:r>
          </w:p>
        </w:tc>
        <w:tc>
          <w:tcPr>
            <w:tcW w:w="2844" w:type="dxa"/>
            <w:hideMark/>
          </w:tcPr>
          <w:p w14:paraId="1A90115E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glycopeptide antibiotic</w:t>
            </w:r>
          </w:p>
        </w:tc>
        <w:tc>
          <w:tcPr>
            <w:tcW w:w="1842" w:type="dxa"/>
            <w:hideMark/>
          </w:tcPr>
          <w:p w14:paraId="23F70E9A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antibiotic target alteration</w:t>
            </w:r>
          </w:p>
        </w:tc>
        <w:tc>
          <w:tcPr>
            <w:tcW w:w="1560" w:type="dxa"/>
            <w:hideMark/>
          </w:tcPr>
          <w:p w14:paraId="57F80069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34.05</w:t>
            </w:r>
          </w:p>
        </w:tc>
        <w:tc>
          <w:tcPr>
            <w:tcW w:w="1559" w:type="dxa"/>
            <w:hideMark/>
          </w:tcPr>
          <w:p w14:paraId="6034AD82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55.34</w:t>
            </w:r>
          </w:p>
        </w:tc>
      </w:tr>
      <w:tr w:rsidR="008418BF" w:rsidRPr="00C672B3" w14:paraId="72C541F9" w14:textId="77777777" w:rsidTr="008418BF">
        <w:tc>
          <w:tcPr>
            <w:tcW w:w="963" w:type="dxa"/>
            <w:hideMark/>
          </w:tcPr>
          <w:p w14:paraId="52634F4C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proofErr w:type="gramStart"/>
            <w:r w:rsidRPr="008418BF">
              <w:rPr>
                <w:rFonts w:ascii="Times New Roman" w:hAnsi="Times New Roman" w:cs="Times New Roman"/>
              </w:rPr>
              <w:t>tet(</w:t>
            </w:r>
            <w:proofErr w:type="gramEnd"/>
            <w:r w:rsidRPr="008418BF">
              <w:rPr>
                <w:rFonts w:ascii="Times New Roman" w:hAnsi="Times New Roman" w:cs="Times New Roman"/>
              </w:rPr>
              <w:t>45)</w:t>
            </w:r>
          </w:p>
        </w:tc>
        <w:tc>
          <w:tcPr>
            <w:tcW w:w="2856" w:type="dxa"/>
            <w:hideMark/>
          </w:tcPr>
          <w:p w14:paraId="63C358EE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major facilitator superfamily (MFS) antibiotic efflux pump</w:t>
            </w:r>
          </w:p>
        </w:tc>
        <w:tc>
          <w:tcPr>
            <w:tcW w:w="2844" w:type="dxa"/>
            <w:hideMark/>
          </w:tcPr>
          <w:p w14:paraId="58379493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tetracycline antibiotic</w:t>
            </w:r>
          </w:p>
        </w:tc>
        <w:tc>
          <w:tcPr>
            <w:tcW w:w="1842" w:type="dxa"/>
            <w:hideMark/>
          </w:tcPr>
          <w:p w14:paraId="674BBDBE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antibiotic efflux</w:t>
            </w:r>
          </w:p>
        </w:tc>
        <w:tc>
          <w:tcPr>
            <w:tcW w:w="1560" w:type="dxa"/>
            <w:hideMark/>
          </w:tcPr>
          <w:p w14:paraId="5FBB02E7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75.82</w:t>
            </w:r>
          </w:p>
        </w:tc>
        <w:tc>
          <w:tcPr>
            <w:tcW w:w="1559" w:type="dxa"/>
            <w:hideMark/>
          </w:tcPr>
          <w:p w14:paraId="246B52CD" w14:textId="77777777" w:rsidR="008418BF" w:rsidRPr="008418BF" w:rsidRDefault="008418BF" w:rsidP="008418BF">
            <w:pPr>
              <w:rPr>
                <w:rFonts w:ascii="Times New Roman" w:hAnsi="Times New Roman" w:cs="Times New Roman"/>
              </w:rPr>
            </w:pPr>
            <w:r w:rsidRPr="008418BF">
              <w:rPr>
                <w:rFonts w:ascii="Times New Roman" w:hAnsi="Times New Roman" w:cs="Times New Roman"/>
              </w:rPr>
              <w:t>100.00</w:t>
            </w:r>
          </w:p>
        </w:tc>
      </w:tr>
    </w:tbl>
    <w:p w14:paraId="5446B01A" w14:textId="77777777" w:rsidR="008418BF" w:rsidRPr="00C672B3" w:rsidRDefault="008418BF">
      <w:pPr>
        <w:rPr>
          <w:rFonts w:ascii="Times New Roman" w:hAnsi="Times New Roman" w:cs="Times New Roman"/>
        </w:rPr>
      </w:pPr>
    </w:p>
    <w:sectPr w:rsidR="008418BF" w:rsidRPr="00C672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8BF"/>
    <w:rsid w:val="008418BF"/>
    <w:rsid w:val="008C490E"/>
    <w:rsid w:val="00C672B3"/>
    <w:rsid w:val="00D05349"/>
    <w:rsid w:val="00FB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3F5AF"/>
  <w15:chartTrackingRefBased/>
  <w15:docId w15:val="{5CAAC7F1-312B-4295-9A3E-823F185B0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18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18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18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18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18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18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18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18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18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18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18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18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18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18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18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18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18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18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18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1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8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1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18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18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18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18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18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18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18B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41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DIXITA CHETTRI</dc:creator>
  <cp:keywords/>
  <dc:description/>
  <cp:lastModifiedBy>DIXITA CHETTRI</cp:lastModifiedBy>
  <cp:revision>2</cp:revision>
  <dcterms:created xsi:type="dcterms:W3CDTF">2026-05-20T11:42:00Z</dcterms:created>
  <dcterms:modified xsi:type="dcterms:W3CDTF">2026-05-21T14:56:00Z</dcterms:modified>
</cp:coreProperties>
</file>