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line="360" w:lineRule="auto"/>
        <w:rPr>
          <w:rFonts w:hint="default" w:ascii="Times New Roman" w:hAnsi="Times New Roman" w:eastAsia="Segoe UI" w:cs="Times New Roman"/>
          <w:color w:val="auto"/>
          <w:kern w:val="0"/>
          <w:sz w:val="24"/>
          <w:shd w:val="clear" w:color="auto" w:fill="FFFFFF"/>
        </w:rPr>
      </w:pPr>
      <w:r>
        <w:rPr>
          <w:rFonts w:hint="default" w:ascii="Times New Roman" w:hAnsi="Times New Roman" w:eastAsia="Segoe UI" w:cs="Times New Roman"/>
          <w:color w:val="auto"/>
          <w:kern w:val="0"/>
          <w:sz w:val="24"/>
          <w:shd w:val="clear" w:color="auto" w:fill="FFFFFF"/>
        </w:rPr>
        <w:t>Appendix Table A1 Dynamic Coefficients of Event Study (t = −4 to t = +4)</w:t>
      </w:r>
    </w:p>
    <w:p>
      <w:pPr>
        <w:spacing w:before="120" w:line="360" w:lineRule="auto"/>
        <w:rPr>
          <w:rFonts w:hint="default" w:ascii="Times New Roman" w:hAnsi="Times New Roman" w:eastAsia="Segoe UI" w:cs="Times New Roman"/>
          <w:color w:val="auto"/>
          <w:kern w:val="0"/>
          <w:sz w:val="24"/>
          <w:shd w:val="clear" w:color="auto" w:fill="FFFFFF"/>
        </w:rPr>
      </w:pPr>
      <w:r>
        <w:rPr>
          <w:rFonts w:hint="default" w:ascii="Times New Roman" w:hAnsi="Times New Roman" w:eastAsia="Segoe UI" w:cs="Times New Roman"/>
          <w:color w:val="auto"/>
          <w:kern w:val="0"/>
          <w:sz w:val="24"/>
          <w:shd w:val="clear" w:color="auto" w:fill="FFFFFF"/>
          <w:lang w:val="en-US" w:eastAsia="zh-CN"/>
        </w:rPr>
        <w:t>Parallel Trend Test Based on Joint Significance Test</w:t>
      </w:r>
    </w:p>
    <w:tbl>
      <w:tblPr>
        <w:tblStyle w:val="3"/>
        <w:tblW w:w="81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5"/>
        <w:gridCol w:w="1225"/>
        <w:gridCol w:w="1500"/>
        <w:gridCol w:w="827"/>
        <w:gridCol w:w="889"/>
        <w:gridCol w:w="2505"/>
      </w:tblGrid>
      <w:tr>
        <w:tblPrEx>
          <w:shd w:val="clear" w:color="auto" w:fill="auto"/>
          <w:tblCellMar>
            <w:top w:w="0" w:type="dxa"/>
            <w:left w:w="108" w:type="dxa"/>
            <w:bottom w:w="0" w:type="dxa"/>
            <w:right w:w="108" w:type="dxa"/>
          </w:tblCellMar>
        </w:tblPrEx>
        <w:trPr>
          <w:trHeight w:val="300" w:hRule="atLeast"/>
        </w:trPr>
        <w:tc>
          <w:tcPr>
            <w:tcW w:w="1425"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Relative Time</w:t>
            </w:r>
          </w:p>
        </w:tc>
        <w:tc>
          <w:tcPr>
            <w:tcW w:w="114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Coefficient</w:t>
            </w:r>
          </w:p>
        </w:tc>
        <w:tc>
          <w:tcPr>
            <w:tcW w:w="150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Standard Error</w:t>
            </w:r>
          </w:p>
        </w:tc>
        <w:tc>
          <w:tcPr>
            <w:tcW w:w="765"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t-value</w:t>
            </w:r>
          </w:p>
        </w:tc>
        <w:tc>
          <w:tcPr>
            <w:tcW w:w="84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P-value</w:t>
            </w:r>
          </w:p>
        </w:tc>
        <w:tc>
          <w:tcPr>
            <w:tcW w:w="2505"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 Confidence Interval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 = -4</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-0.0017</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0.0189</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0.929</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[-0.0389, 0.0356]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 = -3</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-0.0194</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0.0211</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0.358</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[-0.0610, 0.0221]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 = -2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-0.0329</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0.0232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0.158</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[-0.0786, 0.0128]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 = -1</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-0.0415</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0.0262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-1.58</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0.115</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[-0.0930, 0.0101]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 = 0</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-0.0537*</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0.0276</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-1.94</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0.053</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[-0.1080, 0.0007]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 = +1</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-0.0631**</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0.0291</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-2.17</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0.031</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[-0.1204, -0.0057]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 = +2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-0.0808***</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0.0313</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-2.58</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0.010</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[-0.1425, -0.0191]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 = +3</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-0.0962***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0.0362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-2.66</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0.008</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[-0.1675, -0.0249]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 = +4</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-0.1110**</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0.0451</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-2.46</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0.015</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[-0.1998, -0.0221]</w:t>
            </w:r>
          </w:p>
        </w:tc>
      </w:tr>
    </w:tbl>
    <w:p>
      <w:pPr>
        <w:spacing w:line="360" w:lineRule="auto"/>
        <w:rPr>
          <w:rFonts w:hint="default" w:ascii="Times New Roman" w:hAnsi="Times New Roman" w:eastAsia="宋体" w:cs="Times New Roman"/>
          <w:sz w:val="22"/>
          <w:szCs w:val="22"/>
        </w:rPr>
      </w:pPr>
      <w:r>
        <w:rPr>
          <w:rStyle w:val="5"/>
          <w:rFonts w:hint="default" w:ascii="Times New Roman" w:hAnsi="Times New Roman" w:eastAsia="宋体" w:cs="Times New Roman"/>
          <w:b w:val="0"/>
          <w:bCs w:val="0"/>
          <w:color w:val="1F2329"/>
          <w:sz w:val="22"/>
          <w:szCs w:val="22"/>
        </w:rPr>
        <w:t>Joint Significance Test for Pre-policy Period (testparm results)</w:t>
      </w:r>
      <w:r>
        <w:rPr>
          <w:rStyle w:val="5"/>
          <w:rFonts w:hint="eastAsia" w:ascii="Times New Roman" w:hAnsi="Times New Roman" w:eastAsia="宋体" w:cs="Times New Roman"/>
          <w:b w:val="0"/>
          <w:bCs w:val="0"/>
          <w:color w:val="1F2329"/>
          <w:sz w:val="22"/>
          <w:szCs w:val="22"/>
          <w:lang w:val="en-US" w:eastAsia="zh-CN"/>
        </w:rPr>
        <w:t xml:space="preserve"> </w:t>
      </w:r>
      <w:r>
        <w:rPr>
          <w:rFonts w:hint="default" w:ascii="Times New Roman" w:hAnsi="Times New Roman" w:eastAsia="宋体" w:cs="Times New Roman"/>
          <w:sz w:val="22"/>
          <w:szCs w:val="22"/>
        </w:rPr>
        <w:t>F statistic = 1.99, Prob &gt; F = 0.0956</w:t>
      </w:r>
    </w:p>
    <w:p>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This table reports the estimated time-varying coefficients from the event-study </w:t>
      </w:r>
      <w:bookmarkStart w:id="0" w:name="_GoBack"/>
      <w:bookmarkEnd w:id="0"/>
      <w:r>
        <w:rPr>
          <w:rFonts w:hint="default" w:ascii="Times New Roman" w:hAnsi="Times New Roman" w:eastAsia="宋体" w:cs="Times New Roman"/>
          <w:sz w:val="24"/>
          <w:szCs w:val="24"/>
        </w:rPr>
        <w:t>difference-in-differences model. The one period prior to policy implementation (</w:t>
      </w:r>
      <w:r>
        <w:rPr>
          <w:rFonts w:hint="default" w:ascii="Times New Roman" w:hAnsi="Times New Roman" w:eastAsia="宋体" w:cs="Times New Roman"/>
          <w:color w:val="1F2329"/>
          <w:sz w:val="24"/>
          <w:szCs w:val="24"/>
        </w:rPr>
        <w:t>t=−1</w:t>
      </w:r>
      <w:r>
        <w:rPr>
          <w:rFonts w:hint="default" w:ascii="Times New Roman" w:hAnsi="Times New Roman" w:eastAsia="宋体" w:cs="Times New Roman"/>
          <w:sz w:val="24"/>
          <w:szCs w:val="24"/>
        </w:rPr>
        <w:t xml:space="preserve">) is defined as the omitted reference group. The joint significance test of all pre-treatment lead terms is conducted via </w:t>
      </w:r>
      <w:r>
        <w:rPr>
          <w:rStyle w:val="7"/>
          <w:rFonts w:hint="default" w:ascii="Times New Roman" w:hAnsi="Times New Roman" w:eastAsia="宋体" w:cs="Times New Roman"/>
          <w:color w:val="1F2329"/>
          <w:sz w:val="24"/>
          <w:szCs w:val="24"/>
        </w:rPr>
        <w:t>testparm</w:t>
      </w:r>
      <w:r>
        <w:rPr>
          <w:rFonts w:hint="default" w:ascii="Times New Roman" w:hAnsi="Times New Roman" w:eastAsia="宋体" w:cs="Times New Roman"/>
          <w:sz w:val="24"/>
          <w:szCs w:val="24"/>
        </w:rPr>
        <w:t xml:space="preserve"> command, and the results fail to reject the null hypothesis of parallel trend. All regressions control for city fixed effects, year fixed effects and a full set of socioeconomic control variables. Standard errors are clustered at the city administrative level to address serial correlation and cross-sectional correlation. *</w:t>
      </w:r>
      <w:r>
        <w:rPr>
          <w:rFonts w:hint="default" w:ascii="Times New Roman" w:hAnsi="Times New Roman" w:eastAsia="宋体" w:cs="Times New Roman"/>
          <w:color w:val="1F2329"/>
          <w:sz w:val="24"/>
          <w:szCs w:val="24"/>
        </w:rPr>
        <w:t>p&lt;0.1</w:t>
      </w:r>
      <w:r>
        <w:rPr>
          <w:rFonts w:hint="default" w:ascii="Times New Roman" w:hAnsi="Times New Roman" w:eastAsia="宋体" w:cs="Times New Roman"/>
          <w:sz w:val="24"/>
          <w:szCs w:val="24"/>
        </w:rPr>
        <w:t>, **</w:t>
      </w:r>
      <w:r>
        <w:rPr>
          <w:rFonts w:hint="default" w:ascii="Times New Roman" w:hAnsi="Times New Roman" w:eastAsia="宋体" w:cs="Times New Roman"/>
          <w:color w:val="1F2329"/>
          <w:sz w:val="24"/>
          <w:szCs w:val="24"/>
        </w:rPr>
        <w:t>p&lt;0.05</w:t>
      </w:r>
      <w:r>
        <w:rPr>
          <w:rFonts w:hint="default" w:ascii="Times New Roman" w:hAnsi="Times New Roman" w:eastAsia="宋体" w:cs="Times New Roman"/>
          <w:sz w:val="24"/>
          <w:szCs w:val="24"/>
        </w:rPr>
        <w:t>, ***</w:t>
      </w:r>
      <w:r>
        <w:rPr>
          <w:rFonts w:hint="default" w:ascii="Times New Roman" w:hAnsi="Times New Roman" w:eastAsia="宋体" w:cs="Times New Roman"/>
          <w:color w:val="1F2329"/>
          <w:sz w:val="24"/>
          <w:szCs w:val="24"/>
        </w:rPr>
        <w:t>p&lt;0.01</w:t>
      </w:r>
      <w:r>
        <w:rPr>
          <w:rFonts w:hint="default" w:ascii="Times New Roman" w:hAnsi="Times New Roman" w:eastAsia="宋体" w:cs="Times New Roman"/>
          <w:sz w:val="24"/>
          <w:szCs w:val="24"/>
        </w:rPr>
        <w:t>.</w:t>
      </w:r>
    </w:p>
    <w:p>
      <w:pPr>
        <w:spacing w:line="360" w:lineRule="auto"/>
        <w:rPr>
          <w:rFonts w:hint="default" w:ascii="Times New Roman" w:hAnsi="Times New Roman" w:eastAsia="宋体" w:cs="Times New Roman"/>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rPr>
          <w:rFonts w:hint="default" w:ascii="Times New Roman" w:hAnsi="Times New Roman" w:cs="Times New Roman"/>
          <w:b w:val="0"/>
          <w:bCs w:val="0"/>
          <w:color w:val="1F2329"/>
          <w:sz w:val="24"/>
          <w:szCs w:val="24"/>
        </w:rPr>
      </w:pPr>
      <w:r>
        <w:rPr>
          <w:rFonts w:hint="default" w:ascii="Times New Roman" w:hAnsi="Times New Roman" w:cs="Times New Roman"/>
          <w:b w:val="0"/>
          <w:bCs w:val="0"/>
          <w:color w:val="1F2329"/>
          <w:sz w:val="24"/>
          <w:szCs w:val="24"/>
        </w:rPr>
        <w:t>Appendix Table A2 Decomposition Results of Two-way Fixed Effects DID Estimation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Times New Roman" w:hAnsi="Times New Roman" w:cs="Times New Roman"/>
          <w:b w:val="0"/>
          <w:bCs w:val="0"/>
          <w:color w:val="1F2329"/>
          <w:sz w:val="24"/>
          <w:szCs w:val="24"/>
        </w:rPr>
      </w:pPr>
      <w:r>
        <w:rPr>
          <w:rStyle w:val="6"/>
          <w:rFonts w:hint="default" w:ascii="Times New Roman" w:hAnsi="Times New Roman" w:eastAsia="宋体" w:cs="Times New Roman"/>
          <w:b w:val="0"/>
          <w:bCs w:val="0"/>
          <w:color w:val="1F2329"/>
          <w:kern w:val="0"/>
          <w:sz w:val="24"/>
          <w:szCs w:val="24"/>
          <w:lang w:val="en-US" w:eastAsia="zh-CN" w:bidi="ar"/>
        </w:rPr>
        <w:t xml:space="preserve">(Goodman–Bacon, 2021, </w:t>
      </w:r>
      <w:r>
        <w:rPr>
          <w:rStyle w:val="7"/>
          <w:rFonts w:hint="default" w:ascii="Times New Roman" w:hAnsi="Times New Roman" w:eastAsia="宋体" w:cs="Times New Roman"/>
          <w:b w:val="0"/>
          <w:bCs w:val="0"/>
          <w:color w:val="1F2329"/>
          <w:kern w:val="0"/>
          <w:sz w:val="24"/>
          <w:szCs w:val="24"/>
          <w:lang w:val="en-US" w:eastAsia="zh-CN" w:bidi="ar"/>
        </w:rPr>
        <w:t>bacondecomp</w:t>
      </w:r>
      <w:r>
        <w:rPr>
          <w:rStyle w:val="6"/>
          <w:rFonts w:hint="default" w:ascii="Times New Roman" w:hAnsi="Times New Roman" w:eastAsia="宋体" w:cs="Times New Roman"/>
          <w:b w:val="0"/>
          <w:bCs w:val="0"/>
          <w:color w:val="1F2329"/>
          <w:kern w:val="0"/>
          <w:sz w:val="24"/>
          <w:szCs w:val="24"/>
          <w:lang w:val="en-US" w:eastAsia="zh-CN" w:bidi="ar"/>
        </w:rPr>
        <w:t>)</w:t>
      </w:r>
    </w:p>
    <w:tbl>
      <w:tblPr>
        <w:tblStyle w:val="3"/>
        <w:tblW w:w="82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80"/>
        <w:gridCol w:w="2175"/>
        <w:gridCol w:w="22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78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Estimation Components</w:t>
            </w:r>
          </w:p>
        </w:tc>
        <w:tc>
          <w:tcPr>
            <w:tcW w:w="2175"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Estimated Coefficient</w:t>
            </w:r>
          </w:p>
        </w:tc>
        <w:tc>
          <w:tcPr>
            <w:tcW w:w="228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Weight Proportion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Timing Group vs Timing Group</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0.0010</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Never-treated Group vs Timing Group</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-0.0519</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92.71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Within-group Pre-post Difference</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-0.2205</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Overall Aggregate DID Effect</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-0.0620***</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100.00</w:t>
            </w:r>
          </w:p>
        </w:tc>
      </w:tr>
    </w:tbl>
    <w:p>
      <w:pPr>
        <w:spacing w:line="360" w:lineRule="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Following Goodman–Bacon (2021), this table decomposes the conventional two-way fixed effects DID estimator into three distinct components to assess estimation bias caused by staggered policy rollout. The largest estimation weight derives from comparisons between never-exposed units and gradually treated units, which indicates that the baseline empirical result is not severely distorted by heterogeneous treatment timing. All statistical inferences are based on city-level clustered standard errors. *</w:t>
      </w:r>
      <w:r>
        <w:rPr>
          <w:rFonts w:hint="default" w:ascii="Times New Roman" w:hAnsi="Times New Roman" w:eastAsia="宋体" w:cs="Times New Roman"/>
          <w:color w:val="1F2329"/>
          <w:sz w:val="22"/>
          <w:szCs w:val="22"/>
        </w:rPr>
        <w:t>p&lt;0.1</w:t>
      </w:r>
      <w:r>
        <w:rPr>
          <w:rFonts w:hint="default" w:ascii="Times New Roman" w:hAnsi="Times New Roman" w:eastAsia="宋体" w:cs="Times New Roman"/>
          <w:sz w:val="22"/>
          <w:szCs w:val="22"/>
        </w:rPr>
        <w:t>, **</w:t>
      </w:r>
      <w:r>
        <w:rPr>
          <w:rFonts w:hint="default" w:ascii="Times New Roman" w:hAnsi="Times New Roman" w:eastAsia="宋体" w:cs="Times New Roman"/>
          <w:color w:val="1F2329"/>
          <w:sz w:val="22"/>
          <w:szCs w:val="22"/>
        </w:rPr>
        <w:t>p&lt;0.05</w:t>
      </w:r>
      <w:r>
        <w:rPr>
          <w:rFonts w:hint="default" w:ascii="Times New Roman" w:hAnsi="Times New Roman" w:eastAsia="宋体" w:cs="Times New Roman"/>
          <w:sz w:val="22"/>
          <w:szCs w:val="22"/>
        </w:rPr>
        <w:t>, ***</w:t>
      </w:r>
      <w:r>
        <w:rPr>
          <w:rFonts w:hint="default" w:ascii="Times New Roman" w:hAnsi="Times New Roman" w:eastAsia="宋体" w:cs="Times New Roman"/>
          <w:color w:val="1F2329"/>
          <w:sz w:val="22"/>
          <w:szCs w:val="22"/>
        </w:rPr>
        <w:t>p&lt;0.01</w:t>
      </w:r>
      <w:r>
        <w:rPr>
          <w:rFonts w:hint="default" w:ascii="Times New Roman" w:hAnsi="Times New Roman" w:eastAsia="宋体" w:cs="Times New Roman"/>
          <w:sz w:val="22"/>
          <w:szCs w:val="22"/>
        </w:rPr>
        <w:t>.</w:t>
      </w:r>
    </w:p>
    <w:p>
      <w:pPr>
        <w:spacing w:line="360" w:lineRule="auto"/>
        <w:rPr>
          <w:rFonts w:hint="default" w:ascii="Times New Roman" w:hAnsi="Times New Roman" w:eastAsia="宋体" w:cs="Times New Roman"/>
          <w:sz w:val="22"/>
          <w:szCs w:val="22"/>
        </w:rPr>
      </w:pPr>
    </w:p>
    <w:p>
      <w:pPr>
        <w:spacing w:line="360" w:lineRule="auto"/>
        <w:rPr>
          <w:rFonts w:hint="default" w:ascii="Times New Roman" w:hAnsi="Times New Roman" w:eastAsia="宋体" w:cs="Times New Roman"/>
          <w:sz w:val="24"/>
          <w:szCs w:val="24"/>
        </w:rPr>
      </w:pPr>
      <w:r>
        <w:rPr>
          <w:rFonts w:hint="default" w:ascii="Times New Roman" w:hAnsi="Times New Roman" w:cs="Times New Roman"/>
          <w:color w:val="1F2329"/>
          <w:sz w:val="24"/>
          <w:szCs w:val="24"/>
        </w:rPr>
        <w:t>Appendix Table A3 Heterogeneous Dynamic ATT Estimation Results (Callaway &amp; Sant'Anna, 2021, CS-DID)</w:t>
      </w:r>
    </w:p>
    <w:tbl>
      <w:tblPr>
        <w:tblStyle w:val="3"/>
        <w:tblW w:w="78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70"/>
        <w:gridCol w:w="1485"/>
        <w:gridCol w:w="1500"/>
        <w:gridCol w:w="1096"/>
        <w:gridCol w:w="8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7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Relative Time</w:t>
            </w:r>
          </w:p>
        </w:tc>
        <w:tc>
          <w:tcPr>
            <w:tcW w:w="1485"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Dynamic ATT</w:t>
            </w:r>
          </w:p>
        </w:tc>
        <w:tc>
          <w:tcPr>
            <w:tcW w:w="150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Standard Error</w:t>
            </w:r>
          </w:p>
        </w:tc>
        <w:tc>
          <w:tcPr>
            <w:tcW w:w="1035"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Z-statistic</w:t>
            </w:r>
          </w:p>
        </w:tc>
        <w:tc>
          <w:tcPr>
            <w:tcW w:w="840"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Pre5</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0.0195*</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0.0116</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1.68</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Pre4</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-0.0108</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0.0097</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Pre3</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-0.0023</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0.0103</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Pre2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-0.0102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0.0111</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Pre1</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-0.0140</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0.0087</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-1.60</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Post1</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-0.0219**</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0.0096</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-2.29</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Post2</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-0.0364***</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0.0099</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-3.69</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Post3</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-0.0441***</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0.0139</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-3.18</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Post4</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-0.0456</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0.0297</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-1.53</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Average Post-treatment ATT</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-0.0296***</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-3.08</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r>
    </w:tbl>
    <w:p>
      <w:pPr>
        <w:spacing w:line="360" w:lineRule="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This table presents the dynamic average treatment effects on the treated (ATT) estimated by the Callaway &amp; Sant'Anna (2021) staggered difference-in-differences approach (CS-DID) , which eliminates estimation bias arising from heterogeneous treatment effects and differential policy implementation timing. We select not-yet-treated cities as the counterfactual group, consistent with the notyet option in our implementation. Empirical specifications are consistent with baseline regression, including individual fixed effects, time fixed effects and identical covariate sets. *p&lt;0.1, **p&lt;0.05, ***p&lt;0.01.</w:t>
      </w:r>
    </w:p>
    <w:p>
      <w:pPr>
        <w:spacing w:line="360" w:lineRule="auto"/>
        <w:rPr>
          <w:rFonts w:hint="default" w:ascii="Times New Roman" w:hAnsi="Times New Roman" w:eastAsia="宋体" w:cs="Times New Roman"/>
          <w:sz w:val="24"/>
          <w:szCs w:val="24"/>
        </w:rPr>
      </w:pPr>
    </w:p>
    <w:p>
      <w:pPr>
        <w:spacing w:line="360" w:lineRule="auto"/>
        <w:rPr>
          <w:rFonts w:hint="default" w:ascii="Times New Roman" w:hAnsi="Times New Roman" w:cs="Times New Roman"/>
          <w:sz w:val="24"/>
          <w:szCs w:val="24"/>
        </w:rPr>
      </w:pPr>
      <w:r>
        <w:rPr>
          <w:rFonts w:hint="default" w:ascii="Times New Roman" w:hAnsi="Times New Roman" w:eastAsia="宋体" w:cs="Times New Roman"/>
          <w:sz w:val="24"/>
          <w:szCs w:val="24"/>
        </w:rPr>
        <w:t>Appendix Table A.</w:t>
      </w:r>
      <w:r>
        <w:rPr>
          <w:rFonts w:hint="eastAsia"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Spatial Model Diagnostic Tests</w:t>
      </w:r>
    </w:p>
    <w:tbl>
      <w:tblPr>
        <w:tblStyle w:val="3"/>
        <w:tblW w:w="38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25"/>
        <w:gridCol w:w="1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325"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Test Statistic</w:t>
            </w:r>
          </w:p>
        </w:tc>
        <w:tc>
          <w:tcPr>
            <w:tcW w:w="1515"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Queen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LR test (SDM vs SAR)</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LR test (SDM vs SEM)</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Wald test (Wx=0)</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Spatial rho</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Selected Model</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spacing w:line="360" w:lineRule="auto"/>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SDM</w:t>
            </w:r>
          </w:p>
        </w:tc>
      </w:tr>
    </w:tbl>
    <w:p>
      <w:pPr>
        <w:spacing w:line="360" w:lineRule="auto"/>
        <w:rPr>
          <w:rFonts w:hint="default" w:ascii="Times New Roman" w:hAnsi="Times New Roman" w:eastAsia="宋体" w:cs="Times New Roman"/>
          <w:b w:val="0"/>
          <w:bCs w:val="0"/>
          <w:sz w:val="22"/>
          <w:szCs w:val="22"/>
        </w:rPr>
      </w:pPr>
      <w:r>
        <w:rPr>
          <w:rFonts w:hint="default" w:ascii="Times New Roman" w:hAnsi="Times New Roman" w:eastAsia="宋体" w:cs="Times New Roman"/>
          <w:b w:val="0"/>
          <w:bCs w:val="0"/>
          <w:sz w:val="22"/>
          <w:szCs w:val="22"/>
        </w:rPr>
        <w:t>Notes: ** p &lt; 0.05, *** p &lt; 0.01. LR and Wald tests significantly support the SDM specification.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47C28"/>
    <w:rsid w:val="264B10C8"/>
    <w:rsid w:val="45224A17"/>
    <w:rsid w:val="4EF335A2"/>
    <w:rsid w:val="52AC13A5"/>
    <w:rsid w:val="6BB050C1"/>
    <w:rsid w:val="70B02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Emphasis"/>
    <w:basedOn w:val="4"/>
    <w:qFormat/>
    <w:uiPriority w:val="0"/>
    <w:rPr>
      <w:i/>
    </w:rPr>
  </w:style>
  <w:style w:type="character" w:styleId="7">
    <w:name w:val="HTML Code"/>
    <w:basedOn w:val="4"/>
    <w:qFormat/>
    <w:uiPriority w:val="0"/>
    <w:rPr>
      <w:rFonts w:ascii="Courier New" w:hAnsi="Courier New"/>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53</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2026-05-18T03:45:00Z</dcterms:created>
  <dc:creator>ASUS</dc:creator>
  <cp:lastModifiedBy>ASUS</cp:lastModifiedBy>
  <dcterms:modified xsi:type="dcterms:W3CDTF">2026-05-18T12:59:49Z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CBDA8385068C46BD81965E19C081291B</vt:lpwstr>
  </property>
</Properties>
</file>