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2CC1" w14:textId="6D19D6F2" w:rsidR="004A28C8" w:rsidRDefault="004A28C8">
      <w:pPr>
        <w:rPr>
          <w:rFonts w:hint="eastAsia"/>
        </w:rPr>
      </w:pPr>
    </w:p>
    <w:p w14:paraId="68D2B913" w14:textId="11E2CEF8" w:rsidR="00EE6C8D" w:rsidRDefault="00EE6C8D">
      <w:pPr>
        <w:widowControl/>
        <w:rPr>
          <w:rFonts w:hint="eastAsia"/>
        </w:rPr>
      </w:pPr>
    </w:p>
    <w:p w14:paraId="5A64A6BA" w14:textId="79191E6D" w:rsidR="00EE6C8D" w:rsidRDefault="00EE6C8D">
      <w:pPr>
        <w:rPr>
          <w:rFonts w:hint="eastAsia"/>
        </w:rPr>
      </w:pPr>
      <w:r>
        <w:rPr>
          <w:noProof/>
        </w:rPr>
        <w:drawing>
          <wp:inline distT="0" distB="0" distL="0" distR="0" wp14:anchorId="022E109A" wp14:editId="5ECAF019">
            <wp:extent cx="4835525" cy="3075940"/>
            <wp:effectExtent l="0" t="0" r="3175" b="0"/>
            <wp:docPr id="11632345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7C3E2" w14:textId="2F426E15" w:rsidR="00EE6C8D" w:rsidRDefault="00EE6C8D" w:rsidP="00EE6C8D">
      <w:pPr>
        <w:pStyle w:val="ae"/>
        <w:jc w:val="both"/>
        <w:rPr>
          <w:rFonts w:eastAsiaTheme="minorEastAsia"/>
          <w:lang w:eastAsia="zh-CN"/>
        </w:rPr>
      </w:pPr>
      <w:r w:rsidRPr="001F3551">
        <w:rPr>
          <w:rFonts w:eastAsia="宋体"/>
          <w:b/>
          <w:bCs/>
          <w:color w:val="000000" w:themeColor="text1"/>
          <w:kern w:val="2"/>
          <w:lang w:eastAsia="zh-CN"/>
        </w:rPr>
        <w:t>Figure S</w:t>
      </w:r>
      <w:r w:rsidR="00FB79AF">
        <w:rPr>
          <w:rFonts w:eastAsia="宋体" w:hint="eastAsia"/>
          <w:b/>
          <w:bCs/>
          <w:color w:val="000000" w:themeColor="text1"/>
          <w:kern w:val="2"/>
          <w:lang w:eastAsia="zh-CN"/>
        </w:rPr>
        <w:t>1</w:t>
      </w:r>
      <w:r w:rsidRPr="001F3551">
        <w:rPr>
          <w:rFonts w:eastAsia="宋体"/>
          <w:b/>
          <w:bCs/>
          <w:color w:val="000000" w:themeColor="text1"/>
          <w:kern w:val="2"/>
          <w:lang w:eastAsia="zh-CN"/>
        </w:rPr>
        <w:t xml:space="preserve"> </w:t>
      </w:r>
      <w:r w:rsidRPr="00067945">
        <w:t>Determination of soft-thresholding power in WGCNA. (</w:t>
      </w:r>
      <w:r w:rsidRPr="001F3551">
        <w:t>A, B</w:t>
      </w:r>
      <w:r w:rsidRPr="00067945">
        <w:t>) Hierarchical clustering dendrogram and trait heatmap of the samples in GSE27411 and GSE60427.</w:t>
      </w:r>
      <w:r w:rsidRPr="001F3551">
        <w:t xml:space="preserve"> </w:t>
      </w:r>
      <w:r w:rsidRPr="00067945">
        <w:t>(</w:t>
      </w:r>
      <w:r w:rsidRPr="001F3551">
        <w:t>C, D</w:t>
      </w:r>
      <w:r w:rsidRPr="00067945">
        <w:t xml:space="preserve">) Histogram of connectivity distribution and checking the scale free topology in GSE27411 and GSE60427. </w:t>
      </w:r>
    </w:p>
    <w:p w14:paraId="6AAEBAF0" w14:textId="452AC028" w:rsidR="00EE6C8D" w:rsidRDefault="00EE6C8D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691E53DF" w14:textId="02FEE1AC" w:rsidR="00EE6C8D" w:rsidRDefault="00EE6C8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0A7074" wp14:editId="318C5C10">
            <wp:extent cx="5274310" cy="3401695"/>
            <wp:effectExtent l="0" t="0" r="2540" b="8255"/>
            <wp:docPr id="2990399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34F23" w14:textId="62B9E65A" w:rsidR="00EE6C8D" w:rsidRDefault="00EE6C8D" w:rsidP="00EE6C8D">
      <w:pPr>
        <w:pStyle w:val="ae"/>
        <w:jc w:val="both"/>
        <w:rPr>
          <w:rFonts w:eastAsiaTheme="minorEastAsia"/>
          <w:lang w:eastAsia="zh-CN"/>
        </w:rPr>
      </w:pPr>
      <w:r w:rsidRPr="001F3551">
        <w:rPr>
          <w:rFonts w:eastAsia="宋体"/>
          <w:b/>
          <w:bCs/>
          <w:color w:val="000000" w:themeColor="text1"/>
          <w:kern w:val="2"/>
          <w:lang w:eastAsia="zh-CN"/>
        </w:rPr>
        <w:t>Figure S</w:t>
      </w:r>
      <w:r w:rsidR="00FB79AF">
        <w:rPr>
          <w:rFonts w:eastAsia="宋体" w:hint="eastAsia"/>
          <w:b/>
          <w:bCs/>
          <w:color w:val="000000" w:themeColor="text1"/>
          <w:kern w:val="2"/>
          <w:lang w:eastAsia="zh-CN"/>
        </w:rPr>
        <w:t>2</w:t>
      </w:r>
      <w:r w:rsidRPr="001F3551">
        <w:t xml:space="preserve"> </w:t>
      </w:r>
      <w:r w:rsidRPr="00067945">
        <w:t xml:space="preserve">Validation of </w:t>
      </w:r>
      <w:proofErr w:type="spellStart"/>
      <w:proofErr w:type="gramStart"/>
      <w:r w:rsidRPr="001F3551">
        <w:t>H.pylori</w:t>
      </w:r>
      <w:proofErr w:type="spellEnd"/>
      <w:proofErr w:type="gramEnd"/>
      <w:r w:rsidRPr="00067945">
        <w:t xml:space="preserve"> infection associated prognosis model in the testing TCGA cohort. </w:t>
      </w:r>
      <w:r w:rsidRPr="001F3551">
        <w:t xml:space="preserve">(A) </w:t>
      </w:r>
      <w:r w:rsidRPr="00067945">
        <w:t>The K-M curves showed the different prognosis in risk group of the testing cohort.</w:t>
      </w:r>
      <w:r w:rsidRPr="001F3551">
        <w:t xml:space="preserve"> (B) </w:t>
      </w:r>
      <w:r w:rsidRPr="00067945">
        <w:t>The heatmap of the four genes in the testing cohort.</w:t>
      </w:r>
      <w:r w:rsidRPr="001F3551">
        <w:t xml:space="preserve"> (C) </w:t>
      </w:r>
      <w:r w:rsidRPr="00067945">
        <w:t xml:space="preserve">PCA and </w:t>
      </w:r>
      <w:proofErr w:type="spellStart"/>
      <w:r w:rsidRPr="00067945">
        <w:t>tSNE</w:t>
      </w:r>
      <w:proofErr w:type="spellEnd"/>
      <w:r w:rsidRPr="00067945">
        <w:t xml:space="preserve"> distinguished the risk groups</w:t>
      </w:r>
      <w:bookmarkStart w:id="0" w:name="OLE_LINK136"/>
      <w:bookmarkStart w:id="1" w:name="OLE_LINK137"/>
      <w:r w:rsidRPr="00067945">
        <w:t xml:space="preserve"> in the testing cohort</w:t>
      </w:r>
      <w:bookmarkEnd w:id="0"/>
      <w:bookmarkEnd w:id="1"/>
      <w:r w:rsidRPr="00067945">
        <w:t xml:space="preserve">. </w:t>
      </w:r>
      <w:r w:rsidRPr="001F3551">
        <w:t xml:space="preserve">(D) </w:t>
      </w:r>
      <w:r w:rsidRPr="00067945">
        <w:t xml:space="preserve">Risk score curve and patient survival status and time distributed by risk score in the testing cohort. </w:t>
      </w:r>
      <w:r w:rsidRPr="001F3551">
        <w:t xml:space="preserve">(E) </w:t>
      </w:r>
      <w:r w:rsidRPr="00067945">
        <w:t xml:space="preserve">The time-dependent ROC curves for OS at 1-, 3-, and 5-years in the testing cohort. </w:t>
      </w:r>
      <w:r w:rsidRPr="001F3551">
        <w:t xml:space="preserve">(F) </w:t>
      </w:r>
      <w:r w:rsidRPr="00067945">
        <w:t xml:space="preserve">The nomogram was constructed on the basis of clinical features and risk score in the testing cohort. </w:t>
      </w:r>
      <w:r w:rsidRPr="00740DB3">
        <w:t xml:space="preserve">(G) </w:t>
      </w:r>
      <w:r w:rsidRPr="00067945">
        <w:t xml:space="preserve">Nomogram calibration plots for predicting the probability of OS at 3 years in the testing cohort. </w:t>
      </w:r>
      <w:r w:rsidRPr="00740DB3">
        <w:t>(H) R</w:t>
      </w:r>
      <w:r w:rsidRPr="00067945">
        <w:t>OC curves of 1-, 3-, 5- years survival predicted by risk score and all the other clinical parameters in the testing cohort.</w:t>
      </w:r>
    </w:p>
    <w:p w14:paraId="2D85AE0F" w14:textId="25C4F7B7" w:rsidR="00EE6C8D" w:rsidRDefault="00EE6C8D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16692A78" w14:textId="141AA3FD" w:rsidR="00EE6C8D" w:rsidRDefault="00EE6C8D">
      <w:pPr>
        <w:widowControl/>
        <w:rPr>
          <w:rFonts w:hint="eastAsia"/>
        </w:rPr>
      </w:pPr>
    </w:p>
    <w:p w14:paraId="2934691A" w14:textId="548CF9F6" w:rsidR="00EE6C8D" w:rsidRDefault="00EE6C8D">
      <w:pPr>
        <w:rPr>
          <w:rFonts w:hint="eastAsia"/>
        </w:rPr>
      </w:pPr>
      <w:r>
        <w:rPr>
          <w:noProof/>
        </w:rPr>
        <w:drawing>
          <wp:inline distT="0" distB="0" distL="0" distR="0" wp14:anchorId="1823ABBC" wp14:editId="1107AB38">
            <wp:extent cx="4991100" cy="3357880"/>
            <wp:effectExtent l="0" t="0" r="0" b="0"/>
            <wp:docPr id="10285392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8C59" w14:textId="51B6383E" w:rsidR="00EE6C8D" w:rsidRPr="00387AE3" w:rsidRDefault="00EE6C8D" w:rsidP="00EE6C8D">
      <w:pPr>
        <w:spacing w:line="276" w:lineRule="auto"/>
        <w:rPr>
          <w:rFonts w:ascii="Times New Roman" w:hAnsi="Times New Roman" w:cs="Times New Roman"/>
          <w:kern w:val="0"/>
          <w:sz w:val="24"/>
        </w:rPr>
      </w:pPr>
      <w:r w:rsidRPr="001F3551">
        <w:rPr>
          <w:rFonts w:ascii="Times New Roman" w:hAnsi="Times New Roman" w:cs="Times New Roman"/>
          <w:b/>
          <w:bCs/>
          <w:sz w:val="24"/>
        </w:rPr>
        <w:t>Figure S</w:t>
      </w:r>
      <w:r w:rsidR="00FB79AF">
        <w:rPr>
          <w:rFonts w:ascii="Times New Roman" w:hAnsi="Times New Roman" w:cs="Times New Roman" w:hint="eastAsia"/>
          <w:b/>
          <w:bCs/>
          <w:sz w:val="24"/>
        </w:rPr>
        <w:t>3</w:t>
      </w:r>
      <w:r w:rsidRPr="001F3551">
        <w:rPr>
          <w:rFonts w:ascii="Times New Roman" w:eastAsia="Times New Roman" w:hAnsi="Times New Roman" w:cs="Times New Roman" w:hint="eastAsia"/>
          <w:kern w:val="0"/>
          <w:sz w:val="24"/>
          <w:lang w:eastAsia="en-US"/>
        </w:rPr>
        <w:t xml:space="preserve"> </w:t>
      </w:r>
      <w:r w:rsidRPr="001F3551">
        <w:rPr>
          <w:rFonts w:ascii="Times New Roman" w:eastAsia="Times New Roman" w:hAnsi="Times New Roman" w:cs="Times New Roman"/>
          <w:kern w:val="0"/>
          <w:sz w:val="24"/>
          <w:lang w:eastAsia="en-US"/>
        </w:rPr>
        <w:t>Gene set enrichment analysis in the risk groups and the prediction of the drug response with risk genes</w:t>
      </w:r>
      <w:r w:rsidRPr="001F3551">
        <w:rPr>
          <w:rFonts w:ascii="Times New Roman" w:eastAsia="Times New Roman" w:hAnsi="Times New Roman" w:cs="Times New Roman" w:hint="eastAsia"/>
          <w:kern w:val="0"/>
          <w:sz w:val="24"/>
          <w:lang w:eastAsia="en-US"/>
        </w:rPr>
        <w:t>.</w:t>
      </w:r>
      <w:r w:rsidRPr="001F3551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(</w:t>
      </w:r>
      <w:proofErr w:type="gramStart"/>
      <w:r w:rsidRPr="001F3551">
        <w:rPr>
          <w:rFonts w:ascii="Times New Roman" w:eastAsia="Times New Roman" w:hAnsi="Times New Roman" w:cs="Times New Roman"/>
          <w:kern w:val="0"/>
          <w:sz w:val="24"/>
          <w:lang w:eastAsia="en-US"/>
        </w:rPr>
        <w:t>A,B</w:t>
      </w:r>
      <w:proofErr w:type="gramEnd"/>
      <w:r w:rsidRPr="001F3551">
        <w:rPr>
          <w:rFonts w:ascii="Times New Roman" w:eastAsia="Times New Roman" w:hAnsi="Times New Roman" w:cs="Times New Roman"/>
          <w:kern w:val="0"/>
          <w:sz w:val="24"/>
          <w:lang w:eastAsia="en-US"/>
        </w:rPr>
        <w:t>) Gene set enrichment analysis</w:t>
      </w:r>
      <w:r w:rsidRPr="001F3551">
        <w:rPr>
          <w:rFonts w:ascii="Times New Roman" w:eastAsia="Times New Roman" w:hAnsi="Times New Roman" w:cs="Times New Roman" w:hint="eastAsia"/>
          <w:kern w:val="0"/>
          <w:sz w:val="24"/>
          <w:lang w:eastAsia="en-US"/>
        </w:rPr>
        <w:t xml:space="preserve"> </w:t>
      </w:r>
      <w:r w:rsidRPr="001F3551">
        <w:rPr>
          <w:rFonts w:ascii="Times New Roman" w:eastAsia="Times New Roman" w:hAnsi="Times New Roman" w:cs="Times New Roman"/>
          <w:kern w:val="0"/>
          <w:sz w:val="24"/>
          <w:lang w:eastAsia="en-US"/>
        </w:rPr>
        <w:t>between the high-risk and low-risk groups. (C) The relationship between risk genes expression and possible drug response.</w:t>
      </w:r>
      <w:r w:rsidR="00387AE3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387AE3" w:rsidRPr="00387AE3">
        <w:rPr>
          <w:rFonts w:ascii="Times New Roman" w:hAnsi="Times New Roman" w:cs="Times New Roman"/>
          <w:kern w:val="0"/>
          <w:sz w:val="24"/>
        </w:rPr>
        <w:t xml:space="preserve">KEGG pathway maps were used with permission from </w:t>
      </w:r>
      <w:proofErr w:type="spellStart"/>
      <w:r w:rsidR="00387AE3" w:rsidRPr="00387AE3">
        <w:rPr>
          <w:rFonts w:ascii="Times New Roman" w:hAnsi="Times New Roman" w:cs="Times New Roman"/>
          <w:kern w:val="0"/>
          <w:sz w:val="24"/>
        </w:rPr>
        <w:t>Kanehisa</w:t>
      </w:r>
      <w:proofErr w:type="spellEnd"/>
      <w:r w:rsidR="00387AE3" w:rsidRPr="00387AE3">
        <w:rPr>
          <w:rFonts w:ascii="Times New Roman" w:hAnsi="Times New Roman" w:cs="Times New Roman"/>
          <w:kern w:val="0"/>
          <w:sz w:val="24"/>
        </w:rPr>
        <w:t xml:space="preserve"> Laboratories (Ref: 254530). The original source is acknowledged by citing </w:t>
      </w:r>
      <w:proofErr w:type="spellStart"/>
      <w:r w:rsidR="00387AE3" w:rsidRPr="00387AE3">
        <w:rPr>
          <w:rFonts w:ascii="Times New Roman" w:hAnsi="Times New Roman" w:cs="Times New Roman"/>
          <w:kern w:val="0"/>
          <w:sz w:val="24"/>
        </w:rPr>
        <w:t>Kanehisa</w:t>
      </w:r>
      <w:proofErr w:type="spellEnd"/>
      <w:r w:rsidR="00387AE3" w:rsidRPr="00387AE3">
        <w:rPr>
          <w:rFonts w:ascii="Times New Roman" w:hAnsi="Times New Roman" w:cs="Times New Roman"/>
          <w:kern w:val="0"/>
          <w:sz w:val="24"/>
        </w:rPr>
        <w:t xml:space="preserve"> et al. (2025)</w:t>
      </w:r>
      <w:r w:rsidR="00387AE3">
        <w:rPr>
          <w:rFonts w:ascii="Times New Roman" w:hAnsi="Times New Roman" w:cs="Times New Roman"/>
          <w:kern w:val="0"/>
          <w:sz w:val="24"/>
        </w:rPr>
        <w:fldChar w:fldCharType="begin"/>
      </w:r>
      <w:r w:rsidR="00387AE3">
        <w:rPr>
          <w:rFonts w:ascii="Times New Roman" w:hAnsi="Times New Roman" w:cs="Times New Roman"/>
          <w:kern w:val="0"/>
          <w:sz w:val="24"/>
        </w:rPr>
        <w:instrText xml:space="preserve"> ADDIN EN.CITE &lt;EndNote&gt;&lt;Cite&gt;&lt;Author&gt;Kanehisa&lt;/Author&gt;&lt;Year&gt;2025&lt;/Year&gt;&lt;RecNum&gt;185&lt;/RecNum&gt;&lt;DisplayText&gt;&lt;style face="superscript"&gt;1&lt;/style&gt;&lt;/DisplayText&gt;&lt;record&gt;&lt;rec-number&gt;185&lt;/rec-number&gt;&lt;foreign-keys&gt;&lt;key app="EN" db-id="r2detswerd9dr6e5fwwp0xpvw5vt9atva520" timestamp="1766565916"&gt;185&lt;/key&gt;&lt;/foreign-keys&gt;&lt;ref-type name="Journal Article"&gt;17&lt;/ref-type&gt;&lt;contributors&gt;&lt;authors&gt;&lt;author&gt;Kanehisa, M.&lt;/author&gt;&lt;author&gt;Furumichi, M.&lt;/author&gt;&lt;author&gt;Sato, Y.&lt;/author&gt;&lt;author&gt;Matsuura, Y.&lt;/author&gt;&lt;author&gt;Ishiguro-Watanabe, M.&lt;/author&gt;&lt;/authors&gt;&lt;/contributors&gt;&lt;auth-address&gt;Institute for Chemical Research, Kyoto University, Uji, Kyoto 611-0011, Japan.&amp;#xD;Pathway Solutions Inc., 2-16-3 Higashi-Shinbashi, Minato-ku, Tokyo 105-0021, Japan.&amp;#xD;Human Genome Center, Institute of Medical Science, University of Tokyo, Minato-ku, Tokyo 108-8639, Japan.&lt;/auth-address&gt;&lt;titles&gt;&lt;title&gt;KEGG: biological systems database as a model of the real world&lt;/title&gt;&lt;secondary-title&gt;Nucleic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research&lt;/abbr-1&gt;&lt;/alt-periodical&gt;&lt;pages&gt;D672-d677&lt;/pages&gt;&lt;volume&gt;53&lt;/volume&gt;&lt;number&gt;D1&lt;/number&gt;&lt;edition&gt;2024/10/17&lt;/edition&gt;&lt;keywords&gt;&lt;keyword&gt;*Databases, Genetic&lt;/keyword&gt;&lt;keyword&gt;Software&lt;/keyword&gt;&lt;keyword&gt;Humans&lt;/keyword&gt;&lt;/keywords&gt;&lt;dates&gt;&lt;year&gt;2025&lt;/year&gt;&lt;pub-dates&gt;&lt;date&gt;Jan 6&lt;/date&gt;&lt;/pub-dates&gt;&lt;/dates&gt;&lt;isbn&gt;0305-1048 (Print)&amp;#xD;0305-1048&lt;/isbn&gt;&lt;accession-num&gt;39417505&lt;/accession-num&gt;&lt;urls&gt;&lt;/urls&gt;&lt;custom2&gt;PMC11701520&lt;/custom2&gt;&lt;electronic-resource-num&gt;10.1093/nar/gkae909&lt;/electronic-resource-num&gt;&lt;remote-database-provider&gt;NLM&lt;/remote-database-provider&gt;&lt;language&gt;eng&lt;/language&gt;&lt;/record&gt;&lt;/Cite&gt;&lt;/EndNote&gt;</w:instrText>
      </w:r>
      <w:r w:rsidR="00387AE3">
        <w:rPr>
          <w:rFonts w:ascii="Times New Roman" w:hAnsi="Times New Roman" w:cs="Times New Roman"/>
          <w:kern w:val="0"/>
          <w:sz w:val="24"/>
        </w:rPr>
        <w:fldChar w:fldCharType="separate"/>
      </w:r>
      <w:r w:rsidR="00387AE3" w:rsidRPr="00387AE3">
        <w:rPr>
          <w:rFonts w:ascii="Times New Roman" w:hAnsi="Times New Roman" w:cs="Times New Roman"/>
          <w:noProof/>
          <w:kern w:val="0"/>
          <w:sz w:val="24"/>
          <w:vertAlign w:val="superscript"/>
        </w:rPr>
        <w:t>1</w:t>
      </w:r>
      <w:r w:rsidR="00387AE3">
        <w:rPr>
          <w:rFonts w:ascii="Times New Roman" w:hAnsi="Times New Roman" w:cs="Times New Roman"/>
          <w:kern w:val="0"/>
          <w:sz w:val="24"/>
        </w:rPr>
        <w:fldChar w:fldCharType="end"/>
      </w:r>
      <w:r w:rsidR="00387AE3">
        <w:rPr>
          <w:rFonts w:ascii="Times New Roman" w:hAnsi="Times New Roman" w:cs="Times New Roman" w:hint="eastAsia"/>
          <w:kern w:val="0"/>
          <w:sz w:val="24"/>
        </w:rPr>
        <w:t>.</w:t>
      </w:r>
    </w:p>
    <w:p w14:paraId="7F192D5B" w14:textId="7F7AAE16" w:rsidR="00740DB3" w:rsidRDefault="00740DB3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0757ADB" w14:textId="50168122" w:rsidR="00387AE3" w:rsidRPr="00740DB3" w:rsidRDefault="00740DB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DA5501C" wp14:editId="791628F1">
            <wp:extent cx="5274310" cy="3073400"/>
            <wp:effectExtent l="0" t="0" r="2540" b="0"/>
            <wp:docPr id="18872882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D726E" w14:textId="7954FEDE" w:rsidR="00387AE3" w:rsidRDefault="00740DB3" w:rsidP="00740DB3">
      <w:pPr>
        <w:jc w:val="both"/>
        <w:rPr>
          <w:rFonts w:hint="eastAsia"/>
        </w:rPr>
      </w:pPr>
      <w:r w:rsidRPr="001F3551">
        <w:rPr>
          <w:rFonts w:ascii="Times New Roman" w:hAnsi="Times New Roman" w:cs="Times New Roman"/>
          <w:b/>
          <w:bCs/>
          <w:sz w:val="24"/>
        </w:rPr>
        <w:t>Figure S</w:t>
      </w:r>
      <w:r w:rsidR="00DD476E">
        <w:rPr>
          <w:rFonts w:ascii="Times New Roman" w:hAnsi="Times New Roman" w:cs="Times New Roman" w:hint="eastAsia"/>
          <w:b/>
          <w:bCs/>
          <w:sz w:val="24"/>
        </w:rPr>
        <w:t>4</w:t>
      </w:r>
      <w:r w:rsidRPr="00740DB3">
        <w:rPr>
          <w:b/>
          <w:bCs/>
        </w:rPr>
        <w:t xml:space="preserve"> </w:t>
      </w:r>
      <w:r w:rsidRPr="00740DB3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Effects of </w:t>
      </w:r>
      <w:r w:rsidRPr="00740DB3">
        <w:rPr>
          <w:rFonts w:ascii="Times New Roman" w:eastAsia="Times New Roman" w:hAnsi="Times New Roman" w:cs="Times New Roman"/>
          <w:i/>
          <w:iCs/>
          <w:kern w:val="0"/>
          <w:sz w:val="24"/>
          <w:lang w:eastAsia="en-US"/>
        </w:rPr>
        <w:t>H. pylori</w:t>
      </w:r>
      <w:r w:rsidRPr="00740DB3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(BNCC338158) infection on KYNU expression in </w:t>
      </w:r>
      <w:r w:rsidR="00F16B7B">
        <w:rPr>
          <w:rFonts w:ascii="Times New Roman" w:hAnsi="Times New Roman" w:cs="Times New Roman" w:hint="eastAsia"/>
          <w:kern w:val="0"/>
          <w:sz w:val="24"/>
        </w:rPr>
        <w:t xml:space="preserve">GC </w:t>
      </w:r>
      <w:r w:rsidRPr="00740DB3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cells over time. (A) Relative mRNA levels of KYNU in MKN-45 cells at 0h, 6h, 12h, and 24h post-infection with </w:t>
      </w:r>
      <w:r w:rsidRPr="00F16B7B">
        <w:rPr>
          <w:rFonts w:ascii="Times New Roman" w:eastAsia="Times New Roman" w:hAnsi="Times New Roman" w:cs="Times New Roman"/>
          <w:i/>
          <w:iCs/>
          <w:kern w:val="0"/>
          <w:sz w:val="24"/>
          <w:lang w:eastAsia="en-US"/>
        </w:rPr>
        <w:t>H. pylori</w:t>
      </w:r>
      <w:r w:rsidRPr="00740DB3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strain BNCC338158. (B) Relative mRNA levels of KYNU in AGS cells at 0h, 6h, 12h, and 24h post-infection. (C) WB analysis of KYNU protein expression in AGS cells at 0h, 6h, 12h, and 24h post-infection. (D) WB of KYNU protein expression in MKN-45 cells at 0h, 6h, 12h, and 24h post-infection. GAPDH was used as the loading control. Data are presented as mean ± SD. *p &lt; 0.05, p &lt; 0.01, ***p &lt; 0.001, ns: no significance compared with the 0h control group.</w:t>
      </w:r>
    </w:p>
    <w:p w14:paraId="036D22D9" w14:textId="77777777" w:rsidR="00387AE3" w:rsidRPr="00387AE3" w:rsidRDefault="00387AE3" w:rsidP="00387AE3">
      <w:pPr>
        <w:pStyle w:val="EndNoteBibliography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ADDIN EN.REFLIST </w:instrText>
      </w:r>
      <w:r>
        <w:rPr>
          <w:rFonts w:hint="eastAsia"/>
        </w:rPr>
        <w:fldChar w:fldCharType="separate"/>
      </w:r>
      <w:r w:rsidRPr="00387AE3">
        <w:rPr>
          <w:rFonts w:hint="eastAsia"/>
        </w:rPr>
        <w:t>1.</w:t>
      </w:r>
      <w:r w:rsidRPr="00387AE3">
        <w:rPr>
          <w:rFonts w:hint="eastAsia"/>
        </w:rPr>
        <w:tab/>
        <w:t xml:space="preserve">Kanehisa M, Furumichi M, Sato Y, Matsuura Y, Ishiguro-Watanabe M. KEGG: biological systems database as a model of the real world. </w:t>
      </w:r>
      <w:r w:rsidRPr="00387AE3">
        <w:rPr>
          <w:rFonts w:hint="eastAsia"/>
          <w:i/>
        </w:rPr>
        <w:t>Nucleic acids research</w:t>
      </w:r>
      <w:r w:rsidRPr="00387AE3">
        <w:rPr>
          <w:rFonts w:hint="eastAsia"/>
        </w:rPr>
        <w:t>. Jan 6 2025;53(D1):D672-d677. doi:10.1093/nar/gkae909</w:t>
      </w:r>
    </w:p>
    <w:p w14:paraId="5332C4B1" w14:textId="2E07F9F4" w:rsidR="00EE6C8D" w:rsidRPr="00EE6C8D" w:rsidRDefault="00387AE3">
      <w:pPr>
        <w:rPr>
          <w:rFonts w:hint="eastAsia"/>
        </w:rPr>
      </w:pPr>
      <w:r>
        <w:rPr>
          <w:rFonts w:hint="eastAsia"/>
        </w:rPr>
        <w:fldChar w:fldCharType="end"/>
      </w:r>
    </w:p>
    <w:sectPr w:rsidR="00EE6C8D" w:rsidRPr="00EE6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DF5A2" w14:textId="77777777" w:rsidR="00E62D90" w:rsidRDefault="00E62D90" w:rsidP="00FB79A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2BAB33" w14:textId="77777777" w:rsidR="00E62D90" w:rsidRDefault="00E62D90" w:rsidP="00FB79A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4F89" w14:textId="77777777" w:rsidR="00E62D90" w:rsidRDefault="00E62D90" w:rsidP="00FB79A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E5530E" w14:textId="77777777" w:rsidR="00E62D90" w:rsidRDefault="00E62D90" w:rsidP="00FB79A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detswerd9dr6e5fwwp0xpvw5vt9atva520&quot;&gt;HP GC&lt;record-ids&gt;&lt;item&gt;185&lt;/item&gt;&lt;/record-ids&gt;&lt;/item&gt;&lt;/Libraries&gt;"/>
  </w:docVars>
  <w:rsids>
    <w:rsidRoot w:val="004A28C8"/>
    <w:rsid w:val="000B5F5B"/>
    <w:rsid w:val="000E3DD1"/>
    <w:rsid w:val="00213D9A"/>
    <w:rsid w:val="00244AF3"/>
    <w:rsid w:val="00266BB3"/>
    <w:rsid w:val="00311FB0"/>
    <w:rsid w:val="00340D98"/>
    <w:rsid w:val="00387AE3"/>
    <w:rsid w:val="004A28C8"/>
    <w:rsid w:val="00513E02"/>
    <w:rsid w:val="00691206"/>
    <w:rsid w:val="006B07F5"/>
    <w:rsid w:val="00740DB3"/>
    <w:rsid w:val="00A42A13"/>
    <w:rsid w:val="00B13461"/>
    <w:rsid w:val="00C1118E"/>
    <w:rsid w:val="00DD476E"/>
    <w:rsid w:val="00E62D90"/>
    <w:rsid w:val="00EE6C8D"/>
    <w:rsid w:val="00F16B7B"/>
    <w:rsid w:val="00FB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5E39D"/>
  <w15:chartTrackingRefBased/>
  <w15:docId w15:val="{50EA8577-251A-4D78-A250-48A0AFFF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28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8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8C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8C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8C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8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8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8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8C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2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2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28C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8C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28C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8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8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8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8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8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8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2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8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28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28C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E6C8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paragraph" w:styleId="af">
    <w:name w:val="header"/>
    <w:basedOn w:val="a"/>
    <w:link w:val="af0"/>
    <w:uiPriority w:val="99"/>
    <w:unhideWhenUsed/>
    <w:rsid w:val="00FB79A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B79A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B79A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B79A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87AE3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387AE3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387AE3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387AE3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620</Words>
  <Characters>3676</Characters>
  <Application>Microsoft Office Word</Application>
  <DocSecurity>0</DocSecurity>
  <Lines>55</Lines>
  <Paragraphs>19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若凡 曹</dc:creator>
  <cp:keywords/>
  <dc:description/>
  <cp:lastModifiedBy>若凡 曹</cp:lastModifiedBy>
  <cp:revision>10</cp:revision>
  <dcterms:created xsi:type="dcterms:W3CDTF">2025-11-12T14:03:00Z</dcterms:created>
  <dcterms:modified xsi:type="dcterms:W3CDTF">2026-05-29T14:07:00Z</dcterms:modified>
</cp:coreProperties>
</file>