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BBB04">
      <w:pPr>
        <w:jc w:val="left"/>
        <w:rPr>
          <w:rFonts w:ascii="Times New Roman" w:hAnsi="Times New Roman" w:eastAsia="宋体" w:cs="Times New Roman"/>
          <w:sz w:val="28"/>
          <w:szCs w:val="28"/>
        </w:rPr>
      </w:pPr>
      <w:bookmarkStart w:id="0" w:name="OLE_LINK3"/>
      <w:r>
        <w:rPr>
          <w:rFonts w:ascii="Times New Roman" w:hAnsi="Times New Roman" w:eastAsia="宋体" w:cs="Times New Roman"/>
          <w:sz w:val="28"/>
          <w:szCs w:val="28"/>
        </w:rPr>
        <w:t>Appendix A. Supplementary data</w:t>
      </w:r>
    </w:p>
    <w:p w14:paraId="45325421">
      <w:pPr>
        <w:widowControl/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36D2615D">
      <w:pPr>
        <w:widowControl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The impact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of PM</w:t>
      </w:r>
      <w:r>
        <w:rPr>
          <w:rFonts w:ascii="Times New Roman" w:hAnsi="Times New Roman" w:eastAsia="宋体" w:cs="Times New Roman"/>
          <w:b/>
          <w:bCs/>
          <w:sz w:val="24"/>
          <w:vertAlign w:val="subscript"/>
        </w:rPr>
        <w:t>2.5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component exposure during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early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pregnancy on </w:t>
      </w:r>
      <w:bookmarkStart w:id="1" w:name="OLE_LINK53"/>
      <w:r>
        <w:rPr>
          <w:rFonts w:ascii="Times New Roman" w:hAnsi="Times New Roman" w:eastAsia="宋体" w:cs="Times New Roman"/>
          <w:b/>
          <w:bCs/>
          <w:sz w:val="24"/>
        </w:rPr>
        <w:t>congenital heart disease</w:t>
      </w:r>
      <w:bookmarkEnd w:id="1"/>
      <w:r>
        <w:rPr>
          <w:rFonts w:ascii="Times New Roman" w:hAnsi="Times New Roman" w:eastAsia="宋体" w:cs="Times New Roman"/>
          <w:b/>
          <w:bCs/>
          <w:sz w:val="24"/>
        </w:rPr>
        <w:t xml:space="preserve">: </w:t>
      </w:r>
      <w:r>
        <w:rPr>
          <w:rFonts w:hint="eastAsia" w:ascii="Times New Roman" w:hAnsi="Times New Roman" w:eastAsia="宋体" w:cs="Times New Roman"/>
          <w:b/>
          <w:bCs/>
          <w:sz w:val="24"/>
        </w:rPr>
        <w:t>Evidence from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Guangdong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, </w:t>
      </w:r>
      <w:r>
        <w:rPr>
          <w:rFonts w:ascii="Times New Roman" w:hAnsi="Times New Roman" w:eastAsia="宋体" w:cs="Times New Roman"/>
          <w:b/>
          <w:bCs/>
          <w:sz w:val="24"/>
        </w:rPr>
        <w:t>China</w:t>
      </w:r>
    </w:p>
    <w:bookmarkEnd w:id="0"/>
    <w:p w14:paraId="3FEDEB6D">
      <w:pPr>
        <w:pStyle w:val="12"/>
        <w:spacing w:before="312" w:beforeLines="100" w:after="0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Yanbing Chen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1</w:t>
      </w:r>
      <w:r>
        <w:rPr>
          <w:rFonts w:ascii="Arial" w:hAnsi="Arial" w:cs="Arial"/>
          <w:sz w:val="24"/>
          <w:szCs w:val="24"/>
          <w:vertAlign w:val="superscript"/>
        </w:rPr>
        <w:t>†</w:t>
      </w:r>
      <w:r>
        <w:rPr>
          <w:rFonts w:ascii="Arial" w:hAnsi="Arial" w:cs="Arial"/>
          <w:sz w:val="24"/>
          <w:szCs w:val="24"/>
        </w:rPr>
        <w:t>, Peiming Su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2,3</w:t>
      </w:r>
      <w:r>
        <w:rPr>
          <w:rFonts w:ascii="Arial" w:hAnsi="Arial" w:cs="Arial"/>
          <w:sz w:val="24"/>
          <w:szCs w:val="24"/>
          <w:vertAlign w:val="superscript"/>
        </w:rPr>
        <w:t>†</w:t>
      </w:r>
      <w:r>
        <w:rPr>
          <w:rFonts w:ascii="Arial" w:hAnsi="Arial" w:cs="Arial"/>
          <w:sz w:val="24"/>
          <w:szCs w:val="24"/>
        </w:rPr>
        <w:t>, Qixian Gu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3</w:t>
      </w:r>
      <w:r>
        <w:rPr>
          <w:rFonts w:ascii="Arial" w:hAnsi="Arial" w:cs="Arial"/>
          <w:sz w:val="24"/>
          <w:szCs w:val="24"/>
        </w:rPr>
        <w:t>, Huili Wei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3,4</w:t>
      </w:r>
      <w:r>
        <w:rPr>
          <w:rFonts w:ascii="Arial" w:hAnsi="Arial" w:cs="Arial"/>
          <w:sz w:val="24"/>
          <w:szCs w:val="24"/>
        </w:rPr>
        <w:t>, Jialing Qiu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5*</w:t>
      </w:r>
      <w:r>
        <w:rPr>
          <w:rFonts w:ascii="Arial" w:hAnsi="Arial" w:cs="Arial"/>
          <w:sz w:val="24"/>
          <w:szCs w:val="24"/>
        </w:rPr>
        <w:t>, Guangming Tan</w:t>
      </w:r>
      <w:r>
        <w:rPr>
          <w:rFonts w:ascii="Arial" w:hAnsi="Arial" w:cs="Arial" w:eastAsiaTheme="minorEastAsia"/>
          <w:sz w:val="24"/>
          <w:szCs w:val="24"/>
          <w:vertAlign w:val="superscript"/>
          <w:lang w:eastAsia="zh-CN"/>
        </w:rPr>
        <w:t>3</w:t>
      </w:r>
      <w:r>
        <w:rPr>
          <w:rFonts w:hint="eastAsia" w:ascii="Arial" w:hAnsi="Arial" w:cs="Arial" w:eastAsiaTheme="minorEastAsia"/>
          <w:sz w:val="24"/>
          <w:szCs w:val="24"/>
          <w:vertAlign w:val="superscript"/>
          <w:lang w:val="en-US" w:eastAsia="zh-CN"/>
        </w:rPr>
        <w:t>**</w:t>
      </w:r>
    </w:p>
    <w:p w14:paraId="256D88BE">
      <w:pPr>
        <w:pStyle w:val="2"/>
        <w:spacing w:before="312" w:beforeLines="100" w:line="241" w:lineRule="exact"/>
        <w:ind w:left="113"/>
        <w:rPr>
          <w:rFonts w:ascii="Arial"/>
        </w:rPr>
      </w:pPr>
      <w:r>
        <w:rPr>
          <w:rFonts w:ascii="Arial"/>
          <w:vertAlign w:val="superscript"/>
        </w:rPr>
        <w:t>1</w:t>
      </w:r>
      <w:r>
        <w:rPr>
          <w:rFonts w:ascii="Arial"/>
        </w:rPr>
        <w:t>Medical Genetic Center, Guangdong Women and Children Hospital, 521 Xingnan Road, Panyu District, Guangzhou 511442, China</w:t>
      </w:r>
    </w:p>
    <w:p w14:paraId="7623BA2F">
      <w:pPr>
        <w:pStyle w:val="2"/>
        <w:spacing w:line="241" w:lineRule="exact"/>
        <w:ind w:left="113"/>
        <w:rPr>
          <w:rFonts w:ascii="Arial"/>
        </w:rPr>
      </w:pPr>
      <w:r>
        <w:rPr>
          <w:rFonts w:ascii="Arial"/>
          <w:vertAlign w:val="superscript"/>
        </w:rPr>
        <w:t>2</w:t>
      </w:r>
      <w:r>
        <w:rPr>
          <w:rFonts w:ascii="Arial"/>
        </w:rPr>
        <w:t>School of Public Health, Guangzhou Medical University, 1 Xinzao Road, Xinzao Town, Panyu District, Guangzhou 511436, China</w:t>
      </w:r>
    </w:p>
    <w:p w14:paraId="53AAA31F">
      <w:pPr>
        <w:pStyle w:val="2"/>
        <w:spacing w:line="241" w:lineRule="exact"/>
        <w:ind w:left="113"/>
        <w:rPr>
          <w:rFonts w:ascii="Arial"/>
        </w:rPr>
      </w:pPr>
      <w:r>
        <w:rPr>
          <w:rFonts w:ascii="Arial"/>
          <w:vertAlign w:val="superscript"/>
        </w:rPr>
        <w:t>3</w:t>
      </w:r>
      <w:r>
        <w:rPr>
          <w:rFonts w:ascii="Arial"/>
        </w:rPr>
        <w:t>Department of Medical Information and Statistics, Guangdong Women and Children Hospital, 521 Xingnan Road, Panyu District, Guangzhou 511442, China</w:t>
      </w:r>
    </w:p>
    <w:p w14:paraId="5440B474">
      <w:pPr>
        <w:pStyle w:val="2"/>
        <w:spacing w:line="241" w:lineRule="exact"/>
        <w:ind w:left="113"/>
        <w:rPr>
          <w:rFonts w:ascii="Arial"/>
        </w:rPr>
      </w:pPr>
      <w:r>
        <w:rPr>
          <w:rFonts w:ascii="Arial"/>
          <w:vertAlign w:val="superscript"/>
        </w:rPr>
        <w:t>4</w:t>
      </w:r>
      <w:r>
        <w:rPr>
          <w:rFonts w:ascii="Arial"/>
        </w:rPr>
        <w:t>Department of Public Health and Preventive Medicine, School of Medicine, Jinan University, Guangzhou 510632, China</w:t>
      </w:r>
    </w:p>
    <w:p w14:paraId="515797F6">
      <w:pPr>
        <w:pStyle w:val="2"/>
        <w:spacing w:line="241" w:lineRule="exact"/>
        <w:ind w:left="113"/>
        <w:rPr>
          <w:rFonts w:ascii="Arial"/>
        </w:rPr>
      </w:pPr>
      <w:r>
        <w:rPr>
          <w:rFonts w:ascii="Arial"/>
          <w:vertAlign w:val="superscript"/>
        </w:rPr>
        <w:t>5</w:t>
      </w:r>
      <w:r>
        <w:rPr>
          <w:rFonts w:ascii="Arial"/>
        </w:rPr>
        <w:t xml:space="preserve">Department of </w:t>
      </w:r>
      <w:r>
        <w:rPr>
          <w:rFonts w:hint="eastAsia" w:ascii="Arial" w:eastAsia="宋体"/>
          <w:lang w:val="en-US" w:eastAsia="zh-CN"/>
        </w:rPr>
        <w:t>Human Resources</w:t>
      </w:r>
      <w:r>
        <w:rPr>
          <w:rFonts w:ascii="Arial"/>
        </w:rPr>
        <w:t>, Guangdong Women and Children Hospital, 521 Xingnan Road, Panyu District, Guangzhou 511442, China</w:t>
      </w:r>
    </w:p>
    <w:p w14:paraId="286D9FB2">
      <w:pPr>
        <w:pStyle w:val="2"/>
        <w:spacing w:line="241" w:lineRule="exact"/>
        <w:ind w:left="113"/>
        <w:rPr>
          <w:rFonts w:hint="eastAsia" w:ascii="Arial" w:eastAsia="宋体"/>
          <w:lang w:val="en-US" w:eastAsia="zh-CN"/>
        </w:rPr>
      </w:pPr>
      <w:r>
        <w:rPr>
          <w:rFonts w:ascii="Arial"/>
        </w:rPr>
        <w:t>* Correspondence: qiujialingcn@126.com (J. Q.)</w:t>
      </w:r>
      <w:r>
        <w:rPr>
          <w:rFonts w:hint="eastAsia" w:ascii="Arial" w:eastAsia="宋体"/>
          <w:lang w:val="en-US" w:eastAsia="zh-CN"/>
        </w:rPr>
        <w:t>,</w:t>
      </w:r>
      <w:r>
        <w:rPr>
          <w:rFonts w:ascii="Arial"/>
        </w:rPr>
        <w:t xml:space="preserve"> guangmingtannhh@163.com (G. T.)</w:t>
      </w:r>
    </w:p>
    <w:p w14:paraId="109435A6">
      <w:pPr>
        <w:pStyle w:val="2"/>
        <w:spacing w:line="241" w:lineRule="exact"/>
        <w:ind w:left="113"/>
        <w:rPr>
          <w:rFonts w:ascii="Arial"/>
        </w:rPr>
      </w:pPr>
      <w:r>
        <w:rPr>
          <w:rFonts w:hint="eastAsia" w:ascii="Arial"/>
        </w:rPr>
        <w:t>†</w:t>
      </w:r>
      <w:r>
        <w:rPr>
          <w:rFonts w:ascii="Arial"/>
        </w:rPr>
        <w:t xml:space="preserve"> These authors contributed equally to this work.</w:t>
      </w:r>
    </w:p>
    <w:p w14:paraId="20DAEDCF">
      <w:pPr>
        <w:rPr>
          <w:rFonts w:ascii="Times New Roman" w:hAnsi="Times New Roman" w:eastAsia="宋体" w:cs="Times New Roman"/>
          <w:sz w:val="28"/>
          <w:szCs w:val="28"/>
        </w:rPr>
      </w:pPr>
    </w:p>
    <w:p w14:paraId="09E1E323">
      <w:pP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Contents of this file </w:t>
      </w:r>
    </w:p>
    <w:p w14:paraId="39D36D63">
      <w:pP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F18473A">
      <w:pPr>
        <w:ind w:left="720"/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Table S1 </w:t>
      </w:r>
    </w:p>
    <w:p w14:paraId="61717B39">
      <w:pPr>
        <w:ind w:left="720"/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Figure</w:t>
      </w:r>
      <w:bookmarkStart w:id="4" w:name="_GoBack"/>
      <w:bookmarkEnd w:id="4"/>
      <w: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59911CFC">
      <w:pPr>
        <w:jc w:val="left"/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2F11E33D">
      <w:pPr>
        <w:jc w:val="left"/>
        <w:rPr>
          <w:rFonts w:ascii="Times New Roman" w:hAnsi="Times New Roman" w:eastAsia="宋体" w:cs="Times New Roman"/>
          <w:sz w:val="28"/>
          <w:szCs w:val="28"/>
        </w:rPr>
      </w:pPr>
    </w:p>
    <w:p w14:paraId="385AC507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Table </w:t>
      </w:r>
      <w:r>
        <w:rPr>
          <w:rFonts w:ascii="Times New Roman" w:hAnsi="Times New Roman" w:eastAsia="宋体" w:cs="Times New Roman"/>
          <w:sz w:val="24"/>
        </w:rPr>
        <w:t>S</w:t>
      </w:r>
      <w:r>
        <w:rPr>
          <w:rFonts w:hint="eastAsia" w:ascii="Times New Roman" w:hAnsi="Times New Roman" w:eastAsia="宋体" w:cs="Times New Roman"/>
          <w:sz w:val="24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Logistic regression analysis of PM</w:t>
      </w:r>
      <w:r>
        <w:rPr>
          <w:rFonts w:ascii="Times New Roman" w:hAnsi="Times New Roman" w:eastAsia="宋体" w:cs="Times New Roman"/>
          <w:sz w:val="24"/>
          <w:vertAlign w:val="subscript"/>
        </w:rPr>
        <w:t>2.5</w:t>
      </w:r>
      <w:r>
        <w:rPr>
          <w:rFonts w:ascii="Times New Roman" w:hAnsi="Times New Roman" w:eastAsia="宋体" w:cs="Times New Roman"/>
          <w:sz w:val="24"/>
        </w:rPr>
        <w:t xml:space="preserve"> components and congenital heart disease in different pregnancy periods</w:t>
      </w:r>
      <w:r>
        <w:rPr>
          <w:rFonts w:hint="eastAsia" w:ascii="Times New Roman" w:hAnsi="Times New Roman" w:eastAsia="宋体" w:cs="Times New Roman"/>
          <w:sz w:val="24"/>
        </w:rPr>
        <w:t xml:space="preserve"> (excluding stillbirths)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2596"/>
        <w:gridCol w:w="2597"/>
        <w:gridCol w:w="2597"/>
        <w:gridCol w:w="2597"/>
        <w:gridCol w:w="2597"/>
      </w:tblGrid>
      <w:tr w14:paraId="35478C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Merge w:val="restart"/>
            <w:vAlign w:val="center"/>
          </w:tcPr>
          <w:p w14:paraId="0D45802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estational weeks</w:t>
            </w:r>
          </w:p>
        </w:tc>
        <w:tc>
          <w:tcPr>
            <w:tcW w:w="916" w:type="pct"/>
            <w:tcBorders>
              <w:bottom w:val="single" w:color="auto" w:sz="6" w:space="0"/>
            </w:tcBorders>
            <w:vAlign w:val="center"/>
          </w:tcPr>
          <w:p w14:paraId="3E520D2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OM</w:t>
            </w:r>
          </w:p>
        </w:tc>
        <w:tc>
          <w:tcPr>
            <w:tcW w:w="916" w:type="pct"/>
            <w:tcBorders>
              <w:bottom w:val="single" w:color="auto" w:sz="6" w:space="0"/>
            </w:tcBorders>
            <w:vAlign w:val="center"/>
          </w:tcPr>
          <w:p w14:paraId="6CCF080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 w:eastAsiaTheme="minorEastAsia"/>
                        <w:sz w:val="21"/>
                        <w:szCs w:val="21"/>
                        <w:lang w:eastAsia="zh-CN"/>
                      </w:rPr>
                      <m:t>O</m:t>
                    </m:r>
                    <m:ctrlPr>
                      <w:rPr>
                        <w:rFonts w:ascii="Cambria Math" w:hAnsi="Cambria Math" w:cs="Arial"/>
                        <w:sz w:val="21"/>
                        <w:szCs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4</m:t>
                    </m:r>
                    <m:ctrlPr>
                      <w:rPr>
                        <w:rFonts w:ascii="Cambria Math" w:hAnsi="Cambria Math" w:cs="Arial"/>
                        <w:sz w:val="21"/>
                        <w:szCs w:val="21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 w:eastAsiaTheme="minorEastAsia"/>
                        <w:sz w:val="21"/>
                        <w:szCs w:val="21"/>
                        <w:lang w:eastAsia="zh-CN"/>
                      </w:rPr>
                      <m:t>−</m:t>
                    </m:r>
                    <m:ctrlPr>
                      <w:rPr>
                        <w:rFonts w:ascii="Cambria Math" w:hAnsi="Cambria Math" w:cs="Arial"/>
                        <w:sz w:val="21"/>
                        <w:szCs w:val="21"/>
                      </w:rPr>
                    </m:ctrlPr>
                  </m:sup>
                </m:sSubSup>
              </m:oMath>
            </m:oMathPara>
          </w:p>
        </w:tc>
        <w:tc>
          <w:tcPr>
            <w:tcW w:w="916" w:type="pct"/>
            <w:tcBorders>
              <w:bottom w:val="single" w:color="auto" w:sz="6" w:space="0"/>
            </w:tcBorders>
            <w:vAlign w:val="center"/>
          </w:tcPr>
          <w:p w14:paraId="5D73C83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 w:eastAsiaTheme="minorEastAsia"/>
                        <w:sz w:val="21"/>
                        <w:szCs w:val="21"/>
                        <w:lang w:eastAsia="zh-CN"/>
                      </w:rPr>
                      <m:t>O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3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−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up>
                </m:sSubSup>
              </m:oMath>
            </m:oMathPara>
          </w:p>
        </w:tc>
        <w:tc>
          <w:tcPr>
            <w:tcW w:w="916" w:type="pct"/>
            <w:tcBorders>
              <w:bottom w:val="single" w:color="auto" w:sz="6" w:space="0"/>
            </w:tcBorders>
            <w:vAlign w:val="center"/>
          </w:tcPr>
          <w:p w14:paraId="3DD5A1F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 w:eastAsiaTheme="minorEastAsia"/>
                        <w:sz w:val="21"/>
                        <w:szCs w:val="21"/>
                        <w:lang w:eastAsia="zh-CN"/>
                      </w:rPr>
                      <m:t>H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4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1"/>
                        <w:szCs w:val="21"/>
                      </w:rPr>
                      <m:t>+</m:t>
                    </m:r>
                    <m:ctrlPr>
                      <w:rPr>
                        <w:rFonts w:ascii="Cambria Math" w:hAnsi="Cambria Math" w:cs="Arial"/>
                        <w:iCs/>
                        <w:sz w:val="21"/>
                        <w:szCs w:val="21"/>
                      </w:rPr>
                    </m:ctrlPr>
                  </m:sup>
                </m:sSubSup>
              </m:oMath>
            </m:oMathPara>
          </w:p>
        </w:tc>
        <w:tc>
          <w:tcPr>
            <w:tcW w:w="917" w:type="pct"/>
            <w:tcBorders>
              <w:bottom w:val="single" w:color="auto" w:sz="6" w:space="0"/>
            </w:tcBorders>
            <w:vAlign w:val="center"/>
          </w:tcPr>
          <w:p w14:paraId="47B2E6A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BC</w:t>
            </w:r>
          </w:p>
        </w:tc>
      </w:tr>
      <w:tr w14:paraId="4BA341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Merge w:val="continue"/>
            <w:tcBorders>
              <w:bottom w:val="single" w:color="auto" w:sz="6" w:space="0"/>
            </w:tcBorders>
            <w:vAlign w:val="center"/>
          </w:tcPr>
          <w:p w14:paraId="14F08EA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9D66C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OR [95% CI]</w:t>
            </w:r>
          </w:p>
        </w:tc>
        <w:tc>
          <w:tcPr>
            <w:tcW w:w="91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7C860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OR [95% CI]</w:t>
            </w:r>
          </w:p>
        </w:tc>
        <w:tc>
          <w:tcPr>
            <w:tcW w:w="91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2FB5E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OR [95% CI]</w:t>
            </w:r>
          </w:p>
        </w:tc>
        <w:tc>
          <w:tcPr>
            <w:tcW w:w="91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62519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OR [95% CI]</w:t>
            </w:r>
          </w:p>
        </w:tc>
        <w:tc>
          <w:tcPr>
            <w:tcW w:w="917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DFB15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OR [95% CI]</w:t>
            </w:r>
          </w:p>
        </w:tc>
      </w:tr>
      <w:tr w14:paraId="31CE9C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6" w:space="0"/>
            </w:tcBorders>
            <w:vAlign w:val="center"/>
          </w:tcPr>
          <w:p w14:paraId="51019A8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916" w:type="pct"/>
            <w:tcBorders>
              <w:top w:val="single" w:color="auto" w:sz="6" w:space="0"/>
            </w:tcBorders>
          </w:tcPr>
          <w:p w14:paraId="45912A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1.94(1.90-1.97)</w:t>
            </w:r>
          </w:p>
        </w:tc>
        <w:tc>
          <w:tcPr>
            <w:tcW w:w="916" w:type="pct"/>
            <w:tcBorders>
              <w:top w:val="single" w:color="auto" w:sz="6" w:space="0"/>
            </w:tcBorders>
          </w:tcPr>
          <w:p w14:paraId="6D0D7A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2.29(2.25-2.34)</w:t>
            </w:r>
          </w:p>
        </w:tc>
        <w:tc>
          <w:tcPr>
            <w:tcW w:w="916" w:type="pct"/>
            <w:tcBorders>
              <w:top w:val="single" w:color="auto" w:sz="6" w:space="0"/>
            </w:tcBorders>
          </w:tcPr>
          <w:p w14:paraId="3926A6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1.64(1.60-1.68)</w:t>
            </w:r>
          </w:p>
        </w:tc>
        <w:tc>
          <w:tcPr>
            <w:tcW w:w="916" w:type="pct"/>
            <w:tcBorders>
              <w:top w:val="single" w:color="auto" w:sz="6" w:space="0"/>
            </w:tcBorders>
          </w:tcPr>
          <w:p w14:paraId="1AC748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1.49(1.45-1.53)</w:t>
            </w:r>
          </w:p>
        </w:tc>
        <w:tc>
          <w:tcPr>
            <w:tcW w:w="917" w:type="pct"/>
            <w:tcBorders>
              <w:top w:val="single" w:color="auto" w:sz="6" w:space="0"/>
            </w:tcBorders>
          </w:tcPr>
          <w:p w14:paraId="6A4345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1.97(1.94-2.00)</w:t>
            </w:r>
          </w:p>
        </w:tc>
      </w:tr>
      <w:tr w14:paraId="6D90E5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5E60CD7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916" w:type="pct"/>
          </w:tcPr>
          <w:p w14:paraId="42B631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1.91(1.88-1.95)</w:t>
            </w:r>
          </w:p>
        </w:tc>
        <w:tc>
          <w:tcPr>
            <w:tcW w:w="916" w:type="pct"/>
          </w:tcPr>
          <w:p w14:paraId="629235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2.29(2.25-2.33)</w:t>
            </w:r>
          </w:p>
        </w:tc>
        <w:tc>
          <w:tcPr>
            <w:tcW w:w="916" w:type="pct"/>
          </w:tcPr>
          <w:p w14:paraId="1E2C9C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1.61(1.57-1.65)</w:t>
            </w:r>
          </w:p>
        </w:tc>
        <w:tc>
          <w:tcPr>
            <w:tcW w:w="916" w:type="pct"/>
          </w:tcPr>
          <w:p w14:paraId="308DB8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1.48(1.44-1.51)</w:t>
            </w:r>
          </w:p>
        </w:tc>
        <w:tc>
          <w:tcPr>
            <w:tcW w:w="917" w:type="pct"/>
          </w:tcPr>
          <w:p w14:paraId="47E9C0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1.97(1.93-2.00)</w:t>
            </w:r>
          </w:p>
        </w:tc>
      </w:tr>
      <w:tr w14:paraId="7BE108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6AC7958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916" w:type="pct"/>
          </w:tcPr>
          <w:p w14:paraId="05C056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1.88(1.84-1.91)</w:t>
            </w:r>
          </w:p>
        </w:tc>
        <w:tc>
          <w:tcPr>
            <w:tcW w:w="916" w:type="pct"/>
          </w:tcPr>
          <w:p w14:paraId="3EB3F9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2.26(2.22-2.30)</w:t>
            </w:r>
          </w:p>
        </w:tc>
        <w:tc>
          <w:tcPr>
            <w:tcW w:w="916" w:type="pct"/>
          </w:tcPr>
          <w:p w14:paraId="196D72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1.57(1.54-1.61)</w:t>
            </w:r>
          </w:p>
        </w:tc>
        <w:tc>
          <w:tcPr>
            <w:tcW w:w="916" w:type="pct"/>
          </w:tcPr>
          <w:p w14:paraId="16C1FA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1.45(1.41-1.49)</w:t>
            </w:r>
          </w:p>
        </w:tc>
        <w:tc>
          <w:tcPr>
            <w:tcW w:w="917" w:type="pct"/>
          </w:tcPr>
          <w:p w14:paraId="2AA44B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1.95(1.92-1.98)</w:t>
            </w:r>
          </w:p>
        </w:tc>
      </w:tr>
      <w:tr w14:paraId="3C02B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030AF0A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</w:tcPr>
          <w:p w14:paraId="55BE8C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1.82(1.79-1.86)</w:t>
            </w:r>
          </w:p>
        </w:tc>
        <w:tc>
          <w:tcPr>
            <w:tcW w:w="916" w:type="pct"/>
          </w:tcPr>
          <w:p w14:paraId="0A0F01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2.20(2.16-2.24)</w:t>
            </w:r>
          </w:p>
        </w:tc>
        <w:tc>
          <w:tcPr>
            <w:tcW w:w="916" w:type="pct"/>
          </w:tcPr>
          <w:p w14:paraId="7CBB45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1.52(1.48-1.55)</w:t>
            </w:r>
          </w:p>
        </w:tc>
        <w:tc>
          <w:tcPr>
            <w:tcW w:w="916" w:type="pct"/>
          </w:tcPr>
          <w:p w14:paraId="375CAF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1.40(1.36-1.44)</w:t>
            </w:r>
          </w:p>
        </w:tc>
        <w:tc>
          <w:tcPr>
            <w:tcW w:w="917" w:type="pct"/>
          </w:tcPr>
          <w:p w14:paraId="79D6AE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1.90(1.87-1.94)</w:t>
            </w:r>
          </w:p>
        </w:tc>
      </w:tr>
      <w:tr w14:paraId="32BFBA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4E48E42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916" w:type="pct"/>
          </w:tcPr>
          <w:p w14:paraId="5D66B2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1.77(1.74-1.80)</w:t>
            </w:r>
          </w:p>
        </w:tc>
        <w:tc>
          <w:tcPr>
            <w:tcW w:w="916" w:type="pct"/>
          </w:tcPr>
          <w:p w14:paraId="47D0E6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2.12(2.08-2.16)</w:t>
            </w:r>
          </w:p>
        </w:tc>
        <w:tc>
          <w:tcPr>
            <w:tcW w:w="916" w:type="pct"/>
          </w:tcPr>
          <w:p w14:paraId="341BAE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1.47(1.44-1.51)</w:t>
            </w:r>
          </w:p>
        </w:tc>
        <w:tc>
          <w:tcPr>
            <w:tcW w:w="916" w:type="pct"/>
          </w:tcPr>
          <w:p w14:paraId="24FBC6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1.35(1.31-1.38)</w:t>
            </w:r>
          </w:p>
        </w:tc>
        <w:tc>
          <w:tcPr>
            <w:tcW w:w="917" w:type="pct"/>
          </w:tcPr>
          <w:p w14:paraId="69EC8B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1.85(1.82-1.89)</w:t>
            </w:r>
          </w:p>
        </w:tc>
      </w:tr>
      <w:tr w14:paraId="18A3F6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0074695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916" w:type="pct"/>
          </w:tcPr>
          <w:p w14:paraId="0CFA70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1.76(1.73-1.80)</w:t>
            </w:r>
          </w:p>
        </w:tc>
        <w:tc>
          <w:tcPr>
            <w:tcW w:w="916" w:type="pct"/>
          </w:tcPr>
          <w:p w14:paraId="7EB89B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2.11(2.07-2.15)</w:t>
            </w:r>
          </w:p>
        </w:tc>
        <w:tc>
          <w:tcPr>
            <w:tcW w:w="916" w:type="pct"/>
          </w:tcPr>
          <w:p w14:paraId="0B3584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1.48(1.44-1.51)</w:t>
            </w:r>
          </w:p>
        </w:tc>
        <w:tc>
          <w:tcPr>
            <w:tcW w:w="916" w:type="pct"/>
          </w:tcPr>
          <w:p w14:paraId="1F1A8B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1.34(1.30-1.37)</w:t>
            </w:r>
          </w:p>
        </w:tc>
        <w:tc>
          <w:tcPr>
            <w:tcW w:w="917" w:type="pct"/>
          </w:tcPr>
          <w:p w14:paraId="586793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1.84(1.81-1.87)</w:t>
            </w:r>
          </w:p>
        </w:tc>
      </w:tr>
      <w:tr w14:paraId="4BEA1B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6539ED3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916" w:type="pct"/>
          </w:tcPr>
          <w:p w14:paraId="7A4DFF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1.74(1.71-1.77)</w:t>
            </w:r>
          </w:p>
        </w:tc>
        <w:tc>
          <w:tcPr>
            <w:tcW w:w="916" w:type="pct"/>
          </w:tcPr>
          <w:p w14:paraId="1D44CF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2.06(2.03-2.10)</w:t>
            </w:r>
          </w:p>
        </w:tc>
        <w:tc>
          <w:tcPr>
            <w:tcW w:w="916" w:type="pct"/>
          </w:tcPr>
          <w:p w14:paraId="73DC18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1.46(1.42-1.49)</w:t>
            </w:r>
          </w:p>
        </w:tc>
        <w:tc>
          <w:tcPr>
            <w:tcW w:w="916" w:type="pct"/>
          </w:tcPr>
          <w:p w14:paraId="5D96D9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1.33(1.30-1.36)</w:t>
            </w:r>
          </w:p>
        </w:tc>
        <w:tc>
          <w:tcPr>
            <w:tcW w:w="917" w:type="pct"/>
          </w:tcPr>
          <w:p w14:paraId="7F21BA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1.80(1.78-1.83)</w:t>
            </w:r>
          </w:p>
        </w:tc>
      </w:tr>
      <w:tr w14:paraId="4DCDD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6F1E5A6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</w:t>
            </w:r>
          </w:p>
        </w:tc>
        <w:tc>
          <w:tcPr>
            <w:tcW w:w="916" w:type="pct"/>
          </w:tcPr>
          <w:p w14:paraId="7A8031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1.74(1.71-1.77)</w:t>
            </w:r>
          </w:p>
        </w:tc>
        <w:tc>
          <w:tcPr>
            <w:tcW w:w="916" w:type="pct"/>
          </w:tcPr>
          <w:p w14:paraId="22FEED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2.05(2.01-2.08)</w:t>
            </w:r>
          </w:p>
        </w:tc>
        <w:tc>
          <w:tcPr>
            <w:tcW w:w="916" w:type="pct"/>
          </w:tcPr>
          <w:p w14:paraId="28D6FE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1.45(1.41-1.48)</w:t>
            </w:r>
          </w:p>
        </w:tc>
        <w:tc>
          <w:tcPr>
            <w:tcW w:w="916" w:type="pct"/>
          </w:tcPr>
          <w:p w14:paraId="5AEF5F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1.33(1.30-1.37)</w:t>
            </w:r>
          </w:p>
        </w:tc>
        <w:tc>
          <w:tcPr>
            <w:tcW w:w="917" w:type="pct"/>
          </w:tcPr>
          <w:p w14:paraId="2C3379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1.82(1.79-1.85)</w:t>
            </w:r>
          </w:p>
        </w:tc>
      </w:tr>
      <w:tr w14:paraId="7682E5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6BE84EC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</w:t>
            </w:r>
          </w:p>
        </w:tc>
        <w:tc>
          <w:tcPr>
            <w:tcW w:w="916" w:type="pct"/>
          </w:tcPr>
          <w:p w14:paraId="4A236F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1.72(1.69-1.75)</w:t>
            </w:r>
          </w:p>
        </w:tc>
        <w:tc>
          <w:tcPr>
            <w:tcW w:w="916" w:type="pct"/>
          </w:tcPr>
          <w:p w14:paraId="4C7787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2.03(1.99-2.06)</w:t>
            </w:r>
          </w:p>
        </w:tc>
        <w:tc>
          <w:tcPr>
            <w:tcW w:w="916" w:type="pct"/>
          </w:tcPr>
          <w:p w14:paraId="209591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1.40(1.36-1.43)</w:t>
            </w:r>
          </w:p>
        </w:tc>
        <w:tc>
          <w:tcPr>
            <w:tcW w:w="916" w:type="pct"/>
          </w:tcPr>
          <w:p w14:paraId="2506C1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1.28(1.25-1.31)</w:t>
            </w:r>
          </w:p>
        </w:tc>
        <w:tc>
          <w:tcPr>
            <w:tcW w:w="917" w:type="pct"/>
          </w:tcPr>
          <w:p w14:paraId="0F48CA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1.81(1.78-1.84)</w:t>
            </w:r>
          </w:p>
        </w:tc>
      </w:tr>
      <w:tr w14:paraId="30CDD1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16B384B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</w:t>
            </w:r>
          </w:p>
        </w:tc>
        <w:tc>
          <w:tcPr>
            <w:tcW w:w="916" w:type="pct"/>
          </w:tcPr>
          <w:p w14:paraId="7FF7DF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1.68(1.65-1.71)</w:t>
            </w:r>
          </w:p>
        </w:tc>
        <w:tc>
          <w:tcPr>
            <w:tcW w:w="916" w:type="pct"/>
          </w:tcPr>
          <w:p w14:paraId="634490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2.00(1.96-2.03)</w:t>
            </w:r>
          </w:p>
        </w:tc>
        <w:tc>
          <w:tcPr>
            <w:tcW w:w="916" w:type="pct"/>
          </w:tcPr>
          <w:p w14:paraId="586588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1.34(1.31-1.37)</w:t>
            </w:r>
          </w:p>
        </w:tc>
        <w:tc>
          <w:tcPr>
            <w:tcW w:w="916" w:type="pct"/>
          </w:tcPr>
          <w:p w14:paraId="4A2FAD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1.23(1.19-1.26)</w:t>
            </w:r>
          </w:p>
        </w:tc>
        <w:tc>
          <w:tcPr>
            <w:tcW w:w="917" w:type="pct"/>
          </w:tcPr>
          <w:p w14:paraId="222CEE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1.78(1.75-1.81)</w:t>
            </w:r>
          </w:p>
        </w:tc>
      </w:tr>
      <w:tr w14:paraId="10CD98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62DC5D6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</w:t>
            </w:r>
          </w:p>
        </w:tc>
        <w:tc>
          <w:tcPr>
            <w:tcW w:w="916" w:type="pct"/>
          </w:tcPr>
          <w:p w14:paraId="3AF88C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1.71(1.69-1.75)</w:t>
            </w:r>
          </w:p>
        </w:tc>
        <w:tc>
          <w:tcPr>
            <w:tcW w:w="916" w:type="pct"/>
          </w:tcPr>
          <w:p w14:paraId="6C318C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2.07(2.03-2.11)</w:t>
            </w:r>
          </w:p>
        </w:tc>
        <w:tc>
          <w:tcPr>
            <w:tcW w:w="916" w:type="pct"/>
          </w:tcPr>
          <w:p w14:paraId="43F040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1.38(1.35-1.41)</w:t>
            </w:r>
          </w:p>
        </w:tc>
        <w:tc>
          <w:tcPr>
            <w:tcW w:w="916" w:type="pct"/>
          </w:tcPr>
          <w:p w14:paraId="72E221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1.27(1.24-1.30)</w:t>
            </w:r>
          </w:p>
        </w:tc>
        <w:tc>
          <w:tcPr>
            <w:tcW w:w="917" w:type="pct"/>
          </w:tcPr>
          <w:p w14:paraId="682FE7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1.83(1.80-1.86)</w:t>
            </w:r>
          </w:p>
        </w:tc>
      </w:tr>
      <w:tr w14:paraId="26F8B9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vAlign w:val="center"/>
          </w:tcPr>
          <w:p w14:paraId="3A666C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</w:t>
            </w:r>
          </w:p>
        </w:tc>
        <w:tc>
          <w:tcPr>
            <w:tcW w:w="916" w:type="pct"/>
          </w:tcPr>
          <w:p w14:paraId="065794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1.76(1.72-1.79)</w:t>
            </w:r>
          </w:p>
        </w:tc>
        <w:tc>
          <w:tcPr>
            <w:tcW w:w="916" w:type="pct"/>
          </w:tcPr>
          <w:p w14:paraId="68DCA0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2.14(2.10-2.18)</w:t>
            </w:r>
          </w:p>
        </w:tc>
        <w:tc>
          <w:tcPr>
            <w:tcW w:w="916" w:type="pct"/>
          </w:tcPr>
          <w:p w14:paraId="7309D9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1.38(1.35-1.41)</w:t>
            </w:r>
          </w:p>
        </w:tc>
        <w:tc>
          <w:tcPr>
            <w:tcW w:w="916" w:type="pct"/>
          </w:tcPr>
          <w:p w14:paraId="5BD804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1.27(1.24-1.30)</w:t>
            </w:r>
          </w:p>
        </w:tc>
        <w:tc>
          <w:tcPr>
            <w:tcW w:w="917" w:type="pct"/>
          </w:tcPr>
          <w:p w14:paraId="093A91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1.88(1.85-1.91)</w:t>
            </w:r>
          </w:p>
        </w:tc>
      </w:tr>
    </w:tbl>
    <w:p w14:paraId="2EF1FECE">
      <w:pPr>
        <w:rPr>
          <w:rFonts w:ascii="Times New Roman" w:hAnsi="Times New Roman" w:cs="Times New Roman"/>
          <w:sz w:val="24"/>
        </w:rPr>
      </w:pPr>
      <w:bookmarkStart w:id="2" w:name="_Hlk204117625"/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eastAsia="宋体" w:cs="Times New Roman"/>
          <w:sz w:val="24"/>
        </w:rPr>
        <w:t xml:space="preserve">OM: </w:t>
      </w:r>
      <w:r>
        <w:rPr>
          <w:rFonts w:ascii="Times New Roman" w:hAnsi="Times New Roman" w:eastAsia="Cambria" w:cs="Times New Roman"/>
          <w:color w:val="1B1B1B"/>
          <w:sz w:val="24"/>
          <w:shd w:val="clear" w:color="auto" w:fill="FFFFFF"/>
        </w:rPr>
        <w:t>organic matter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;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Arial" w:eastAsiaTheme="minorEastAsia"/>
                <w:sz w:val="24"/>
                <w:szCs w:val="24"/>
                <w:lang w:eastAsia="zh-CN"/>
              </w:rPr>
              <m:t>O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4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="Arial" w:eastAsiaTheme="minorEastAsia"/>
                <w:sz w:val="24"/>
                <w:szCs w:val="24"/>
                <w:lang w:eastAsia="zh-CN"/>
              </w:rPr>
              <m:t>−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eastAsia="宋体" w:cs="Times New Roman"/>
          <w:sz w:val="24"/>
        </w:rPr>
        <w:t>: sulfate</w:t>
      </w:r>
      <w:r>
        <w:rPr>
          <w:rFonts w:hint="eastAsia" w:ascii="Times New Roman" w:hAnsi="Times New Roman" w:eastAsia="宋体" w:cs="Times New Roman"/>
          <w:sz w:val="24"/>
        </w:rPr>
        <w:t>;</w:t>
      </w:r>
      <m:oMath>
        <m:sSubSup>
          <m:sSubSupP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 w:cs="Arial" w:eastAsiaTheme="minorEastAsia"/>
                <w:sz w:val="24"/>
                <w:szCs w:val="24"/>
                <w:lang w:eastAsia="zh-CN"/>
              </w:rPr>
              <m:t>O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−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eastAsia="宋体" w:cs="Times New Roman"/>
          <w:sz w:val="24"/>
        </w:rPr>
        <w:t xml:space="preserve">: </w:t>
      </w:r>
      <w:r>
        <w:rPr>
          <w:rFonts w:ascii="Times New Roman" w:hAnsi="Times New Roman" w:eastAsia="Cambria" w:cs="Times New Roman"/>
          <w:color w:val="1B1B1B"/>
          <w:sz w:val="24"/>
          <w:shd w:val="clear" w:color="auto" w:fill="FFFFFF"/>
        </w:rPr>
        <w:t>nitrate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;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 w:cs="Arial" w:eastAsiaTheme="minorEastAsia"/>
                <w:sz w:val="24"/>
                <w:szCs w:val="24"/>
                <w:lang w:eastAsia="zh-CN"/>
              </w:rPr>
              <m:t>H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4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+</m:t>
            </m:r>
            <m:ctrlPr>
              <w:rPr>
                <w:rFonts w:ascii="Cambria Math" w:hAnsi="Cambria Math" w:cs="Arial"/>
                <w:iCs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eastAsia="宋体" w:cs="Times New Roman"/>
          <w:sz w:val="24"/>
        </w:rPr>
        <w:t xml:space="preserve">: </w:t>
      </w:r>
      <w:r>
        <w:rPr>
          <w:rFonts w:ascii="Times New Roman" w:hAnsi="Times New Roman" w:eastAsia="Cambria" w:cs="Times New Roman"/>
          <w:color w:val="1B1B1B"/>
          <w:sz w:val="24"/>
          <w:shd w:val="clear" w:color="auto" w:fill="FFFFFF"/>
        </w:rPr>
        <w:t>ammonium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;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BC: </w:t>
      </w:r>
      <w:r>
        <w:rPr>
          <w:rFonts w:ascii="Times New Roman" w:hAnsi="Times New Roman" w:eastAsia="Cambria" w:cs="Times New Roman"/>
          <w:color w:val="1B1B1B"/>
          <w:sz w:val="24"/>
          <w:shd w:val="clear" w:color="auto" w:fill="FFFFFF"/>
        </w:rPr>
        <w:t>black carbon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>. All the above models were adjusted according to the age of the mother,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 xml:space="preserve"> g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ravidity, 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parity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>,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 xml:space="preserve"> neonatal gender, gestational age, 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  <w:lang w:val="en-US" w:eastAsia="zh-CN"/>
        </w:rPr>
        <w:t>conception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 xml:space="preserve"> season and temperature</w:t>
      </w:r>
    </w:p>
    <w:bookmarkEnd w:id="2"/>
    <w:p w14:paraId="14C8F65C">
      <w:pPr>
        <w:rPr>
          <w:rFonts w:hint="eastAsia" w:ascii="宋体" w:hAnsi="宋体" w:eastAsia="宋体" w:cs="宋体"/>
          <w:szCs w:val="21"/>
        </w:rPr>
      </w:pPr>
    </w:p>
    <w:p w14:paraId="7C9FF2DF">
      <w:pPr>
        <w:rPr>
          <w:rFonts w:hint="eastAsia" w:ascii="宋体" w:hAnsi="宋体" w:eastAsia="宋体" w:cs="宋体"/>
          <w:szCs w:val="21"/>
        </w:rPr>
      </w:pPr>
    </w:p>
    <w:p w14:paraId="1F3551D8">
      <w:pPr>
        <w:rPr>
          <w:rFonts w:hint="eastAsia" w:ascii="宋体" w:hAnsi="宋体" w:eastAsia="宋体" w:cs="宋体"/>
          <w:szCs w:val="21"/>
        </w:rPr>
      </w:pPr>
    </w:p>
    <w:p w14:paraId="5B91969F">
      <w:pPr>
        <w:rPr>
          <w:rFonts w:hint="eastAsia" w:ascii="宋体" w:hAnsi="宋体" w:eastAsia="宋体" w:cs="宋体"/>
          <w:szCs w:val="21"/>
        </w:rPr>
      </w:pPr>
    </w:p>
    <w:p w14:paraId="7B4C32B7">
      <w:pPr>
        <w:rPr>
          <w:rFonts w:hint="eastAsia" w:ascii="宋体" w:hAnsi="宋体" w:eastAsia="宋体" w:cs="宋体"/>
          <w:szCs w:val="21"/>
        </w:rPr>
      </w:pPr>
    </w:p>
    <w:p w14:paraId="35429855">
      <w:pPr>
        <w:rPr>
          <w:rFonts w:hint="eastAsia" w:ascii="宋体" w:hAnsi="宋体" w:eastAsia="宋体" w:cs="宋体"/>
          <w:szCs w:val="21"/>
        </w:rPr>
      </w:pPr>
    </w:p>
    <w:p w14:paraId="56DAC67A">
      <w:pPr>
        <w:widowControl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br w:type="page"/>
      </w:r>
    </w:p>
    <w:p w14:paraId="21FD08BE">
      <w:pPr>
        <w:rPr>
          <w:rFonts w:hint="eastAsia" w:ascii="宋体" w:hAnsi="宋体" w:eastAsia="宋体" w:cs="宋体"/>
          <w:szCs w:val="21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</w:p>
    <w:p w14:paraId="03453360">
      <w:pPr>
        <w:rPr>
          <w:rFonts w:hint="eastAsia" w:ascii="宋体" w:hAnsi="宋体" w:eastAsia="宋体" w:cs="宋体"/>
          <w:szCs w:val="21"/>
        </w:rPr>
      </w:pPr>
    </w:p>
    <w:p w14:paraId="10D08EE5">
      <w:pPr>
        <w:jc w:val="center"/>
        <w:rPr>
          <w:rFonts w:hint="eastAsia"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114300" distR="114300">
            <wp:extent cx="3456305" cy="2160270"/>
            <wp:effectExtent l="0" t="0" r="10795" b="11430"/>
            <wp:docPr id="1" name="图片 1" descr="wqs结果——三个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qs结果——三个月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9055">
      <w:pPr>
        <w:spacing w:line="480" w:lineRule="auto"/>
        <w:ind w:firstLine="480" w:firstLineChars="200"/>
        <w:jc w:val="center"/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>Fig.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 xml:space="preserve"> S1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</w:t>
      </w:r>
      <w:bookmarkStart w:id="3" w:name="OLE_LINK44"/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>The contribution weight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s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of the five main components of </w:t>
      </w:r>
      <w:r>
        <w:rPr>
          <w:rFonts w:ascii="Times New Roman" w:hAnsi="Times New Roman" w:eastAsia="宋体" w:cs="Times New Roman"/>
          <w:sz w:val="24"/>
        </w:rPr>
        <w:t>PM</w:t>
      </w:r>
      <w:r>
        <w:rPr>
          <w:rFonts w:ascii="Times New Roman" w:hAnsi="Times New Roman" w:eastAsia="宋体" w:cs="Times New Roman"/>
          <w:sz w:val="24"/>
          <w:vertAlign w:val="subscript"/>
        </w:rPr>
        <w:t>2.5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to the 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>overall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 xml:space="preserve"> effect </w:t>
      </w:r>
      <w:r>
        <w:rPr>
          <w:rFonts w:hint="eastAsia" w:ascii="Times New Roman" w:hAnsi="Times New Roman" w:eastAsia="宋体" w:cs="Times New Roman"/>
          <w:color w:val="1B1B1B"/>
          <w:sz w:val="24"/>
          <w:shd w:val="clear" w:color="auto" w:fill="FFFFFF"/>
        </w:rPr>
        <w:t xml:space="preserve">on </w:t>
      </w:r>
      <w:r>
        <w:rPr>
          <w:rFonts w:ascii="Times New Roman" w:hAnsi="Times New Roman" w:eastAsia="宋体" w:cs="Times New Roman"/>
          <w:color w:val="1B1B1B"/>
          <w:sz w:val="24"/>
          <w:shd w:val="clear" w:color="auto" w:fill="FFFFFF"/>
        </w:rPr>
        <w:t>congenital heart disease.</w:t>
      </w:r>
    </w:p>
    <w:bookmarkEnd w:id="3"/>
    <w:p w14:paraId="12DBCCA5">
      <w:pPr>
        <w:rPr>
          <w:rFonts w:hint="eastAsia" w:ascii="宋体" w:hAnsi="宋体" w:eastAsia="宋体" w:cs="宋体"/>
          <w:szCs w:val="21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E306A7"/>
    <w:rsid w:val="000212BD"/>
    <w:rsid w:val="000744A8"/>
    <w:rsid w:val="002B25B2"/>
    <w:rsid w:val="00362D4F"/>
    <w:rsid w:val="00384F3A"/>
    <w:rsid w:val="0052489E"/>
    <w:rsid w:val="0052715E"/>
    <w:rsid w:val="00557ABB"/>
    <w:rsid w:val="005F6AD1"/>
    <w:rsid w:val="00740369"/>
    <w:rsid w:val="00812307"/>
    <w:rsid w:val="00843321"/>
    <w:rsid w:val="0089360A"/>
    <w:rsid w:val="008B38D6"/>
    <w:rsid w:val="00AB1CE8"/>
    <w:rsid w:val="00B41209"/>
    <w:rsid w:val="00B965DA"/>
    <w:rsid w:val="00C3696E"/>
    <w:rsid w:val="00CC3D47"/>
    <w:rsid w:val="00CC424F"/>
    <w:rsid w:val="00CF0433"/>
    <w:rsid w:val="00D76BBA"/>
    <w:rsid w:val="00E37886"/>
    <w:rsid w:val="00EC7716"/>
    <w:rsid w:val="00ED0013"/>
    <w:rsid w:val="00F57E52"/>
    <w:rsid w:val="00F908D6"/>
    <w:rsid w:val="00F933ED"/>
    <w:rsid w:val="01AA3877"/>
    <w:rsid w:val="03353615"/>
    <w:rsid w:val="09E611E0"/>
    <w:rsid w:val="0D196152"/>
    <w:rsid w:val="136B2BB4"/>
    <w:rsid w:val="16641EE6"/>
    <w:rsid w:val="169D0E72"/>
    <w:rsid w:val="17E85F39"/>
    <w:rsid w:val="1C1B7598"/>
    <w:rsid w:val="1DFB0BFC"/>
    <w:rsid w:val="210A4D3C"/>
    <w:rsid w:val="214D3189"/>
    <w:rsid w:val="291E4D83"/>
    <w:rsid w:val="2B2C2C81"/>
    <w:rsid w:val="2C274C0A"/>
    <w:rsid w:val="2FD53646"/>
    <w:rsid w:val="3461545F"/>
    <w:rsid w:val="38EF5D3E"/>
    <w:rsid w:val="4D286B5F"/>
    <w:rsid w:val="4F053BEB"/>
    <w:rsid w:val="50285660"/>
    <w:rsid w:val="5D610D6B"/>
    <w:rsid w:val="5DAD73E9"/>
    <w:rsid w:val="5F917D52"/>
    <w:rsid w:val="5FEB66AA"/>
    <w:rsid w:val="63DB2028"/>
    <w:rsid w:val="656E2909"/>
    <w:rsid w:val="67BC4358"/>
    <w:rsid w:val="67E306A7"/>
    <w:rsid w:val="690916B8"/>
    <w:rsid w:val="7A8A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en-US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正文文本 字符"/>
    <w:basedOn w:val="8"/>
    <w:link w:val="2"/>
    <w:qFormat/>
    <w:uiPriority w:val="1"/>
    <w:rPr>
      <w:rFonts w:eastAsia="Times New Roman"/>
      <w:lang w:eastAsia="en-US"/>
    </w:rPr>
  </w:style>
  <w:style w:type="paragraph" w:customStyle="1" w:styleId="12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2341</Characters>
  <Lines>190</Lines>
  <Paragraphs>206</Paragraphs>
  <TotalTime>3</TotalTime>
  <ScaleCrop>false</ScaleCrop>
  <LinksUpToDate>false</LinksUpToDate>
  <CharactersWithSpaces>2552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2025-10-08T14:38:00Z</dcterms:created>
  <dc:creator>苏培明</dc:creator>
  <cp:lastModifiedBy>thinktwice</cp:lastModifiedBy>
  <dcterms:modified xsi:type="dcterms:W3CDTF">2026-07-06T06:32:02Z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DA88A14DE6594C868D572F02D9B7257F_13</vt:lpwstr>
  </property>
  <property fmtid="{D5CDD505-2E9C-101B-9397-08002B2CF9AE}" pid="4" name="KSOTemplateDocerSaveRecord">
    <vt:lpwstr>eyJoZGlkIjoiMzgzZWZmMzFjZmJkNGYwZjFkNWM0N2JmM2JhZWM4ZWYiLCJ1c2VySWQiOiI0Nzc4NjgzNDkifQ==</vt:lpwstr>
  </property>
  <property fmtid="{D5CDD505-2E9C-101B-9397-08002B2CF9AE}" pid="5" name="GrammarlyDocumentId">
    <vt:lpwstr>d19929ce-2853-4325-8b1a-736ea1c5793a</vt:lpwstr>
  </property>
</Properties>
</file>