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09"/>
        <w:gridCol w:w="1325"/>
        <w:gridCol w:w="556"/>
        <w:gridCol w:w="1247"/>
        <w:gridCol w:w="1563"/>
        <w:gridCol w:w="4594"/>
        <w:gridCol w:w="2126"/>
        <w:gridCol w:w="2070"/>
      </w:tblGrid>
      <w:tr w:rsidR="00851CC4" w:rsidRPr="00BD690F" w:rsidTr="007168D7">
        <w:trPr>
          <w:trHeight w:val="416"/>
        </w:trPr>
        <w:tc>
          <w:tcPr>
            <w:tcW w:w="15390" w:type="dxa"/>
            <w:gridSpan w:val="8"/>
          </w:tcPr>
          <w:p w:rsidR="00851CC4" w:rsidRPr="00BD690F" w:rsidRDefault="00851C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Supplementary Table 1.</w:t>
            </w:r>
            <w:r w:rsidRPr="00BD690F">
              <w:rPr>
                <w:rFonts w:ascii="Times New Roman" w:hAnsi="Times New Roman" w:cs="Times New Roman"/>
                <w:color w:val="000000" w:themeColor="text1"/>
              </w:rPr>
              <w:t xml:space="preserve"> Characteristics of the Selected Randomized Controlled Trials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Author, year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Group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i/>
                <w:iCs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i/>
                <w:iCs/>
                <w:color w:val="000000"/>
              </w:rPr>
              <w:t>n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Age, mean (SD)</w:t>
            </w:r>
          </w:p>
        </w:tc>
        <w:tc>
          <w:tcPr>
            <w:tcW w:w="1563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Severity (</w:t>
            </w: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grading)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Intervention</w:t>
            </w:r>
          </w:p>
        </w:tc>
        <w:tc>
          <w:tcPr>
            <w:tcW w:w="212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Follow-up</w:t>
            </w:r>
          </w:p>
        </w:tc>
        <w:tc>
          <w:tcPr>
            <w:tcW w:w="2070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Measurement of disease severity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Abdoli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et al., 2021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19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40</w:t>
            </w:r>
          </w:p>
        </w:tc>
        <w:tc>
          <w:tcPr>
            <w:tcW w:w="1247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52.54 (11.45)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I–IV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0.9 mL of lidocaine + 1 mL of methylprednisolone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 weeks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43</w:t>
            </w:r>
          </w:p>
        </w:tc>
        <w:tc>
          <w:tcPr>
            <w:tcW w:w="1247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Atthakomol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et al., 2023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20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54 (12)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I–III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 mL of 1% lidocaine + 1 mL of triamcinolone acetonide (10 mg/mL)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52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MHQ</w:t>
            </w:r>
          </w:p>
        </w:tc>
      </w:tr>
      <w:tr w:rsidR="000C3E17" w:rsidRPr="00BD690F" w:rsidTr="000C3E17">
        <w:trPr>
          <w:trHeight w:val="96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SPL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43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56 (14)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A volar, hand-based, off-the-shelf splint applied to the affected finger at least 8 hours per day for 6 consecutive weeks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160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 + SPL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37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57 (10)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 mL of 1% lidocaine + 1 mL of triamcinolone acetonide (10 mg/mL) with a volar, hand-based, off-the-shelf splint applied to the affected finger at least 8 hours per day for 6 consecutive weeks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96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Callegari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et al., 2012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21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 + HAI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15</w:t>
            </w:r>
          </w:p>
        </w:tc>
        <w:tc>
          <w:tcPr>
            <w:tcW w:w="1247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52.5 (mean)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 and 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Methylprednisolone acetate (40 mg/mL) + 0.8 mL of lidocaine + 1 mL of 0.8% hyaluronic acid 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DASH</w:t>
            </w:r>
          </w:p>
        </w:tc>
      </w:tr>
      <w:tr w:rsidR="000C3E17" w:rsidRPr="00BD690F" w:rsidTr="000C3E17">
        <w:trPr>
          <w:trHeight w:val="128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15</w:t>
            </w:r>
          </w:p>
        </w:tc>
        <w:tc>
          <w:tcPr>
            <w:tcW w:w="1247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Chao et al., 2009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22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46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48 (27–65), mean (range)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III and V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 and 48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Pain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47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49 (28–72), mean (range)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 mL of triamcinolone acetonide (10 mg/mL)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96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Chen et al., 2021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23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HI-ESWT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56.2 (8.9)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Focused shockwaves with 1,500 impulses at an energy flux density of 0.01 </w:t>
            </w: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mJ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/mm</w:t>
            </w:r>
            <w:r w:rsidRPr="00BD690F">
              <w:rPr>
                <w:rFonts w:ascii="Times New Roman" w:eastAsia="微軟正黑體" w:hAnsi="Times New Roman" w:cs="Times New Roman"/>
                <w:color w:val="000000"/>
                <w:vertAlign w:val="superscript"/>
              </w:rPr>
              <w:t>2</w:t>
            </w: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(5.8 bar) once per week for 4 weeks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qDASH</w:t>
            </w:r>
            <w:proofErr w:type="spellEnd"/>
          </w:p>
        </w:tc>
      </w:tr>
      <w:tr w:rsidR="000C3E17" w:rsidRPr="00BD690F" w:rsidTr="000C3E17">
        <w:trPr>
          <w:trHeight w:val="96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MI-ESWT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55.6 (7.3)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1,500 impulses of focused shockwaves at an energy flux density of 0.006 </w:t>
            </w: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mJ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/mm</w:t>
            </w:r>
            <w:r w:rsidRPr="00BD690F">
              <w:rPr>
                <w:rFonts w:ascii="Times New Roman" w:eastAsia="微軟正黑體" w:hAnsi="Times New Roman" w:cs="Times New Roman"/>
                <w:color w:val="000000"/>
                <w:vertAlign w:val="superscript"/>
              </w:rPr>
              <w:t>2</w:t>
            </w: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(3 bar) once per week for 4 weeks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Choi et al., 2025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24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HTP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38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61.0 (8.8)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 and 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Corticosteroid injection + hand therapy program twice per day for 8 weeks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38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63.1 (8.3)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Corticosteroid injection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Dierks et al., 2008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25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16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64 (13)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N/A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Pain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62 (10)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Guillermo et al., 2023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35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42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60.1 (33–86), mean (range)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III (</w:t>
            </w: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Froimson’s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classification)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48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qDASH</w:t>
            </w:r>
            <w:proofErr w:type="spellEnd"/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42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60.4 (32–83), mean (range)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Jami et al., 2020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26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42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53 (7)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I–III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Methylprednisolone injection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48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NSAIDsI</w:t>
            </w:r>
            <w:proofErr w:type="spellEnd"/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42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52 (9)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Diclofenac injection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96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Jegal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et al., 2018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27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 + CI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45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58 (7.6)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III–VI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 + 0.5 mL of 40 mg/mL triamcinolone acetonide injection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Modified </w:t>
            </w: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46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58 (7.4)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Kanchanathepsak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et al., 2020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28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33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54.7 (11.0)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I–III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 mL of triamcinolone acetate (10 mg/mL)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HAI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33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58.3 (11.2)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1 ml of low-molecular-weight hyaluronic acid 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Kwang et al., 2018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29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17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52.4 (11.4)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II–IV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DASH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15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53.1 (9.22)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Lan et al., 2023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30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42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53.24 (12.87)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II–IV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51.58 (13.74)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Leow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et al., 2018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31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62</w:t>
            </w:r>
          </w:p>
        </w:tc>
        <w:tc>
          <w:tcPr>
            <w:tcW w:w="1247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60 (44–87), mean (range)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I–III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0.5 mL of triamcinolone acetonide (10 mg/mL) + 0.5 mL of 1% lidocaine (10 mg/mL)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NSAIDsI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+ LI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59</w:t>
            </w:r>
          </w:p>
        </w:tc>
        <w:tc>
          <w:tcPr>
            <w:tcW w:w="1247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0.5 mL of ketorolac trometamol (30 mg/mL) + 0.5 mL of 1% lidocaine (10 mg/mL)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Liu et al., 2015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32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17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65.8 (11.8)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≥I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 mL of 10 mg/mL triamcinolone acetonide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MHQ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HAI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19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60.4 (13.6)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1 mL of hyaluronic acid 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96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Nadar et al., 2023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33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HTP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27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59.30 (7.21)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 and III (Green grade)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Hand therapy program (1 session of therapy per week for 6 consecutive weeks)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DASH</w:t>
            </w:r>
          </w:p>
        </w:tc>
      </w:tr>
      <w:tr w:rsidR="000C3E17" w:rsidRPr="00BD690F" w:rsidTr="000C3E17">
        <w:trPr>
          <w:trHeight w:val="96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HTP + SPL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28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60.68 (5.98)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A PIP joint splint + hand therapy program (1 session of therapy per week for 6 consecutive weeks)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Ranjeet et al., 2018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34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28</w:t>
            </w:r>
          </w:p>
        </w:tc>
        <w:tc>
          <w:tcPr>
            <w:tcW w:w="1247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55.8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II–IV (Green grade)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8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Pain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28</w:t>
            </w:r>
          </w:p>
        </w:tc>
        <w:tc>
          <w:tcPr>
            <w:tcW w:w="1247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lastRenderedPageBreak/>
              <w:t>Saito et al., 2023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36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 + HTP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28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65.1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I–III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 + hand therapy program within a week of the procedure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DASH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29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67.8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Salim et al., 2011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37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HTP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35</w:t>
            </w:r>
          </w:p>
        </w:tc>
        <w:tc>
          <w:tcPr>
            <w:tcW w:w="1247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58.9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&lt;III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10 sessions of hand therapy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Pain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39</w:t>
            </w:r>
          </w:p>
        </w:tc>
        <w:tc>
          <w:tcPr>
            <w:tcW w:w="1247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 mL of triamcinolone acetonide + 1 mL of 2% lidocaine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Shakeel et al., 2012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38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57 (40–71), mean (range)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II–IV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0.5 mL of triamcinolone acetonide (20 mg)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NSAIDsI</w:t>
            </w:r>
            <w:proofErr w:type="spellEnd"/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58 (40–75), mean (range)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0.5 mL of diclofenac sodium (12.5 mg)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Tajik et al., 2022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39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41.3 (7.4) 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N/A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40 mg of methylprednisolone + 0.5 mL of lidocaine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Pain</w:t>
            </w: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 + SPL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41.7 (7.8) 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40 mg of methylprednisolone + 0.5 mL of lidocaine + splint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Xie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et al., 2019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40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46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45.38 (10.77)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≥II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Quinnell</w:t>
            </w:r>
            <w:proofErr w:type="spellEnd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 grading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OS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43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47.44 (11.83) 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Open A1 pulley release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Yang et al., 2019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41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35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64 (4.6)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 and III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 xml:space="preserve">Range of motion of the PIP joint </w:t>
            </w:r>
          </w:p>
        </w:tc>
      </w:tr>
      <w:tr w:rsidR="000C3E17" w:rsidRPr="00BD690F" w:rsidTr="000C3E17">
        <w:trPr>
          <w:trHeight w:val="32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PR + SPL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30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63.7 (5.8)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Percutaneous A1 pulley release + splint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0C3E17" w:rsidRPr="00BD690F" w:rsidTr="000C3E17">
        <w:trPr>
          <w:trHeight w:val="640"/>
        </w:trPr>
        <w:tc>
          <w:tcPr>
            <w:tcW w:w="1909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Yildirim et al., 2016</w:t>
            </w:r>
            <w:r w:rsidRPr="00BD690F">
              <w:rPr>
                <w:rFonts w:ascii="Times New Roman" w:eastAsia="微軟正黑體" w:hAnsi="Times New Roman" w:cs="Times New Roman"/>
                <w:noProof/>
                <w:color w:val="000000"/>
                <w:vertAlign w:val="superscript"/>
              </w:rPr>
              <w:t>42</w:t>
            </w: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CI + LI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54 (9)</w:t>
            </w:r>
          </w:p>
        </w:tc>
        <w:tc>
          <w:tcPr>
            <w:tcW w:w="1563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II</w:t>
            </w: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0.5 mL of betamethasone + 0.5 mL of 2% lidocaine</w:t>
            </w:r>
          </w:p>
        </w:tc>
        <w:tc>
          <w:tcPr>
            <w:tcW w:w="2126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12 and 24 weeks after the intervention</w:t>
            </w:r>
          </w:p>
        </w:tc>
        <w:tc>
          <w:tcPr>
            <w:tcW w:w="2070" w:type="dxa"/>
            <w:vMerge w:val="restart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proofErr w:type="spellStart"/>
            <w:r w:rsidRPr="00BD690F">
              <w:rPr>
                <w:rFonts w:ascii="Times New Roman" w:eastAsia="微軟正黑體" w:hAnsi="Times New Roman" w:cs="Times New Roman"/>
                <w:color w:val="000000"/>
              </w:rPr>
              <w:t>qDASH</w:t>
            </w:r>
            <w:proofErr w:type="spellEnd"/>
          </w:p>
        </w:tc>
      </w:tr>
      <w:tr w:rsidR="000C3E17" w:rsidRPr="00BD690F" w:rsidTr="000C3E17">
        <w:trPr>
          <w:trHeight w:val="1280"/>
        </w:trPr>
        <w:tc>
          <w:tcPr>
            <w:tcW w:w="1909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1325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MI-ESWT</w:t>
            </w:r>
          </w:p>
        </w:tc>
        <w:tc>
          <w:tcPr>
            <w:tcW w:w="556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20</w:t>
            </w:r>
          </w:p>
        </w:tc>
        <w:tc>
          <w:tcPr>
            <w:tcW w:w="1247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55 (8)</w:t>
            </w:r>
          </w:p>
        </w:tc>
        <w:tc>
          <w:tcPr>
            <w:tcW w:w="1563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4594" w:type="dxa"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  <w:r w:rsidRPr="00BD690F">
              <w:rPr>
                <w:rFonts w:ascii="Times New Roman" w:eastAsia="微軟正黑體" w:hAnsi="Times New Roman" w:cs="Times New Roman"/>
                <w:color w:val="000000"/>
              </w:rPr>
              <w:t>1,000 shocks at an energy flux density of 2.1 bar (frequency: 15 Hz) for 3 sessions (1-week interval between the sessions)</w:t>
            </w:r>
          </w:p>
        </w:tc>
        <w:tc>
          <w:tcPr>
            <w:tcW w:w="2126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  <w:tc>
          <w:tcPr>
            <w:tcW w:w="2070" w:type="dxa"/>
            <w:vMerge/>
            <w:hideMark/>
          </w:tcPr>
          <w:p w:rsidR="000C3E17" w:rsidRPr="00BD690F" w:rsidRDefault="000C3E17" w:rsidP="007168D7">
            <w:pPr>
              <w:rPr>
                <w:rFonts w:ascii="Times New Roman" w:eastAsia="微軟正黑體" w:hAnsi="Times New Roman" w:cs="Times New Roman"/>
                <w:color w:val="000000"/>
              </w:rPr>
            </w:pPr>
          </w:p>
        </w:tc>
      </w:tr>
      <w:tr w:rsidR="00851CC4" w:rsidRPr="00BD690F" w:rsidTr="007168D7">
        <w:trPr>
          <w:trHeight w:val="1280"/>
        </w:trPr>
        <w:tc>
          <w:tcPr>
            <w:tcW w:w="15390" w:type="dxa"/>
            <w:gridSpan w:val="8"/>
          </w:tcPr>
          <w:p w:rsidR="00851CC4" w:rsidRPr="00BD690F" w:rsidRDefault="00851CC4" w:rsidP="007168D7">
            <w:pPr>
              <w:pStyle w:val="af"/>
              <w:rPr>
                <w:rFonts w:cs="Times New Roman"/>
                <w:color w:val="000000" w:themeColor="text1"/>
              </w:rPr>
            </w:pPr>
            <w:r w:rsidRPr="00BD690F">
              <w:rPr>
                <w:rFonts w:cs="Times New Roman"/>
                <w:color w:val="000000" w:themeColor="text1"/>
              </w:rPr>
              <w:t xml:space="preserve">CI, corticosteroid injection; DASH, Disabilities of the Arm, Shoulder, and Hand; HAI, hyaluronic acid injection; HI-ESWT, high-intensity extracorporeal shockwave therapy; HTP, hand therapy program; LI, lidocaine injection; MHQ, Michigan Hand Outcomes Questionnaire; MI-ESWT, moderate-intensity extracorporeal shockwave therapy; N/A, not applicable; </w:t>
            </w:r>
            <w:proofErr w:type="spellStart"/>
            <w:r w:rsidRPr="00BD690F">
              <w:rPr>
                <w:rFonts w:cs="Times New Roman"/>
                <w:color w:val="000000" w:themeColor="text1"/>
              </w:rPr>
              <w:t>NSAIDsI</w:t>
            </w:r>
            <w:proofErr w:type="spellEnd"/>
            <w:r w:rsidRPr="00BD690F">
              <w:rPr>
                <w:rFonts w:cs="Times New Roman"/>
                <w:color w:val="000000" w:themeColor="text1"/>
              </w:rPr>
              <w:t xml:space="preserve">, NSAID injection; OS, open surgery; PIP, proximal interphalangeal; PR, percutaneous release; </w:t>
            </w:r>
            <w:proofErr w:type="spellStart"/>
            <w:r w:rsidRPr="00BD690F">
              <w:rPr>
                <w:rFonts w:cs="Times New Roman"/>
                <w:color w:val="000000" w:themeColor="text1"/>
              </w:rPr>
              <w:t>qDASH</w:t>
            </w:r>
            <w:proofErr w:type="spellEnd"/>
            <w:r w:rsidRPr="00BD690F">
              <w:rPr>
                <w:rFonts w:cs="Times New Roman"/>
                <w:color w:val="000000" w:themeColor="text1"/>
              </w:rPr>
              <w:t>, Quick Disabilities of the Arm, Shoulder, and Hand; RCT, randomized controlled trial; SD, standard deviation; SPL, splint.</w:t>
            </w:r>
          </w:p>
        </w:tc>
      </w:tr>
    </w:tbl>
    <w:p w:rsidR="00297C70" w:rsidRPr="00BD690F" w:rsidRDefault="00297C70" w:rsidP="00722AD8">
      <w:pPr>
        <w:rPr>
          <w:rFonts w:ascii="Times New Roman" w:hAnsi="Times New Roman" w:cs="Times New Roman"/>
        </w:rPr>
      </w:pPr>
    </w:p>
    <w:p w:rsidR="00297C70" w:rsidRPr="00BD690F" w:rsidRDefault="00297C70">
      <w:pPr>
        <w:spacing w:after="160" w:line="278" w:lineRule="auto"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</w:rPr>
        <w:br w:type="page"/>
      </w:r>
    </w:p>
    <w:p w:rsidR="00722AD8" w:rsidRPr="00BD690F" w:rsidRDefault="00722AD8" w:rsidP="00722AD8">
      <w:pPr>
        <w:rPr>
          <w:rFonts w:ascii="Times New Roman" w:hAnsi="Times New Roman"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62"/>
        <w:gridCol w:w="1062"/>
        <w:gridCol w:w="106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62"/>
        <w:gridCol w:w="1008"/>
        <w:gridCol w:w="1008"/>
        <w:gridCol w:w="1062"/>
      </w:tblGrid>
      <w:tr w:rsidR="00297C70" w:rsidRPr="00BD690F" w:rsidTr="0016455C">
        <w:trPr>
          <w:trHeight w:val="405"/>
        </w:trPr>
        <w:tc>
          <w:tcPr>
            <w:tcW w:w="0" w:type="auto"/>
            <w:gridSpan w:val="15"/>
            <w:noWrap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FF0000"/>
              </w:rPr>
              <w:t>Supplementary Table 2.</w:t>
            </w:r>
            <w:r w:rsidRPr="00BD690F">
              <w:rPr>
                <w:rFonts w:ascii="Times New Roman" w:hAnsi="Times New Roman" w:cs="Times New Roman"/>
                <w:color w:val="000000"/>
              </w:rPr>
              <w:t xml:space="preserve"> Network Meta-Analysis Results for Disease Severity Associated </w:t>
            </w:r>
            <w:proofErr w:type="gramStart"/>
            <w:r w:rsidRPr="00BD690F">
              <w:rPr>
                <w:rFonts w:ascii="Times New Roman" w:hAnsi="Times New Roman" w:cs="Times New Roman"/>
                <w:color w:val="000000"/>
              </w:rPr>
              <w:t>With</w:t>
            </w:r>
            <w:proofErr w:type="gramEnd"/>
            <w:r w:rsidRPr="00BD690F">
              <w:rPr>
                <w:rFonts w:ascii="Times New Roman" w:hAnsi="Times New Roman" w:cs="Times New Roman"/>
                <w:color w:val="000000"/>
              </w:rPr>
              <w:t xml:space="preserve"> Different Interventions in the Short-Term Assessment</w:t>
            </w:r>
          </w:p>
        </w:tc>
      </w:tr>
      <w:tr w:rsidR="00297C70" w:rsidRPr="00BD690F" w:rsidTr="0016455C">
        <w:trPr>
          <w:trHeight w:val="405"/>
        </w:trPr>
        <w:tc>
          <w:tcPr>
            <w:tcW w:w="0" w:type="auto"/>
            <w:gridSpan w:val="15"/>
            <w:noWrap/>
          </w:tcPr>
          <w:p w:rsidR="00297C70" w:rsidRPr="00BD690F" w:rsidRDefault="00297C70" w:rsidP="001645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Pairwise meta-analysis</w:t>
            </w:r>
          </w:p>
        </w:tc>
      </w:tr>
      <w:tr w:rsidR="00297C70" w:rsidRPr="00BD690F" w:rsidTr="0016455C">
        <w:trPr>
          <w:trHeight w:val="405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CI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−0.68 [−2.18; 0.81]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−1.29 [−2.76; 0.18]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−2.82 [−4.93; −0.71]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−0.74 [−3.73; 2.25]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PRSPL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−2.08 [−4.20; 0.04]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−0.68 [−2.18; 0.81]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 [−3.28; 3.40]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HAI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−1.29 [−2.76; 0.18]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−0.55 [−3.88; 2.78]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−0.61 [−2.71; 1.49]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NSAIDsI</w:t>
            </w:r>
            <w:proofErr w:type="spellEnd"/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−1.67 [−4.98; 1.64]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−0.93 [−4.25; 2.38]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−0.99 [−4.62; 2.64]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−0.38 [−4.00; 3.24]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CILISPL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−0.57 [−2.04; 0.91]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−0.60 [−2.68; 1.48]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−2.10 [−6.31; 2.12]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−1.36 [−5.58; 2.87]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−1.41 [−5.89; 3.06]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−0.81 [−5.27; 3.66]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−0.42 [−3.77; 2.92]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HIESWT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−0.05 [−2.17; 2.07]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−2.14 [−5.79; 1.50]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−1.40 [−5.05; 2.24]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−1.46 [−5.40; 2.48]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−0.85 [−4.78; 3.08]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−0.47 [−3.06; 2.11]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−0.05 [−2.17; 2.07]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MIESWT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−0.09 [−2.22; 2.03]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−2.24 [−5.20; 0.72]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−1.50 [−4.46; 1.47]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−1.56 [−4.87; 1.76]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−0.95 [−4.25; 2.36]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−0.57 [−2.04; 0.91]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−0.14 [−3.14; 2.86]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−0.09 [−2.22; 2.03]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CILI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−0.53 [−2.61; 1.54]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−0.58 [−2.66; 1.49]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−1.14 [−3.22; 0.95]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−1.21 [−3.28; 0.85]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−2.40 [−6.59; 1.79]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−1.66 [−5.85; 2.54]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−1.72 [−6.17; 2.73]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−1.11 [−5.55; 3.33]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−0.73 [−4.04; 2.59]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−0.30 [−4.52; 3.92]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−0.25 [−3.90; 3.39]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−0.16 [−3.13; 2.81]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HTPSPL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−0.97 [−3.08; 1.13]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−2.51 [−5.46; 0.45]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−1.77 [−4.73; 1.20]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−1.82 [−5.14; 1.49]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−1.22 [−4.52; 2.09]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−0.83 [−4.12; 2.45]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−0.41 [−4.61; 3.79]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−0.36 [−3.98; 3.26]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−0.27 [−3.20; 2.67]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−0.11 [−4.28; 4.06]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PRCI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−0.31 [−2.39; 1.76]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−2.52 [−6.06; 1.02]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−1.78 [−5.33; 1.77]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−1.84 [−5.68; 2.01]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−1.23 [−5.07; 2.60]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−0.85 [−2.80; 1.09]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−0.43 [−4.00; 3.15]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−0.38 [−3.26; 2.50]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−0.28 [−2.23; 1.66]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−0.12 [−3.67; 3.42]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−0.02 [−3.54; 3.50]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SPL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−2.82 [−4.93; −0.71]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−2.08 [−4.20; 0.04]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−2.14 [−4.72; 0.45]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−1.53 [−4.10; 1.04]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−1.15 [−3.70; 1.40]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−0.72 [−4.38; 2.93]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−0.68 [−3.65; 2.29]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−0.58 [−2.66; 1.49]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−0.42 [−4.04; 3.20]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−0.31 [−2.39; 1.76]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−0.30 [−3.14; 2.55]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−0.99 [−1.86; −0.13]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−3.37 [−7.00; 0.25]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−2.63 [−6.26; 1.00]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−2.69 [−6.61; 1.23]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−2.08 [−5.99; 1.83]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−1.70 [−4.26; 0.86]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−1.28 [−4.93; 2.38]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−1.23 [−4.21; 1.75]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−1.14 [−3.22; 0.95]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−0.97 [−3.08; 1.13]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−0.87 [−4.47; 2.73]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−0.85 [−3.71; 2.00]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−0.55 [−3.50; 2.39]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HTP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−3.45 [−7.06; 0.16]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−2.71 [−6.33; 0.90]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−2.77 [−6.68; 1.14]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−2.16 [−6.06; 1.74]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−1.78 [−4.32; 0.76]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−1.36 [−5.00; 2.29]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−1.31 [−4.27; 1.65]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−1.21 [−3.28; 0.85]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−1.05 [−4.67; 2.56]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−0.95 [−4.54; 2.64]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−0.93 [−3.77; 1.91]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−0.63 [−3.56; 2.30]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−0.08 [−3.02; 2.86]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NSAIDsILI</w:t>
            </w:r>
            <w:proofErr w:type="spellEnd"/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−3.81 [−6.09; −1.53]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−3.07 [−5.36; −0.78]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−3.13 [−5.86; −0.40]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−2.52 [−5.24; 0.19]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−2.14 [−4.83; 0.55]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−1.72 [−5.47; 2.04]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−1.67 [−4.76; 1.42]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−1.57 [−3.82; 0.68]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−1.41 [−5.14; 2.31]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−1.31 [−3.55; 0.94]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−1.29 [−4.26; 1.68]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−0.99 [−1.86; −0.13]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−0.44 [−3.51; 2.63]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−0.36 [−3.42; 2.70]</w:t>
            </w:r>
          </w:p>
        </w:tc>
        <w:tc>
          <w:tcPr>
            <w:tcW w:w="0" w:type="auto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OS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gridSpan w:val="15"/>
            <w:noWrap/>
          </w:tcPr>
          <w:p w:rsidR="00297C70" w:rsidRPr="00BD690F" w:rsidRDefault="00297C70" w:rsidP="001645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Network meta-analysis</w:t>
            </w:r>
          </w:p>
        </w:tc>
      </w:tr>
      <w:tr w:rsidR="00297C70" w:rsidRPr="00BD690F" w:rsidTr="0016455C">
        <w:trPr>
          <w:trHeight w:val="400"/>
        </w:trPr>
        <w:tc>
          <w:tcPr>
            <w:tcW w:w="0" w:type="auto"/>
            <w:gridSpan w:val="15"/>
            <w:noWrap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690F">
              <w:rPr>
                <w:rFonts w:ascii="Times New Roman" w:hAnsi="Times New Roman" w:cs="Times New Roman"/>
                <w:color w:val="000000" w:themeColor="text1"/>
              </w:rPr>
              <w:t>Data are expressed as SMDs with 95% confidence intervals. Significant results are underlined. “—” means data not applicable.</w:t>
            </w:r>
          </w:p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 xml:space="preserve">CI, corticosteroid injection; HAI, hyaluronic acid injection; HIESWT, high-intensity extracorporeal shockwave therapy; HTP, hand therapy program; LI, lidocaine injection; MIESWT, moderate-intensity extracorporeal shockwave therapy; </w:t>
            </w:r>
            <w:proofErr w:type="spellStart"/>
            <w:r w:rsidRPr="00BD690F">
              <w:rPr>
                <w:rFonts w:ascii="Times New Roman" w:hAnsi="Times New Roman" w:cs="Times New Roman"/>
                <w:color w:val="000000"/>
              </w:rPr>
              <w:t>NSAIDsI</w:t>
            </w:r>
            <w:proofErr w:type="spellEnd"/>
            <w:r w:rsidRPr="00BD690F">
              <w:rPr>
                <w:rFonts w:ascii="Times New Roman" w:hAnsi="Times New Roman" w:cs="Times New Roman"/>
                <w:color w:val="000000"/>
              </w:rPr>
              <w:t>, NSAID injection; OS, open surgery; PR, percutaneous release; SPL, splint.</w:t>
            </w:r>
          </w:p>
        </w:tc>
      </w:tr>
    </w:tbl>
    <w:p w:rsidR="00297C70" w:rsidRPr="00BD690F" w:rsidRDefault="00297C70" w:rsidP="00297C70">
      <w:pPr>
        <w:rPr>
          <w:rFonts w:ascii="Times New Roman" w:hAnsi="Times New Roman" w:cs="Times New Roman"/>
        </w:rPr>
      </w:pPr>
    </w:p>
    <w:p w:rsidR="00297C70" w:rsidRPr="00BD690F" w:rsidRDefault="00297C70">
      <w:pPr>
        <w:spacing w:after="160" w:line="278" w:lineRule="auto"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</w:rPr>
        <w:br w:type="page"/>
      </w:r>
    </w:p>
    <w:p w:rsidR="00297C70" w:rsidRPr="00BD690F" w:rsidRDefault="00297C70" w:rsidP="00297C70">
      <w:pPr>
        <w:rPr>
          <w:rFonts w:ascii="Times New Roman" w:hAnsi="Times New Roman" w:cs="Times New Roman"/>
        </w:rPr>
      </w:pPr>
    </w:p>
    <w:tbl>
      <w:tblPr>
        <w:tblStyle w:val="ae"/>
        <w:tblW w:w="15730" w:type="dxa"/>
        <w:tblLook w:val="04A0" w:firstRow="1" w:lastRow="0" w:firstColumn="1" w:lastColumn="0" w:noHBand="0" w:noVBand="1"/>
      </w:tblPr>
      <w:tblGrid>
        <w:gridCol w:w="1413"/>
        <w:gridCol w:w="1134"/>
        <w:gridCol w:w="1701"/>
        <w:gridCol w:w="1701"/>
        <w:gridCol w:w="1559"/>
        <w:gridCol w:w="1701"/>
        <w:gridCol w:w="1985"/>
        <w:gridCol w:w="1984"/>
        <w:gridCol w:w="2552"/>
      </w:tblGrid>
      <w:tr w:rsidR="00297C70" w:rsidRPr="00BD690F" w:rsidTr="0016455C">
        <w:trPr>
          <w:trHeight w:val="405"/>
        </w:trPr>
        <w:tc>
          <w:tcPr>
            <w:tcW w:w="15730" w:type="dxa"/>
            <w:gridSpan w:val="9"/>
            <w:noWrap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FF0000"/>
              </w:rPr>
              <w:t>Supplementary Table 3.</w:t>
            </w:r>
            <w:r w:rsidRPr="00BD690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BD690F">
              <w:rPr>
                <w:rFonts w:ascii="Times New Roman" w:hAnsi="Times New Roman" w:cs="Times New Roman"/>
                <w:color w:val="000000"/>
              </w:rPr>
              <w:t>Inconsistencies in Disease Severity Across Different Interventions in the Short-Term Assessment</w:t>
            </w:r>
          </w:p>
        </w:tc>
      </w:tr>
      <w:tr w:rsidR="00297C70" w:rsidRPr="00BD690F" w:rsidTr="0016455C">
        <w:trPr>
          <w:trHeight w:val="405"/>
        </w:trPr>
        <w:tc>
          <w:tcPr>
            <w:tcW w:w="141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Comparison</w:t>
            </w:r>
          </w:p>
        </w:tc>
        <w:tc>
          <w:tcPr>
            <w:tcW w:w="1134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Number of studies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Network meta-analysis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Direct comparison</w:t>
            </w:r>
          </w:p>
        </w:tc>
        <w:tc>
          <w:tcPr>
            <w:tcW w:w="1559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Indirect comparison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690F">
              <w:rPr>
                <w:rFonts w:ascii="Times New Roman" w:hAnsi="Times New Roman" w:cs="Times New Roman"/>
                <w:color w:val="000000" w:themeColor="text1"/>
              </w:rPr>
              <w:t>Difference between direct and indirect comparisons</w:t>
            </w:r>
          </w:p>
        </w:tc>
        <w:tc>
          <w:tcPr>
            <w:tcW w:w="1985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690F">
              <w:rPr>
                <w:rFonts w:ascii="Times New Roman" w:hAnsi="Times New Roman" w:cs="Times New Roman"/>
                <w:color w:val="000000" w:themeColor="text1"/>
              </w:rPr>
              <w:t>Lower limit of 95% confidence interval</w:t>
            </w:r>
          </w:p>
        </w:tc>
        <w:tc>
          <w:tcPr>
            <w:tcW w:w="1984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690F">
              <w:rPr>
                <w:rFonts w:ascii="Times New Roman" w:hAnsi="Times New Roman" w:cs="Times New Roman"/>
                <w:color w:val="000000" w:themeColor="text1"/>
              </w:rPr>
              <w:t>Upper limit of 95% confidence interval</w:t>
            </w:r>
          </w:p>
        </w:tc>
        <w:tc>
          <w:tcPr>
            <w:tcW w:w="2552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690F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  <w:r w:rsidRPr="00BD690F">
              <w:rPr>
                <w:rFonts w:ascii="Times New Roman" w:hAnsi="Times New Roman" w:cs="Times New Roman"/>
                <w:color w:val="000000" w:themeColor="text1"/>
              </w:rPr>
              <w:t xml:space="preserve"> value</w:t>
            </w:r>
          </w:p>
        </w:tc>
      </w:tr>
      <w:tr w:rsidR="00297C70" w:rsidRPr="00BD690F" w:rsidTr="0016455C">
        <w:trPr>
          <w:trHeight w:val="400"/>
        </w:trPr>
        <w:tc>
          <w:tcPr>
            <w:tcW w:w="141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CILI: SPL</w:t>
            </w:r>
          </w:p>
        </w:tc>
        <w:tc>
          <w:tcPr>
            <w:tcW w:w="1134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</w:t>
            </w: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</w:t>
            </w: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559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</w:t>
            </w: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</w:t>
            </w:r>
          </w:p>
        </w:tc>
        <w:tc>
          <w:tcPr>
            <w:tcW w:w="1985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</w:t>
            </w: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7.93</w:t>
            </w:r>
          </w:p>
        </w:tc>
        <w:tc>
          <w:tcPr>
            <w:tcW w:w="1984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3.89</w:t>
            </w:r>
          </w:p>
        </w:tc>
        <w:tc>
          <w:tcPr>
            <w:tcW w:w="2552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</w:tr>
      <w:tr w:rsidR="00297C70" w:rsidRPr="00BD690F" w:rsidTr="0016455C">
        <w:trPr>
          <w:trHeight w:val="400"/>
        </w:trPr>
        <w:tc>
          <w:tcPr>
            <w:tcW w:w="141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CILISPL: SPL</w:t>
            </w:r>
          </w:p>
        </w:tc>
        <w:tc>
          <w:tcPr>
            <w:tcW w:w="1134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</w:t>
            </w: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</w:t>
            </w: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559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</w:t>
            </w: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1701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</w:t>
            </w:r>
          </w:p>
        </w:tc>
        <w:tc>
          <w:tcPr>
            <w:tcW w:w="1985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</w:t>
            </w: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1984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7.92</w:t>
            </w:r>
          </w:p>
        </w:tc>
        <w:tc>
          <w:tcPr>
            <w:tcW w:w="2552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</w:tr>
      <w:tr w:rsidR="00297C70" w:rsidRPr="00BD690F" w:rsidTr="0016455C">
        <w:trPr>
          <w:trHeight w:val="400"/>
        </w:trPr>
        <w:tc>
          <w:tcPr>
            <w:tcW w:w="15730" w:type="dxa"/>
            <w:gridSpan w:val="9"/>
            <w:noWrap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CI, corticosteroid injection; LI, lidocaine injection; SPL, splint.</w:t>
            </w:r>
          </w:p>
        </w:tc>
      </w:tr>
    </w:tbl>
    <w:p w:rsidR="00297C70" w:rsidRPr="00BD690F" w:rsidRDefault="00297C70" w:rsidP="00297C70">
      <w:pPr>
        <w:spacing w:after="160" w:line="278" w:lineRule="auto"/>
        <w:rPr>
          <w:rFonts w:ascii="Times New Roman" w:hAnsi="Times New Roman" w:cs="Times New Roman"/>
        </w:rPr>
      </w:pPr>
    </w:p>
    <w:p w:rsidR="00297C70" w:rsidRPr="00BD690F" w:rsidRDefault="00297C70">
      <w:pPr>
        <w:spacing w:after="160" w:line="278" w:lineRule="auto"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</w:rPr>
        <w:br w:type="page"/>
      </w:r>
    </w:p>
    <w:p w:rsidR="00297C70" w:rsidRPr="00BD690F" w:rsidRDefault="00297C70" w:rsidP="00297C70">
      <w:pPr>
        <w:spacing w:after="160" w:line="278" w:lineRule="auto"/>
        <w:rPr>
          <w:rFonts w:ascii="Times New Roman" w:hAnsi="Times New Roman" w:cs="Times New Roman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047"/>
        <w:gridCol w:w="1046"/>
        <w:gridCol w:w="1046"/>
        <w:gridCol w:w="1046"/>
        <w:gridCol w:w="1046"/>
        <w:gridCol w:w="1046"/>
        <w:gridCol w:w="1046"/>
        <w:gridCol w:w="1003"/>
        <w:gridCol w:w="1003"/>
        <w:gridCol w:w="1003"/>
        <w:gridCol w:w="1003"/>
        <w:gridCol w:w="1046"/>
        <w:gridCol w:w="1003"/>
        <w:gridCol w:w="1003"/>
        <w:gridCol w:w="1003"/>
      </w:tblGrid>
      <w:tr w:rsidR="00297C70" w:rsidRPr="00BD690F" w:rsidTr="0016455C">
        <w:trPr>
          <w:trHeight w:val="405"/>
        </w:trPr>
        <w:tc>
          <w:tcPr>
            <w:tcW w:w="15390" w:type="dxa"/>
            <w:gridSpan w:val="15"/>
            <w:noWrap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FF0000"/>
              </w:rPr>
              <w:t>Supplementary Table 4.</w:t>
            </w:r>
            <w:r w:rsidRPr="00BD690F">
              <w:rPr>
                <w:rFonts w:ascii="Times New Roman" w:hAnsi="Times New Roman" w:cs="Times New Roman"/>
                <w:color w:val="000000"/>
              </w:rPr>
              <w:t xml:space="preserve"> Network Meta-Analysis Results for Disease Severity Associated with Different Interventions in the Long-Term Assessment</w:t>
            </w:r>
          </w:p>
        </w:tc>
      </w:tr>
      <w:tr w:rsidR="00297C70" w:rsidRPr="00BD690F" w:rsidTr="0016455C">
        <w:trPr>
          <w:trHeight w:val="405"/>
        </w:trPr>
        <w:tc>
          <w:tcPr>
            <w:tcW w:w="15390" w:type="dxa"/>
            <w:gridSpan w:val="15"/>
            <w:noWrap/>
          </w:tcPr>
          <w:p w:rsidR="00297C70" w:rsidRPr="00BD690F" w:rsidRDefault="00297C70" w:rsidP="001645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Pairwise meta-analysis</w:t>
            </w:r>
          </w:p>
        </w:tc>
      </w:tr>
      <w:tr w:rsidR="00297C70" w:rsidRPr="00BD690F" w:rsidTr="0016455C">
        <w:trPr>
          <w:trHeight w:val="405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CI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−0.04 [−2.06; 1.97]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−0.14 [−2.16; 1.89]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−1.59 [−3.62; 0.43]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−3.49 [−5.56; −1.43]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−0.04 [−2.06; 1.97]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CIHTP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−0.14 [−2.16; 1.89]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−0.09 [−2.95; 2.76]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HAI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−0.81 [−3.74; 2.12]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−0.76 [−4.32; 2.79]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−0.67 [−4.23; 2.89]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PRSPL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−2.69 [−4.76; −0.61]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−1.59 [−3.62; 0.43]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−1.55 [−4.41; 1.31]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−1.45 [−4.32; 1.41]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−0.78 [−4.35; 2.78]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NSAIDsI</w:t>
            </w:r>
            <w:proofErr w:type="spellEnd"/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−2.28 [−5.38; 0.82]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−2.24 [−5.94; 1.46]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−2.15 [−5.85; 1.56]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−1.48 [−4.58; 1.63]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−0.69 [−4.39; 3.01]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OSHTP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−2.20 [−4.28; −0.13]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−3.49 [−5.56; −1.43]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−3.45 [−6.34; −0.56]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−3.36 [−6.25; −0.46]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−2.69 [−4.76; −0.61]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−1.90 [−4.80; 0.99]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−1.21 [−3.52; 1.10]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−0.94 [−2.96; 1.07]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−0.99 [−2.01; 0.03]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−3.60 [−7.70; 0.51]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−3.55 [−8.13; 1.02]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−3.46 [−8.04; 1.12]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−2.79 [−6.90; 1.32]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−2.01 [−6.58; 2.57]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−1.31 [−5.55; 2.92]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−0.10 [−3.65; 3.44]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HIESWT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−0.65 [−2.72; 1.41]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lastRenderedPageBreak/>
              <w:t>−4.29 [−7.81; −0.77]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−4.25 [−8.31; −0.19]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−4.16 [−8.22; −0.09]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−3.49 [−7.01; 0.04]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−2.70 [−6.76; 1.36]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−2.01 [−5.68; 1.66]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−0.80 [−3.65; 2.05]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−0.70 [−4.24; 2.85]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CILISPL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−0.14 [−2.16; 1.87]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−0.48 [−2.49; 1.54]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−4.25 [−7.80; −0.70]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−4.21 [−8.29; −0.13]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−4.11 [−8.20; −0.03]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−3.44 [−7.00; 0.11]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−2.66 [−6.74; 1.43]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−1.97 [−5.66; 1.73]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−0.76 [−3.64; 2.13]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−0.65 [−2.72; 1.41]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 [−2.84; 2.93]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MIESWT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−0.19 [−2.25; 1.88]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−4.44 [−7.32; −1.55]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−4.39 [−7.92; −0.87]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−4.30 [−7.83; −0.77]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−3.63 [−6.52; −0.73]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−2.84 [−6.37; 0.68]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−2.15 [−5.22; 0.91]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−0.94 [−2.96; 1.07]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−0.84 [−3.76; 2.08]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−0.14 [−2.16; 1.87]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−0.19 [−2.25; 1.88]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CILI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−0.29 [−2.29; 1.71]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−0.33 [−2.35; 1.68]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−4.49 [−6.79; −2.18]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−4.44 [−7.51; −1.38]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−4.35 [−7.42; −1.28]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−3.68 [−5.99; −1.37]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−2.90 [−5.96; 0.17]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−2.20 [−4.28; −0.13]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−0.99 [−2.01; 0.03]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−0.89 [−4.58; 2.80]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−0.19 [−3.22; 2.83]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−0.24 [−3.30; 2.82]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−0.05 [−2.31; 2.21]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OS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−1.66 [−3.79; 0.47]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−4.73 [−8.24; −1.21]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−4.68 [−8.73; −0.63]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−4.59 [−8.64; −0.53]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−3.92 [−7.44; −0.40]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−3.13 [−7.19; 0.92]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−2.44 [−6.10; 1.22]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−1.23 [−4.07; 1.61]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−1.13 [−4.66; 2.41]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−0.43 [−3.27; 2.40]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−0.48 [−3.35; 2.39]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−0.29 [−2.29; 1.71]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−0.24 [−3.25; 2.78]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NSAIDsILI</w:t>
            </w:r>
            <w:proofErr w:type="spellEnd"/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−4.77 [−8.29; −1.25]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−4.73 [−8.78; −0.67]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−4.63 [−8.69; −0.57]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−3.96 [−7.49; −0.44]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−3.18 [−7.24; 0.88]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−2.49 [−6.15; 1.18]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−1.28 [−4.12; 1.57]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−1.17 [−4.72; 2.37]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−0.48 [−2.49; 1.54]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−0.52 [−3.40; 2.36]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−0.33 [−2.35; 1.68]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−0.28 [−3.31; 2.74]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−0.04 [−2.88; 2.79]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SPL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</w:tr>
      <w:tr w:rsidR="00297C70" w:rsidRPr="00BD690F" w:rsidTr="0016455C">
        <w:trPr>
          <w:trHeight w:val="400"/>
        </w:trPr>
        <w:tc>
          <w:tcPr>
            <w:tcW w:w="1047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−6.15 [−9.29; −3.01]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−6.11 [−9.84; −2.37]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−6.01 [−9.75; −2.27]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−5.34 [−8.49; −2.19]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−4.56 [−8.29; −0.82]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−3.87 [−6.84; −0.89]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</w:rPr>
              <w:t>−2.65 [−5.02; −0.29]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−2.55 [−6.81; 1.71]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−1.86 [−5.56; 1.85]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−1.90 [−5.63; 1.83]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−1.71 [−4.82; 1.40]</w:t>
            </w:r>
          </w:p>
        </w:tc>
        <w:tc>
          <w:tcPr>
            <w:tcW w:w="1046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−1.66 [−3.79; 0.47]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−1.42 [−5.12; 2.27]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−1.38 [−5.08; 2.32]</w:t>
            </w:r>
          </w:p>
        </w:tc>
        <w:tc>
          <w:tcPr>
            <w:tcW w:w="1003" w:type="dxa"/>
            <w:noWrap/>
            <w:hideMark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69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CILIHAI</w:t>
            </w:r>
          </w:p>
        </w:tc>
      </w:tr>
      <w:tr w:rsidR="00297C70" w:rsidRPr="00BD690F" w:rsidTr="0016455C">
        <w:trPr>
          <w:trHeight w:val="400"/>
        </w:trPr>
        <w:tc>
          <w:tcPr>
            <w:tcW w:w="15390" w:type="dxa"/>
            <w:gridSpan w:val="15"/>
            <w:noWrap/>
          </w:tcPr>
          <w:p w:rsidR="00297C70" w:rsidRPr="00BD690F" w:rsidRDefault="00297C70" w:rsidP="001645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>Network meta-analysis</w:t>
            </w:r>
          </w:p>
        </w:tc>
      </w:tr>
      <w:tr w:rsidR="00297C70" w:rsidRPr="00BD690F" w:rsidTr="0016455C">
        <w:trPr>
          <w:trHeight w:val="400"/>
        </w:trPr>
        <w:tc>
          <w:tcPr>
            <w:tcW w:w="15390" w:type="dxa"/>
            <w:gridSpan w:val="15"/>
            <w:noWrap/>
          </w:tcPr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690F">
              <w:rPr>
                <w:rFonts w:ascii="Times New Roman" w:hAnsi="Times New Roman" w:cs="Times New Roman"/>
                <w:color w:val="000000" w:themeColor="text1"/>
              </w:rPr>
              <w:t>Data are expressed as SMD with 95% confidence intervals. Significant results are underline. “—” means data not applicable.</w:t>
            </w:r>
          </w:p>
          <w:p w:rsidR="00297C70" w:rsidRPr="00BD690F" w:rsidRDefault="00297C70" w:rsidP="0016455C">
            <w:pPr>
              <w:rPr>
                <w:rFonts w:ascii="Times New Roman" w:hAnsi="Times New Roman" w:cs="Times New Roman"/>
                <w:color w:val="000000"/>
              </w:rPr>
            </w:pPr>
            <w:r w:rsidRPr="00BD690F">
              <w:rPr>
                <w:rFonts w:ascii="Times New Roman" w:hAnsi="Times New Roman" w:cs="Times New Roman"/>
                <w:color w:val="000000"/>
              </w:rPr>
              <w:t xml:space="preserve">CI, corticosteroid injection; HAI, hyaluronic acid injection; HIESWT, high-intensity extracorporeal shockwave therapy; HTP, hand therapy program; LI, lidocaine injection; MIESWT, moderate-intensity extracorporeal shockwave therapy; </w:t>
            </w:r>
            <w:proofErr w:type="spellStart"/>
            <w:r w:rsidRPr="00BD690F">
              <w:rPr>
                <w:rFonts w:ascii="Times New Roman" w:hAnsi="Times New Roman" w:cs="Times New Roman"/>
                <w:color w:val="000000"/>
              </w:rPr>
              <w:t>NSAIDsI</w:t>
            </w:r>
            <w:proofErr w:type="spellEnd"/>
            <w:r w:rsidRPr="00BD690F">
              <w:rPr>
                <w:rFonts w:ascii="Times New Roman" w:hAnsi="Times New Roman" w:cs="Times New Roman"/>
                <w:color w:val="000000"/>
              </w:rPr>
              <w:t>, NSAID injection; OS, open surgery; PR, percutaneous release; SPL, splint.</w:t>
            </w:r>
          </w:p>
        </w:tc>
      </w:tr>
    </w:tbl>
    <w:p w:rsidR="00297C70" w:rsidRPr="00BD690F" w:rsidRDefault="00297C70" w:rsidP="00297C70">
      <w:pPr>
        <w:spacing w:after="160" w:line="278" w:lineRule="auto"/>
        <w:rPr>
          <w:rFonts w:ascii="Times New Roman" w:hAnsi="Times New Roman" w:cs="Times New Roman"/>
        </w:rPr>
        <w:sectPr w:rsidR="00297C70" w:rsidRPr="00BD690F" w:rsidSect="00722AD8">
          <w:pgSz w:w="16840" w:h="11900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:rsidR="00851CC4" w:rsidRPr="00BD690F" w:rsidRDefault="00851CC4" w:rsidP="00851CC4">
      <w:pPr>
        <w:spacing w:line="480" w:lineRule="auto"/>
        <w:contextualSpacing/>
        <w:rPr>
          <w:rFonts w:ascii="Times New Roman" w:hAnsi="Times New Roman" w:cs="Times New Roman"/>
          <w:b/>
          <w:bCs/>
        </w:rPr>
      </w:pPr>
      <w:r w:rsidRPr="00BD690F">
        <w:rPr>
          <w:rFonts w:ascii="Times New Roman" w:hAnsi="Times New Roman" w:cs="Times New Roman"/>
          <w:b/>
          <w:bCs/>
        </w:rPr>
        <w:lastRenderedPageBreak/>
        <w:t>Supplementary Figure Legends</w:t>
      </w:r>
    </w:p>
    <w:p w:rsidR="00851CC4" w:rsidRPr="00BD690F" w:rsidRDefault="00851CC4" w:rsidP="00851CC4">
      <w:pPr>
        <w:spacing w:line="480" w:lineRule="auto"/>
        <w:contextualSpacing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  <w:b/>
          <w:bCs/>
        </w:rPr>
        <w:t>Supplementary Figure 1.</w:t>
      </w:r>
      <w:r w:rsidRPr="00BD690F">
        <w:rPr>
          <w:rFonts w:ascii="Times New Roman" w:hAnsi="Times New Roman" w:cs="Times New Roman"/>
        </w:rPr>
        <w:t xml:space="preserve"> Distribution of the probabilities of effectiveness for each intervention in the short-term assessment.</w:t>
      </w:r>
    </w:p>
    <w:p w:rsidR="00722AD8" w:rsidRPr="00BD690F" w:rsidRDefault="00851CC4" w:rsidP="00851CC4">
      <w:pPr>
        <w:spacing w:line="480" w:lineRule="auto"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  <w:b/>
          <w:bCs/>
        </w:rPr>
        <w:t>Supplementary Figure 2.</w:t>
      </w:r>
      <w:r w:rsidRPr="00BD690F">
        <w:rPr>
          <w:rFonts w:ascii="Times New Roman" w:hAnsi="Times New Roman" w:cs="Times New Roman"/>
        </w:rPr>
        <w:t xml:space="preserve"> Distribution of the probabilities of effectiveness for each intervention in the long-term assessment.</w:t>
      </w:r>
    </w:p>
    <w:p w:rsidR="006B6291" w:rsidRPr="00BD690F" w:rsidRDefault="006B6291" w:rsidP="00851CC4">
      <w:pPr>
        <w:spacing w:line="480" w:lineRule="auto"/>
        <w:rPr>
          <w:rFonts w:ascii="Times New Roman" w:hAnsi="Times New Roman" w:cs="Times New Roman"/>
          <w:color w:val="FF0000"/>
        </w:rPr>
      </w:pPr>
      <w:r w:rsidRPr="00BD690F">
        <w:rPr>
          <w:rFonts w:ascii="Times New Roman" w:hAnsi="Times New Roman" w:cs="Times New Roman"/>
          <w:b/>
          <w:bCs/>
          <w:color w:val="FF0000"/>
        </w:rPr>
        <w:t xml:space="preserve">Supplementary Figure 3. </w:t>
      </w:r>
      <w:r w:rsidRPr="00BD690F">
        <w:rPr>
          <w:rFonts w:ascii="Times New Roman" w:hAnsi="Times New Roman" w:cs="Times New Roman"/>
          <w:color w:val="FF0000"/>
        </w:rPr>
        <w:t>Comparison-adjusted funnel plot for the assessment of publication bias in the short-term disease severity network.</w:t>
      </w:r>
    </w:p>
    <w:p w:rsidR="006B6291" w:rsidRPr="00BD690F" w:rsidRDefault="006B6291" w:rsidP="00851CC4">
      <w:pPr>
        <w:spacing w:line="480" w:lineRule="auto"/>
        <w:rPr>
          <w:rFonts w:ascii="Times New Roman" w:hAnsi="Times New Roman" w:cs="Times New Roman"/>
        </w:rPr>
        <w:sectPr w:rsidR="006B6291" w:rsidRPr="00BD690F" w:rsidSect="008F30E7">
          <w:pgSz w:w="11900" w:h="16840"/>
          <w:pgMar w:top="1440" w:right="1800" w:bottom="1440" w:left="1800" w:header="851" w:footer="992" w:gutter="0"/>
          <w:cols w:space="425"/>
          <w:docGrid w:type="lines" w:linePitch="360"/>
        </w:sectPr>
      </w:pPr>
      <w:r w:rsidRPr="00BD690F">
        <w:rPr>
          <w:rFonts w:ascii="Times New Roman" w:hAnsi="Times New Roman" w:cs="Times New Roman"/>
          <w:b/>
          <w:bCs/>
          <w:color w:val="FF0000"/>
        </w:rPr>
        <w:t>Supplementary Figure 4.</w:t>
      </w:r>
      <w:r w:rsidRPr="00BD690F">
        <w:rPr>
          <w:rFonts w:ascii="Times New Roman" w:hAnsi="Times New Roman" w:cs="Times New Roman"/>
          <w:color w:val="FF0000"/>
        </w:rPr>
        <w:t xml:space="preserve"> Comparison-adjusted funnel plot for the assessment of publication bias in the long-term disease severity network.</w:t>
      </w:r>
    </w:p>
    <w:p w:rsidR="00722AD8" w:rsidRPr="00BD690F" w:rsidRDefault="00722AD8" w:rsidP="00722AD8">
      <w:pPr>
        <w:spacing w:line="480" w:lineRule="auto"/>
        <w:contextualSpacing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09F19A3" wp14:editId="62A74220">
            <wp:extent cx="5270500" cy="5270500"/>
            <wp:effectExtent l="0" t="0" r="0" b="0"/>
            <wp:docPr id="66377910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779102" name="圖片 66377910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CC4" w:rsidRPr="00BD690F" w:rsidRDefault="00851CC4" w:rsidP="00851CC4">
      <w:pPr>
        <w:spacing w:line="480" w:lineRule="auto"/>
        <w:contextualSpacing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  <w:b/>
          <w:bCs/>
        </w:rPr>
        <w:t>Supplementary Figure 1.</w:t>
      </w:r>
      <w:r w:rsidRPr="00BD690F">
        <w:rPr>
          <w:rFonts w:ascii="Times New Roman" w:hAnsi="Times New Roman" w:cs="Times New Roman"/>
        </w:rPr>
        <w:t xml:space="preserve"> Distribution of the probabilities of effectiveness for each intervention in the short-term assessment. CI, corticosteroid injection; HAI, hyaluronic acid injection; HIESWT, high-intensity extracorporeal shockwave therapy; HTP, hand therapy program; LI, lidocaine injection; MIESWT, moderate-intensity extracorporeal shockwave therapy; </w:t>
      </w:r>
      <w:proofErr w:type="spellStart"/>
      <w:r w:rsidRPr="00BD690F">
        <w:rPr>
          <w:rFonts w:ascii="Times New Roman" w:hAnsi="Times New Roman" w:cs="Times New Roman"/>
        </w:rPr>
        <w:t>NSAIDsI</w:t>
      </w:r>
      <w:proofErr w:type="spellEnd"/>
      <w:r w:rsidRPr="00BD690F">
        <w:rPr>
          <w:rFonts w:ascii="Times New Roman" w:hAnsi="Times New Roman" w:cs="Times New Roman"/>
        </w:rPr>
        <w:t>, NSAID injection; OS, open surgery; PR, percutaneous release; SPL, splint.</w:t>
      </w:r>
    </w:p>
    <w:p w:rsidR="00722AD8" w:rsidRPr="00BD690F" w:rsidRDefault="00722AD8" w:rsidP="00722AD8">
      <w:pPr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</w:rPr>
        <w:br w:type="page"/>
      </w:r>
    </w:p>
    <w:p w:rsidR="00722AD8" w:rsidRPr="00BD690F" w:rsidRDefault="00722AD8" w:rsidP="00722AD8">
      <w:pPr>
        <w:spacing w:line="480" w:lineRule="auto"/>
        <w:contextualSpacing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5A0C381" wp14:editId="43790BB2">
            <wp:extent cx="5270500" cy="5270500"/>
            <wp:effectExtent l="0" t="0" r="0" b="0"/>
            <wp:docPr id="1674335984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335984" name="圖片 167433598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CC4" w:rsidRPr="00BD690F" w:rsidRDefault="00851CC4" w:rsidP="00851CC4">
      <w:pPr>
        <w:spacing w:line="480" w:lineRule="auto"/>
        <w:contextualSpacing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  <w:b/>
          <w:bCs/>
        </w:rPr>
        <w:t>Supplementary Figure 2.</w:t>
      </w:r>
      <w:r w:rsidRPr="00BD690F">
        <w:rPr>
          <w:rFonts w:ascii="Times New Roman" w:hAnsi="Times New Roman" w:cs="Times New Roman"/>
        </w:rPr>
        <w:t xml:space="preserve"> Distribution of the probabilities of effectiveness for each intervention in the long-term assessment. CI, corticosteroid injection; HAI, hyaluronic acid injection; HIESWT, high-intensity extracorporeal shockwave therapy; HTP, hand therapy program; LI, lidocaine injection; MIESWT, moderate-intensity extracorporeal shockwave therapy; </w:t>
      </w:r>
      <w:proofErr w:type="spellStart"/>
      <w:r w:rsidRPr="00BD690F">
        <w:rPr>
          <w:rFonts w:ascii="Times New Roman" w:hAnsi="Times New Roman" w:cs="Times New Roman"/>
        </w:rPr>
        <w:t>NSAIDsI</w:t>
      </w:r>
      <w:proofErr w:type="spellEnd"/>
      <w:r w:rsidRPr="00BD690F">
        <w:rPr>
          <w:rFonts w:ascii="Times New Roman" w:hAnsi="Times New Roman" w:cs="Times New Roman"/>
        </w:rPr>
        <w:t>, NSAID injection; OS, open surgery; PR, percutaneous release; SPL, splint.</w:t>
      </w:r>
    </w:p>
    <w:p w:rsidR="006B6291" w:rsidRPr="00BD690F" w:rsidRDefault="006B6291">
      <w:pPr>
        <w:spacing w:after="160" w:line="278" w:lineRule="auto"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</w:rPr>
        <w:br w:type="page"/>
      </w:r>
    </w:p>
    <w:p w:rsidR="00722AD8" w:rsidRPr="00BD690F" w:rsidRDefault="006B6291" w:rsidP="006B6291">
      <w:pPr>
        <w:spacing w:line="480" w:lineRule="auto"/>
        <w:rPr>
          <w:rFonts w:ascii="Times New Roman" w:hAnsi="Times New Roman" w:cs="Times New Roman"/>
        </w:rPr>
      </w:pPr>
      <w:r w:rsidRPr="00BD690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CF9ABCA" wp14:editId="6FCA68DE">
            <wp:extent cx="5270500" cy="3580130"/>
            <wp:effectExtent l="0" t="0" r="0" b="1270"/>
            <wp:docPr id="15094043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404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291" w:rsidRPr="00BD690F" w:rsidRDefault="006B6291" w:rsidP="006B6291">
      <w:pPr>
        <w:spacing w:line="480" w:lineRule="auto"/>
        <w:rPr>
          <w:rFonts w:ascii="Times New Roman" w:hAnsi="Times New Roman" w:cs="Times New Roman"/>
          <w:color w:val="FF0000"/>
        </w:rPr>
      </w:pPr>
      <w:r w:rsidRPr="00BD690F">
        <w:rPr>
          <w:rFonts w:ascii="Times New Roman" w:hAnsi="Times New Roman" w:cs="Times New Roman"/>
          <w:b/>
          <w:bCs/>
          <w:color w:val="FF0000"/>
        </w:rPr>
        <w:t xml:space="preserve">Supplementary Figure 3. </w:t>
      </w:r>
      <w:r w:rsidRPr="00BD690F">
        <w:rPr>
          <w:rFonts w:ascii="Times New Roman" w:hAnsi="Times New Roman" w:cs="Times New Roman"/>
          <w:color w:val="FF0000"/>
        </w:rPr>
        <w:t>Comparison-adjusted funnel plot for the assessment of publication bias in the short-term disease severity network. The X-axis represents the standardized mean difference centered at the comparison-specific effect, and the Y-axis represents the standard error. The symmetrical distribution and Egger's test result (p = 0.1503) indicate a low risk of publication bias.</w:t>
      </w:r>
    </w:p>
    <w:p w:rsidR="006B6291" w:rsidRPr="00BD690F" w:rsidRDefault="006B6291" w:rsidP="006B6291">
      <w:pPr>
        <w:spacing w:after="160" w:line="480" w:lineRule="auto"/>
        <w:rPr>
          <w:rFonts w:ascii="Times New Roman" w:hAnsi="Times New Roman" w:cs="Times New Roman"/>
          <w:color w:val="FF0000"/>
        </w:rPr>
      </w:pPr>
      <w:r w:rsidRPr="00BD690F">
        <w:rPr>
          <w:rFonts w:ascii="Times New Roman" w:hAnsi="Times New Roman" w:cs="Times New Roman"/>
          <w:color w:val="FF0000"/>
        </w:rPr>
        <w:br w:type="page"/>
      </w:r>
    </w:p>
    <w:p w:rsidR="006B6291" w:rsidRPr="00BD690F" w:rsidRDefault="006B6291" w:rsidP="006B6291">
      <w:pPr>
        <w:spacing w:line="480" w:lineRule="auto"/>
        <w:rPr>
          <w:rFonts w:ascii="Times New Roman" w:hAnsi="Times New Roman" w:cs="Times New Roman"/>
          <w:color w:val="FF0000"/>
        </w:rPr>
      </w:pPr>
      <w:r w:rsidRPr="00BD690F"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64383327" wp14:editId="0A2DD756">
            <wp:extent cx="5270500" cy="3634105"/>
            <wp:effectExtent l="0" t="0" r="0" b="0"/>
            <wp:docPr id="19101411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411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291" w:rsidRPr="00BD690F" w:rsidRDefault="006B6291" w:rsidP="006B6291">
      <w:pPr>
        <w:spacing w:line="480" w:lineRule="auto"/>
        <w:rPr>
          <w:rFonts w:ascii="Times New Roman" w:hAnsi="Times New Roman" w:cs="Times New Roman"/>
          <w:color w:val="FF0000"/>
        </w:rPr>
      </w:pPr>
      <w:r w:rsidRPr="00BD690F">
        <w:rPr>
          <w:rFonts w:ascii="Times New Roman" w:hAnsi="Times New Roman" w:cs="Times New Roman"/>
          <w:b/>
          <w:bCs/>
          <w:color w:val="FF0000"/>
        </w:rPr>
        <w:t>Supplementary Figure 4.</w:t>
      </w:r>
      <w:r w:rsidRPr="00BD690F">
        <w:rPr>
          <w:rFonts w:ascii="Times New Roman" w:hAnsi="Times New Roman" w:cs="Times New Roman"/>
          <w:color w:val="FF0000"/>
        </w:rPr>
        <w:t xml:space="preserve"> Comparison-adjusted funnel plot for the assessment of publication bias in the long-term disease severity network. The X-axis represents the standardized mean difference centered at the comparison-specific effect, and the Y-axis represents the standard error. Egger's test (p = 0.5741) confirmed the absence of significant asymmetry.</w:t>
      </w:r>
    </w:p>
    <w:sectPr w:rsidR="006B6291" w:rsidRPr="00BD690F" w:rsidSect="008F30E7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EEA"/>
    <w:rsid w:val="00052CF1"/>
    <w:rsid w:val="000650BF"/>
    <w:rsid w:val="000B359D"/>
    <w:rsid w:val="000C3E17"/>
    <w:rsid w:val="0012597D"/>
    <w:rsid w:val="001444A3"/>
    <w:rsid w:val="001C4982"/>
    <w:rsid w:val="001D1D68"/>
    <w:rsid w:val="00257A42"/>
    <w:rsid w:val="00265B00"/>
    <w:rsid w:val="00280558"/>
    <w:rsid w:val="00297C70"/>
    <w:rsid w:val="002E3414"/>
    <w:rsid w:val="003052C8"/>
    <w:rsid w:val="00372853"/>
    <w:rsid w:val="00373BA8"/>
    <w:rsid w:val="003778FF"/>
    <w:rsid w:val="003B1BC5"/>
    <w:rsid w:val="003D54D8"/>
    <w:rsid w:val="00412559"/>
    <w:rsid w:val="0042381D"/>
    <w:rsid w:val="00496544"/>
    <w:rsid w:val="004B2803"/>
    <w:rsid w:val="004E2BF8"/>
    <w:rsid w:val="004F2800"/>
    <w:rsid w:val="00503359"/>
    <w:rsid w:val="005A4380"/>
    <w:rsid w:val="005B230A"/>
    <w:rsid w:val="006105A9"/>
    <w:rsid w:val="006277C9"/>
    <w:rsid w:val="00637044"/>
    <w:rsid w:val="00663F33"/>
    <w:rsid w:val="006B43FB"/>
    <w:rsid w:val="006B6291"/>
    <w:rsid w:val="006C7143"/>
    <w:rsid w:val="006D50FB"/>
    <w:rsid w:val="00722AD8"/>
    <w:rsid w:val="00725BDF"/>
    <w:rsid w:val="0077168A"/>
    <w:rsid w:val="007820B8"/>
    <w:rsid w:val="00794650"/>
    <w:rsid w:val="007C6EEA"/>
    <w:rsid w:val="007E6912"/>
    <w:rsid w:val="00804C05"/>
    <w:rsid w:val="00831AF8"/>
    <w:rsid w:val="00851CC4"/>
    <w:rsid w:val="008728D9"/>
    <w:rsid w:val="00883A86"/>
    <w:rsid w:val="008A04A9"/>
    <w:rsid w:val="008D185B"/>
    <w:rsid w:val="008F30E7"/>
    <w:rsid w:val="00913A33"/>
    <w:rsid w:val="009302DB"/>
    <w:rsid w:val="009966BD"/>
    <w:rsid w:val="009D6C1F"/>
    <w:rsid w:val="00A16C9D"/>
    <w:rsid w:val="00A56795"/>
    <w:rsid w:val="00A8230E"/>
    <w:rsid w:val="00AD4537"/>
    <w:rsid w:val="00AD56F6"/>
    <w:rsid w:val="00B05BDF"/>
    <w:rsid w:val="00B57A66"/>
    <w:rsid w:val="00B86A96"/>
    <w:rsid w:val="00BC46EA"/>
    <w:rsid w:val="00BD690F"/>
    <w:rsid w:val="00BF1EBC"/>
    <w:rsid w:val="00C15107"/>
    <w:rsid w:val="00C16843"/>
    <w:rsid w:val="00C82070"/>
    <w:rsid w:val="00CD49A3"/>
    <w:rsid w:val="00D10FDC"/>
    <w:rsid w:val="00D93B46"/>
    <w:rsid w:val="00DD11F8"/>
    <w:rsid w:val="00DD2A36"/>
    <w:rsid w:val="00DD335A"/>
    <w:rsid w:val="00DE4982"/>
    <w:rsid w:val="00E16EA1"/>
    <w:rsid w:val="00E6282E"/>
    <w:rsid w:val="00E74F0C"/>
    <w:rsid w:val="00EB7AC3"/>
    <w:rsid w:val="00EC57FC"/>
    <w:rsid w:val="00F25541"/>
    <w:rsid w:val="00F6626E"/>
    <w:rsid w:val="00F746D8"/>
    <w:rsid w:val="00FC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5BE45B-31FB-8448-8622-ED88B658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AD8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6EEA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EEA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EEA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EEA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EEA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EEA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EEA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EEA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EEA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C6E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C6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C6EE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C6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C6EE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C6EE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C6EE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C6EE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C6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6EE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7C6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6EEA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7C6E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6EEA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7C6E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6EEA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7C6E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6EE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7C6E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6EE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2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qFormat/>
    <w:rsid w:val="00722AD8"/>
    <w:pPr>
      <w:spacing w:after="0" w:line="240" w:lineRule="auto"/>
    </w:pPr>
    <w:rPr>
      <w:rFonts w:ascii="Times New Roman" w:eastAsia="微軟正黑體" w:hAnsi="Times New Roman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15</Pages>
  <Words>2350</Words>
  <Characters>13399</Characters>
  <Application>Microsoft Office Word</Application>
  <DocSecurity>0</DocSecurity>
  <Lines>111</Lines>
  <Paragraphs>31</Paragraphs>
  <ScaleCrop>false</ScaleCrop>
  <Company/>
  <LinksUpToDate>false</LinksUpToDate>
  <CharactersWithSpaces>15718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2025-03-24T12:39:00Z</dcterms:created>
  <dcterms:modified xsi:type="dcterms:W3CDTF">2026-01-15T12:38:00Z</dcterms:modified>
</cp:coreProperties>
</file>