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6A0B78" w14:textId="77777777" w:rsidR="007447EC" w:rsidRDefault="00000000">
      <w:pPr>
        <w:spacing w:after="120"/>
      </w:pPr>
      <w:r>
        <w:rPr>
          <w:b/>
          <w:bCs/>
          <w:sz w:val="22"/>
          <w:szCs w:val="22"/>
        </w:rPr>
        <w:t xml:space="preserve">Supplementary Table. </w:t>
      </w:r>
      <w:r>
        <w:rPr>
          <w:sz w:val="22"/>
          <w:szCs w:val="22"/>
        </w:rPr>
        <w:t>Measurement instruments used across the included studies: scoring systems, score ranges, and cut-offs.</w:t>
      </w:r>
    </w:p>
    <w:tbl>
      <w:tblPr>
        <w:tblW w:w="129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500"/>
        <w:gridCol w:w="1850"/>
        <w:gridCol w:w="900"/>
        <w:gridCol w:w="1700"/>
        <w:gridCol w:w="2150"/>
        <w:gridCol w:w="2960"/>
        <w:gridCol w:w="1900"/>
      </w:tblGrid>
      <w:tr w:rsidR="007447EC" w14:paraId="47F83616" w14:textId="77777777">
        <w:tblPrEx>
          <w:tblCellMar>
            <w:top w:w="0" w:type="dxa"/>
            <w:bottom w:w="0" w:type="dxa"/>
          </w:tblCellMar>
        </w:tblPrEx>
        <w:trPr>
          <w:tblHeader/>
        </w:trPr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246D676" w14:textId="77777777" w:rsidR="007447EC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Instrument (abbreviation)</w:t>
            </w:r>
          </w:p>
        </w:tc>
        <w:tc>
          <w:tcPr>
            <w:tcW w:w="185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29E1480" w14:textId="77777777" w:rsidR="007447EC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Construct measured</w:t>
            </w:r>
          </w:p>
        </w:tc>
        <w:tc>
          <w:tcPr>
            <w:tcW w:w="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857614" w14:textId="77777777" w:rsidR="007447EC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No. of items</w:t>
            </w:r>
          </w:p>
        </w:tc>
        <w:tc>
          <w:tcPr>
            <w:tcW w:w="1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C0FA652" w14:textId="77777777" w:rsidR="007447EC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Score range</w:t>
            </w:r>
          </w:p>
        </w:tc>
        <w:tc>
          <w:tcPr>
            <w:tcW w:w="215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F6C7573" w14:textId="77777777" w:rsidR="007447EC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Subscales / domains</w:t>
            </w:r>
          </w:p>
        </w:tc>
        <w:tc>
          <w:tcPr>
            <w:tcW w:w="2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EE29890" w14:textId="77777777" w:rsidR="007447EC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Scoring direction &amp; interpretation (cut-offs)</w:t>
            </w:r>
          </w:p>
        </w:tc>
        <w:tc>
          <w:tcPr>
            <w:tcW w:w="1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D9E2F3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603B9B5" w14:textId="77777777" w:rsidR="007447EC" w:rsidRDefault="00000000">
            <w:pPr>
              <w:jc w:val="center"/>
            </w:pPr>
            <w:r>
              <w:rPr>
                <w:b/>
                <w:bCs/>
                <w:sz w:val="16"/>
                <w:szCs w:val="16"/>
              </w:rPr>
              <w:t>Use in synthesis</w:t>
            </w:r>
          </w:p>
        </w:tc>
      </w:tr>
      <w:tr w:rsidR="007447EC" w14:paraId="3ADE6601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83FC1F6" w14:textId="77777777" w:rsidR="007447EC" w:rsidRDefault="00000000">
            <w:r>
              <w:rPr>
                <w:b/>
                <w:bCs/>
                <w:sz w:val="16"/>
                <w:szCs w:val="16"/>
              </w:rPr>
              <w:t>Menopause Rating Scale (MRS)</w:t>
            </w:r>
          </w:p>
        </w:tc>
        <w:tc>
          <w:tcPr>
            <w:tcW w:w="185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100B748" w14:textId="77777777" w:rsidR="007447EC" w:rsidRDefault="00000000">
            <w:r>
              <w:rPr>
                <w:sz w:val="16"/>
                <w:szCs w:val="16"/>
              </w:rPr>
              <w:t>Menopausal symptom burden / severity</w:t>
            </w:r>
          </w:p>
        </w:tc>
        <w:tc>
          <w:tcPr>
            <w:tcW w:w="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38438D8" w14:textId="77777777" w:rsidR="007447EC" w:rsidRDefault="00000000">
            <w:pPr>
              <w:jc w:val="center"/>
            </w:pPr>
            <w:r>
              <w:rPr>
                <w:sz w:val="16"/>
                <w:szCs w:val="16"/>
              </w:rPr>
              <w:t>11</w:t>
            </w:r>
          </w:p>
        </w:tc>
        <w:tc>
          <w:tcPr>
            <w:tcW w:w="1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285A1B1" w14:textId="77777777" w:rsidR="007447EC" w:rsidRDefault="00000000">
            <w:r>
              <w:rPr>
                <w:sz w:val="16"/>
                <w:szCs w:val="16"/>
              </w:rPr>
              <w:t>Total 0–44</w:t>
            </w:r>
          </w:p>
        </w:tc>
        <w:tc>
          <w:tcPr>
            <w:tcW w:w="215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B98DA71" w14:textId="77777777" w:rsidR="007447EC" w:rsidRDefault="00000000">
            <w:r>
              <w:rPr>
                <w:sz w:val="16"/>
                <w:szCs w:val="16"/>
              </w:rPr>
              <w:t>3 subscales: somatic (0–16), psychological (0–16), urogenital (0–12); each item scored 0–4</w:t>
            </w:r>
          </w:p>
        </w:tc>
        <w:tc>
          <w:tcPr>
            <w:tcW w:w="2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2010468" w14:textId="77777777" w:rsidR="007447EC" w:rsidRDefault="00000000">
            <w:r>
              <w:rPr>
                <w:sz w:val="16"/>
                <w:szCs w:val="16"/>
              </w:rPr>
              <w:t>Higher scores indicate greater symptom severity. Total-score severity bands: 0–4 none/minimal, 5–8 mild, 9–16 moderate, ≥ 17 severe.</w:t>
            </w:r>
          </w:p>
        </w:tc>
        <w:tc>
          <w:tcPr>
            <w:tcW w:w="1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C12DE13" w14:textId="77777777" w:rsidR="007447EC" w:rsidRDefault="00000000">
            <w:r>
              <w:rPr>
                <w:sz w:val="16"/>
                <w:szCs w:val="16"/>
              </w:rPr>
              <w:t>Pooled (primary quantitative synthesis of mean scores)</w:t>
            </w:r>
          </w:p>
        </w:tc>
      </w:tr>
      <w:tr w:rsidR="007447EC" w14:paraId="3AE249CD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0FC0BCF" w14:textId="77777777" w:rsidR="007447EC" w:rsidRDefault="00000000">
            <w:r>
              <w:rPr>
                <w:b/>
                <w:bCs/>
                <w:sz w:val="16"/>
                <w:szCs w:val="16"/>
              </w:rPr>
              <w:t>Menopause-Specific Quality of Life Questionnaire (MENQOL)</w:t>
            </w:r>
          </w:p>
        </w:tc>
        <w:tc>
          <w:tcPr>
            <w:tcW w:w="185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05DB6B3" w14:textId="77777777" w:rsidR="007447EC" w:rsidRDefault="00000000">
            <w:r>
              <w:rPr>
                <w:sz w:val="16"/>
                <w:szCs w:val="16"/>
              </w:rPr>
              <w:t>Menopause-specific health-related quality of life</w:t>
            </w:r>
          </w:p>
        </w:tc>
        <w:tc>
          <w:tcPr>
            <w:tcW w:w="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636DB35" w14:textId="77777777" w:rsidR="007447EC" w:rsidRDefault="00000000">
            <w:pPr>
              <w:jc w:val="center"/>
            </w:pPr>
            <w:r>
              <w:rPr>
                <w:sz w:val="16"/>
                <w:szCs w:val="16"/>
              </w:rPr>
              <w:t>29</w:t>
            </w:r>
          </w:p>
        </w:tc>
        <w:tc>
          <w:tcPr>
            <w:tcW w:w="1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1842798" w14:textId="77777777" w:rsidR="007447EC" w:rsidRDefault="00000000">
            <w:r>
              <w:rPr>
                <w:sz w:val="16"/>
                <w:szCs w:val="16"/>
              </w:rPr>
              <w:t>Domain mean scores 1–8 (converted)</w:t>
            </w:r>
          </w:p>
        </w:tc>
        <w:tc>
          <w:tcPr>
            <w:tcW w:w="215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5EFB38E" w14:textId="77777777" w:rsidR="007447EC" w:rsidRDefault="00000000">
            <w:r>
              <w:rPr>
                <w:sz w:val="16"/>
                <w:szCs w:val="16"/>
              </w:rPr>
              <w:t>4 domains: vasomotor, psychosocial, physical, sexual</w:t>
            </w:r>
          </w:p>
        </w:tc>
        <w:tc>
          <w:tcPr>
            <w:tcW w:w="2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7C8376A" w14:textId="77777777" w:rsidR="007447EC" w:rsidRDefault="00000000">
            <w:r>
              <w:rPr>
                <w:sz w:val="16"/>
                <w:szCs w:val="16"/>
              </w:rPr>
              <w:t>Higher scores indicate poorer menopause-specific quality of life. No universal severity cut-off.</w:t>
            </w:r>
          </w:p>
        </w:tc>
        <w:tc>
          <w:tcPr>
            <w:tcW w:w="1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702A0DE" w14:textId="77777777" w:rsidR="007447EC" w:rsidRDefault="00000000">
            <w:r>
              <w:rPr>
                <w:sz w:val="16"/>
                <w:szCs w:val="16"/>
              </w:rPr>
              <w:t>Not pooled with MRS; summarized descriptively</w:t>
            </w:r>
          </w:p>
        </w:tc>
      </w:tr>
      <w:tr w:rsidR="007447EC" w14:paraId="1AB6B832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6361FB5" w14:textId="77777777" w:rsidR="007447EC" w:rsidRDefault="00000000">
            <w:r>
              <w:rPr>
                <w:b/>
                <w:bCs/>
                <w:sz w:val="16"/>
                <w:szCs w:val="16"/>
              </w:rPr>
              <w:t>Attitude Toward Menopause Scale (ATMS / MİTÖ)</w:t>
            </w:r>
          </w:p>
        </w:tc>
        <w:tc>
          <w:tcPr>
            <w:tcW w:w="185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56B1B40" w14:textId="77777777" w:rsidR="007447EC" w:rsidRDefault="00000000">
            <w:r>
              <w:rPr>
                <w:sz w:val="16"/>
                <w:szCs w:val="16"/>
              </w:rPr>
              <w:t>Attitudes toward menopause</w:t>
            </w:r>
          </w:p>
        </w:tc>
        <w:tc>
          <w:tcPr>
            <w:tcW w:w="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9013E70" w14:textId="77777777" w:rsidR="007447EC" w:rsidRDefault="00000000">
            <w:pPr>
              <w:jc w:val="center"/>
            </w:pPr>
            <w:r>
              <w:rPr>
                <w:sz w:val="16"/>
                <w:szCs w:val="16"/>
              </w:rPr>
              <w:t>As reported in primary studies</w:t>
            </w:r>
          </w:p>
        </w:tc>
        <w:tc>
          <w:tcPr>
            <w:tcW w:w="1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FC546DF" w14:textId="77777777" w:rsidR="007447EC" w:rsidRDefault="00000000">
            <w:r>
              <w:rPr>
                <w:sz w:val="16"/>
                <w:szCs w:val="16"/>
              </w:rPr>
              <w:t>As reported in primary studies (observed pooled means ≈ 35–47)</w:t>
            </w:r>
          </w:p>
        </w:tc>
        <w:tc>
          <w:tcPr>
            <w:tcW w:w="215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E3CC056" w14:textId="77777777" w:rsidR="007447EC" w:rsidRDefault="00000000">
            <w:r>
              <w:rPr>
                <w:sz w:val="16"/>
                <w:szCs w:val="16"/>
              </w:rPr>
              <w:t>As reported in primary studies</w:t>
            </w:r>
          </w:p>
        </w:tc>
        <w:tc>
          <w:tcPr>
            <w:tcW w:w="2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BAB8FA9" w14:textId="77777777" w:rsidR="007447EC" w:rsidRDefault="00000000">
            <w:r>
              <w:rPr>
                <w:sz w:val="16"/>
                <w:szCs w:val="16"/>
              </w:rPr>
              <w:t>Higher scores indicate more positive attitudes; interpretive thresholds as defined in the primary studies.</w:t>
            </w:r>
          </w:p>
        </w:tc>
        <w:tc>
          <w:tcPr>
            <w:tcW w:w="1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7FB3404D" w14:textId="77777777" w:rsidR="007447EC" w:rsidRDefault="00000000">
            <w:r>
              <w:rPr>
                <w:sz w:val="16"/>
                <w:szCs w:val="16"/>
              </w:rPr>
              <w:t>Pooled (attitude synthesis; k = 6)</w:t>
            </w:r>
          </w:p>
        </w:tc>
      </w:tr>
      <w:tr w:rsidR="007447EC" w14:paraId="36FFA5FC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EC51121" w14:textId="77777777" w:rsidR="007447EC" w:rsidRDefault="00000000">
            <w:r>
              <w:rPr>
                <w:b/>
                <w:bCs/>
                <w:sz w:val="16"/>
                <w:szCs w:val="16"/>
              </w:rPr>
              <w:t>Menopause Attitude Evaluation Scale (MTDÖ)</w:t>
            </w:r>
          </w:p>
        </w:tc>
        <w:tc>
          <w:tcPr>
            <w:tcW w:w="185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92F1D52" w14:textId="77777777" w:rsidR="007447EC" w:rsidRDefault="00000000">
            <w:r>
              <w:rPr>
                <w:sz w:val="16"/>
                <w:szCs w:val="16"/>
              </w:rPr>
              <w:t>Attitudes toward menopause</w:t>
            </w:r>
          </w:p>
        </w:tc>
        <w:tc>
          <w:tcPr>
            <w:tcW w:w="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3F848FDB" w14:textId="77777777" w:rsidR="007447EC" w:rsidRDefault="00000000">
            <w:pPr>
              <w:jc w:val="center"/>
            </w:pPr>
            <w:r>
              <w:rPr>
                <w:sz w:val="16"/>
                <w:szCs w:val="16"/>
              </w:rPr>
              <w:t>As reported in primary studies</w:t>
            </w:r>
          </w:p>
        </w:tc>
        <w:tc>
          <w:tcPr>
            <w:tcW w:w="1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B8F9FD2" w14:textId="77777777" w:rsidR="007447EC" w:rsidRDefault="00000000">
            <w:r>
              <w:rPr>
                <w:sz w:val="16"/>
                <w:szCs w:val="16"/>
              </w:rPr>
              <w:t>As reported in primary studies (observed scores ≈ 24–28)</w:t>
            </w:r>
          </w:p>
        </w:tc>
        <w:tc>
          <w:tcPr>
            <w:tcW w:w="215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FF31E45" w14:textId="77777777" w:rsidR="007447EC" w:rsidRDefault="00000000">
            <w:r>
              <w:rPr>
                <w:sz w:val="16"/>
                <w:szCs w:val="16"/>
              </w:rPr>
              <w:t>As reported in primary studies</w:t>
            </w:r>
          </w:p>
        </w:tc>
        <w:tc>
          <w:tcPr>
            <w:tcW w:w="2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1CDD14E3" w14:textId="77777777" w:rsidR="007447EC" w:rsidRDefault="00000000">
            <w:r>
              <w:rPr>
                <w:sz w:val="16"/>
                <w:szCs w:val="16"/>
              </w:rPr>
              <w:t>Scoring direction and thresholds as defined in the primary studies; not directly comparable to ATMS/MİTÖ.</w:t>
            </w:r>
          </w:p>
        </w:tc>
        <w:tc>
          <w:tcPr>
            <w:tcW w:w="1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876F771" w14:textId="77777777" w:rsidR="007447EC" w:rsidRDefault="00000000">
            <w:r>
              <w:rPr>
                <w:sz w:val="16"/>
                <w:szCs w:val="16"/>
              </w:rPr>
              <w:t>Not pooled with ATMS/MİTÖ; summarized descriptively (k = 4)</w:t>
            </w:r>
          </w:p>
        </w:tc>
      </w:tr>
      <w:tr w:rsidR="007447EC" w14:paraId="53E9B313" w14:textId="77777777">
        <w:tblPrEx>
          <w:tblCellMar>
            <w:top w:w="0" w:type="dxa"/>
            <w:bottom w:w="0" w:type="dxa"/>
          </w:tblCellMar>
        </w:tblPrEx>
        <w:tc>
          <w:tcPr>
            <w:tcW w:w="15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shd w:val="clear" w:color="auto" w:fill="F2F2F2"/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88F78A9" w14:textId="77777777" w:rsidR="007447EC" w:rsidRDefault="00000000">
            <w:r>
              <w:rPr>
                <w:b/>
                <w:bCs/>
                <w:sz w:val="16"/>
                <w:szCs w:val="16"/>
              </w:rPr>
              <w:t>Study-specific questionnaires / symptom checklists (e.g., Menopausal Complaint Screening List, Menopause Complaint Scale)</w:t>
            </w:r>
          </w:p>
        </w:tc>
        <w:tc>
          <w:tcPr>
            <w:tcW w:w="185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0314A325" w14:textId="77777777" w:rsidR="007447EC" w:rsidRDefault="00000000">
            <w:r>
              <w:rPr>
                <w:sz w:val="16"/>
                <w:szCs w:val="16"/>
              </w:rPr>
              <w:t>Presence / frequency of individual menopausal symptoms</w:t>
            </w:r>
          </w:p>
        </w:tc>
        <w:tc>
          <w:tcPr>
            <w:tcW w:w="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49C37B50" w14:textId="77777777" w:rsidR="007447EC" w:rsidRDefault="00000000">
            <w:pPr>
              <w:jc w:val="center"/>
            </w:pPr>
            <w:r>
              <w:rPr>
                <w:sz w:val="16"/>
                <w:szCs w:val="16"/>
              </w:rPr>
              <w:t>Varies by study</w:t>
            </w:r>
          </w:p>
        </w:tc>
        <w:tc>
          <w:tcPr>
            <w:tcW w:w="17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6B5E80BB" w14:textId="77777777" w:rsidR="007447EC" w:rsidRDefault="00000000">
            <w:r>
              <w:rPr>
                <w:sz w:val="16"/>
                <w:szCs w:val="16"/>
              </w:rPr>
              <w:t>Varies by study</w:t>
            </w:r>
          </w:p>
        </w:tc>
        <w:tc>
          <w:tcPr>
            <w:tcW w:w="215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37D8085" w14:textId="77777777" w:rsidR="007447EC" w:rsidRDefault="00000000">
            <w:r>
              <w:rPr>
                <w:sz w:val="16"/>
                <w:szCs w:val="16"/>
              </w:rPr>
              <w:t>Not applicable / study-defined</w:t>
            </w:r>
          </w:p>
        </w:tc>
        <w:tc>
          <w:tcPr>
            <w:tcW w:w="296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20B82817" w14:textId="77777777" w:rsidR="007447EC" w:rsidRDefault="00000000">
            <w:r>
              <w:rPr>
                <w:sz w:val="16"/>
                <w:szCs w:val="16"/>
              </w:rPr>
              <w:t>Symptom reported as present/absent or as a proportion; interpretation as defined in the primary studies.</w:t>
            </w:r>
          </w:p>
        </w:tc>
        <w:tc>
          <w:tcPr>
            <w:tcW w:w="1900" w:type="dxa"/>
            <w:tcBorders>
              <w:top w:val="single" w:sz="1" w:space="0" w:color="999999"/>
              <w:left w:val="single" w:sz="1" w:space="0" w:color="999999"/>
              <w:bottom w:val="single" w:sz="1" w:space="0" w:color="999999"/>
              <w:right w:val="single" w:sz="1" w:space="0" w:color="999999"/>
            </w:tcBorders>
            <w:tcMar>
              <w:top w:w="60" w:type="dxa"/>
              <w:left w:w="90" w:type="dxa"/>
              <w:bottom w:w="60" w:type="dxa"/>
              <w:right w:w="90" w:type="dxa"/>
            </w:tcMar>
            <w:vAlign w:val="center"/>
          </w:tcPr>
          <w:p w14:paraId="53E6AF8E" w14:textId="77777777" w:rsidR="007447EC" w:rsidRDefault="00000000">
            <w:r>
              <w:rPr>
                <w:sz w:val="16"/>
                <w:szCs w:val="16"/>
              </w:rPr>
              <w:t>Used for symptom-specific prevalence synthesis (proportions) and/or descriptive summary</w:t>
            </w:r>
          </w:p>
        </w:tc>
      </w:tr>
    </w:tbl>
    <w:p w14:paraId="4787CD99" w14:textId="77777777" w:rsidR="007447EC" w:rsidRDefault="00000000">
      <w:pPr>
        <w:spacing w:before="200" w:after="40"/>
      </w:pPr>
      <w:r>
        <w:rPr>
          <w:b/>
          <w:bCs/>
          <w:sz w:val="18"/>
          <w:szCs w:val="18"/>
        </w:rPr>
        <w:t>Notes</w:t>
      </w:r>
    </w:p>
    <w:p w14:paraId="3FE73D6D" w14:textId="77777777" w:rsidR="007447EC" w:rsidRDefault="00000000">
      <w:pPr>
        <w:spacing w:after="40"/>
      </w:pPr>
      <w:r>
        <w:rPr>
          <w:sz w:val="16"/>
          <w:szCs w:val="16"/>
        </w:rPr>
        <w:t>MRS = Menopause Rating Scale; MENQOL = Menopause-Specific Quality of Life Questionnaire; ATMS/MİTÖ = Attitude Toward Menopause Scale; MTDÖ = Menopause Attitude Evaluation Scale.</w:t>
      </w:r>
    </w:p>
    <w:p w14:paraId="252C4615" w14:textId="77777777" w:rsidR="007447EC" w:rsidRDefault="00000000">
      <w:pPr>
        <w:spacing w:after="40"/>
      </w:pPr>
      <w:r>
        <w:rPr>
          <w:sz w:val="16"/>
          <w:szCs w:val="16"/>
        </w:rPr>
        <w:t>Quantitative pooling was restricted to a single validated and comparable instrument within each outcome domain: the MRS for menopausal symptom mean scores and the ATMS/MİTÖ for attitudes. Studies using other instruments were not statistically combined with these scales and were summarized descriptively.</w:t>
      </w:r>
    </w:p>
    <w:p w14:paraId="2E89520C" w14:textId="77777777" w:rsidR="007447EC" w:rsidRDefault="00000000">
      <w:pPr>
        <w:spacing w:after="40"/>
      </w:pPr>
      <w:r>
        <w:rPr>
          <w:sz w:val="16"/>
          <w:szCs w:val="16"/>
        </w:rPr>
        <w:t>MRS severity bands follow the standard classification of the original scale developers. MENQOL has no universally established severity cut-off; higher domain scores reflect poorer quality of life.</w:t>
      </w:r>
    </w:p>
    <w:p w14:paraId="651D5599" w14:textId="58C41B6E" w:rsidR="007447EC" w:rsidRDefault="00000000">
      <w:pPr>
        <w:spacing w:after="40"/>
      </w:pPr>
      <w:r>
        <w:rPr>
          <w:sz w:val="16"/>
          <w:szCs w:val="16"/>
        </w:rPr>
        <w:t>For the Turkish attitude scales (ATMS/MİTÖ and MTDÖ), exact item counts, score ranges, and interpretive thresholds were taken from the respective primary studies and their original validation sources.</w:t>
      </w:r>
      <w:r w:rsidR="00966D05">
        <w:rPr>
          <w:sz w:val="16"/>
          <w:szCs w:val="16"/>
        </w:rPr>
        <w:t xml:space="preserve"> </w:t>
      </w:r>
    </w:p>
    <w:sectPr w:rsidR="007447EC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A6F20E7"/>
    <w:multiLevelType w:val="hybridMultilevel"/>
    <w:tmpl w:val="E4D09598"/>
    <w:lvl w:ilvl="0" w:tplc="8996E51A">
      <w:start w:val="1"/>
      <w:numFmt w:val="bullet"/>
      <w:lvlText w:val="●"/>
      <w:lvlJc w:val="left"/>
      <w:pPr>
        <w:ind w:left="720" w:hanging="360"/>
      </w:pPr>
    </w:lvl>
    <w:lvl w:ilvl="1" w:tplc="BAEA1C26">
      <w:start w:val="1"/>
      <w:numFmt w:val="bullet"/>
      <w:lvlText w:val="○"/>
      <w:lvlJc w:val="left"/>
      <w:pPr>
        <w:ind w:left="1440" w:hanging="360"/>
      </w:pPr>
    </w:lvl>
    <w:lvl w:ilvl="2" w:tplc="5E4273D0">
      <w:start w:val="1"/>
      <w:numFmt w:val="bullet"/>
      <w:lvlText w:val="■"/>
      <w:lvlJc w:val="left"/>
      <w:pPr>
        <w:ind w:left="2160" w:hanging="360"/>
      </w:pPr>
    </w:lvl>
    <w:lvl w:ilvl="3" w:tplc="8A987526">
      <w:start w:val="1"/>
      <w:numFmt w:val="bullet"/>
      <w:lvlText w:val="●"/>
      <w:lvlJc w:val="left"/>
      <w:pPr>
        <w:ind w:left="2880" w:hanging="360"/>
      </w:pPr>
    </w:lvl>
    <w:lvl w:ilvl="4" w:tplc="C5669638">
      <w:start w:val="1"/>
      <w:numFmt w:val="bullet"/>
      <w:lvlText w:val="○"/>
      <w:lvlJc w:val="left"/>
      <w:pPr>
        <w:ind w:left="3600" w:hanging="360"/>
      </w:pPr>
    </w:lvl>
    <w:lvl w:ilvl="5" w:tplc="71B2519C">
      <w:start w:val="1"/>
      <w:numFmt w:val="bullet"/>
      <w:lvlText w:val="■"/>
      <w:lvlJc w:val="left"/>
      <w:pPr>
        <w:ind w:left="4320" w:hanging="360"/>
      </w:pPr>
    </w:lvl>
    <w:lvl w:ilvl="6" w:tplc="51BC1BA2">
      <w:start w:val="1"/>
      <w:numFmt w:val="bullet"/>
      <w:lvlText w:val="●"/>
      <w:lvlJc w:val="left"/>
      <w:pPr>
        <w:ind w:left="5040" w:hanging="360"/>
      </w:pPr>
    </w:lvl>
    <w:lvl w:ilvl="7" w:tplc="642A265C">
      <w:start w:val="1"/>
      <w:numFmt w:val="bullet"/>
      <w:lvlText w:val="●"/>
      <w:lvlJc w:val="left"/>
      <w:pPr>
        <w:ind w:left="5760" w:hanging="360"/>
      </w:pPr>
    </w:lvl>
    <w:lvl w:ilvl="8" w:tplc="0B609FCC">
      <w:start w:val="1"/>
      <w:numFmt w:val="bullet"/>
      <w:lvlText w:val="●"/>
      <w:lvlJc w:val="left"/>
      <w:pPr>
        <w:ind w:left="6480" w:hanging="360"/>
      </w:pPr>
    </w:lvl>
  </w:abstractNum>
  <w:num w:numId="1" w16cid:durableId="12046286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447EC"/>
    <w:rsid w:val="00171EC0"/>
    <w:rsid w:val="007447EC"/>
    <w:rsid w:val="00966D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56C557"/>
  <w15:docId w15:val="{3411B33F-D1BA-4E84-84B6-067AC75315F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lang w:val="tr-TR" w:eastAsia="tr-T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Balk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Balk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Balk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Balk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Balk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KonuBal">
    <w:name w:val="Title"/>
    <w:uiPriority w:val="10"/>
    <w:qFormat/>
    <w:rPr>
      <w:sz w:val="56"/>
      <w:szCs w:val="56"/>
    </w:rPr>
  </w:style>
  <w:style w:type="paragraph" w:customStyle="1" w:styleId="Gl1">
    <w:name w:val="Güçlü1"/>
    <w:qFormat/>
    <w:rPr>
      <w:b/>
      <w:bCs/>
    </w:rPr>
  </w:style>
  <w:style w:type="paragraph" w:styleId="ListeParagraf">
    <w:name w:val="List Paragraph"/>
    <w:qFormat/>
  </w:style>
  <w:style w:type="character" w:styleId="Kpr">
    <w:name w:val="Hyperlink"/>
    <w:uiPriority w:val="99"/>
    <w:unhideWhenUsed/>
    <w:rPr>
      <w:color w:val="0563C1"/>
      <w:u w:val="single"/>
    </w:rPr>
  </w:style>
  <w:style w:type="character" w:styleId="DipnotBavurusu">
    <w:name w:val="footnote reference"/>
    <w:uiPriority w:val="99"/>
    <w:semiHidden/>
    <w:unhideWhenUsed/>
    <w:rPr>
      <w:vertAlign w:val="superscript"/>
    </w:rPr>
  </w:style>
  <w:style w:type="paragraph" w:styleId="DipnotMetni">
    <w:name w:val="footnote text"/>
    <w:link w:val="DipnotMetniChar"/>
    <w:uiPriority w:val="99"/>
    <w:semiHidden/>
    <w:unhideWhenUsed/>
  </w:style>
  <w:style w:type="character" w:customStyle="1" w:styleId="DipnotMetniChar">
    <w:name w:val="Dipnot Metni Char"/>
    <w:link w:val="DipnotMetni"/>
    <w:uiPriority w:val="99"/>
    <w:semiHidden/>
    <w:unhideWhenUsed/>
    <w:rPr>
      <w:sz w:val="20"/>
      <w:szCs w:val="20"/>
    </w:rPr>
  </w:style>
  <w:style w:type="character" w:styleId="SonNotBavurusu">
    <w:name w:val="endnote reference"/>
    <w:uiPriority w:val="99"/>
    <w:semiHidden/>
    <w:unhideWhenUsed/>
    <w:rPr>
      <w:vertAlign w:val="superscript"/>
    </w:rPr>
  </w:style>
  <w:style w:type="paragraph" w:styleId="SonNotMetni">
    <w:name w:val="endnote text"/>
    <w:link w:val="SonNotMetniChar"/>
    <w:uiPriority w:val="99"/>
    <w:semiHidden/>
    <w:unhideWhenUsed/>
  </w:style>
  <w:style w:type="character" w:customStyle="1" w:styleId="SonNotMetniChar">
    <w:name w:val="Son Not Metni Char"/>
    <w:link w:val="SonNotMetni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447</Words>
  <Characters>2553</Characters>
  <Application>Microsoft Office Word</Application>
  <DocSecurity>0</DocSecurity>
  <Lines>21</Lines>
  <Paragraphs>5</Paragraphs>
  <ScaleCrop>false</ScaleCrop>
  <Company/>
  <LinksUpToDate>false</LinksUpToDate>
  <CharactersWithSpaces>2995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Mustafa Onur Yurdal</dc:creator>
  <cp:lastModifiedBy>Mustafa Onur Yurdal</cp:lastModifiedBy>
  <cp:revision>2</cp:revision>
  <dcterms:created xsi:type="dcterms:W3CDTF">2026-05-22T10:48:00Z</dcterms:created>
  <dcterms:modified xsi:type="dcterms:W3CDTF">2026-05-22T10:58:00Z</dcterms:modified>
</cp:coreProperties>
</file>