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Supplementary Table. </w:t>
      </w:r>
      <w:r>
        <w:rPr>
          <w:sz w:val="22"/>
          <w:szCs w:val="22"/>
        </w:rPr>
        <w:t xml:space="preserve">GRADE-informed assessment of the certainty of the pooled evidence.</w:t>
      </w:r>
    </w:p>
    <w:tbl>
      <w:tblPr>
        <w:tblW w:type="dxa" w:w="129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560"/>
        <w:gridCol w:w="1680"/>
        <w:gridCol w:w="1560"/>
        <w:gridCol w:w="1800"/>
        <w:gridCol w:w="1560"/>
        <w:gridCol w:w="1800"/>
      </w:tblGrid>
      <w:tr>
        <w:trPr>
          <w:tblHeader/>
        </w:trP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Outcome (no. of studies, k)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Risk of bias</w:t>
            </w:r>
          </w:p>
        </w:tc>
        <w:tc>
          <w:tcPr>
            <w:tcW w:type="dxa" w:w="1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Inconsistency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Imprecision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Publication bias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Indirectness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Overall certainty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MRS total score (k = 24)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Serious</w:t>
            </w:r>
          </w:p>
        </w:tc>
        <w:tc>
          <w:tcPr>
            <w:tcW w:type="dxa" w:w="1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Very serious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Suspected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CE4D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Very low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MRS subscales – psychological, somatic, urogenital (k = 24)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Serious</w:t>
            </w:r>
          </w:p>
        </w:tc>
        <w:tc>
          <w:tcPr>
            <w:tcW w:type="dxa" w:w="1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Very serious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Suspected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CE4D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Very low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Pooled symptom prevalences (e.g., hot flushes, sweating, sleep problems, anxiety, sexual problems; k varies by symptom)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Serious</w:t>
            </w:r>
          </w:p>
        </w:tc>
        <w:tc>
          <w:tcPr>
            <w:tcW w:type="dxa" w:w="1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Very serious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Suspected (anxiety, sexual problems)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CE4D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Very low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ATMS/MİTÖ total score (k = 6)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Serious</w:t>
            </w:r>
          </w:p>
        </w:tc>
        <w:tc>
          <w:tcPr>
            <w:tcW w:type="dxa" w:w="1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Very serious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assessed (&lt; 10 studies)</w:t>
            </w:r>
          </w:p>
        </w:tc>
        <w:tc>
          <w:tcPr>
            <w:tcW w:type="dxa" w:w="1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Not serious</w:t>
            </w:r>
          </w:p>
        </w:tc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CE4D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Very low</w:t>
            </w:r>
          </w:p>
        </w:tc>
      </w:tr>
    </w:tbl>
    <w:p>
      <w:pPr>
        <w:spacing w:after="40" w:before="200"/>
      </w:pPr>
      <w:r>
        <w:rPr>
          <w:b/>
          <w:bCs/>
          <w:sz w:val="18"/>
          <w:szCs w:val="18"/>
        </w:rPr>
        <w:t xml:space="preserve">Notes</w:t>
      </w:r>
    </w:p>
    <w:p>
      <w:pPr>
        <w:spacing w:after="40"/>
      </w:pPr>
      <w:r>
        <w:rPr>
          <w:sz w:val="16"/>
          <w:szCs w:val="16"/>
        </w:rPr>
        <w:t xml:space="preserve">GRADE-informed appraisal adapted for non-comparative syntheses of pooled prevalence and mean-score data from observational cross-sectional studies. Certainty levels: High, Moderate, Low, Very low.</w:t>
      </w:r>
    </w:p>
    <w:p>
      <w:pPr>
        <w:spacing w:after="40"/>
      </w:pPr>
      <w:r>
        <w:rPr>
          <w:sz w:val="16"/>
          <w:szCs w:val="16"/>
        </w:rPr>
        <w:t xml:space="preserve">Risk of bias: downgraded because of limited reporting of strategies to control confounding in the primary studies (JBI item S6 showed low compliance).</w:t>
      </w:r>
    </w:p>
    <w:p>
      <w:pPr>
        <w:spacing w:after="40"/>
      </w:pPr>
      <w:r>
        <w:rPr>
          <w:sz w:val="16"/>
          <w:szCs w:val="16"/>
        </w:rPr>
        <w:t xml:space="preserve">Inconsistency: downgraded because of very high statistical heterogeneity across studies (I² ≈ 98–99%).</w:t>
      </w:r>
    </w:p>
    <w:p>
      <w:pPr>
        <w:spacing w:after="40"/>
      </w:pPr>
      <w:r>
        <w:rPr>
          <w:sz w:val="16"/>
          <w:szCs w:val="16"/>
        </w:rPr>
        <w:t xml:space="preserve">Imprecision: downgraded for outcomes based on few studies and/or wide confidence intervals (e.g., individual symptom prevalences and the ATMS/MİTÖ pooled mean).</w:t>
      </w:r>
    </w:p>
    <w:p>
      <w:pPr>
        <w:spacing w:after="40"/>
      </w:pPr>
      <w:r>
        <w:rPr>
          <w:sz w:val="16"/>
          <w:szCs w:val="16"/>
        </w:rPr>
        <w:t xml:space="preserve">Publication bias: assessed with Egger’s regression test only when ≥ 10 studies were available. “Suspected” indicates statistically significant small-study effects (MRS total score and subscales; and, among symptom prevalences, anxiety and sexual problems). “Not assessed” indicates that fewer than 10 studies were available (ATMS/MİTÖ). Funnel-plot asymmetry was interpreted cautiously and was not considered diagnostic of publication bias.</w:t>
      </w:r>
    </w:p>
    <w:p>
      <w:pPr>
        <w:spacing w:after="40"/>
      </w:pPr>
      <w:r>
        <w:rPr>
          <w:sz w:val="16"/>
          <w:szCs w:val="16"/>
        </w:rPr>
        <w:t xml:space="preserve">Indirectness: not downgraded because all studies were conducted directly in the target population (women in Türkiye).</w:t>
      </w:r>
    </w:p>
    <w:sectPr>
      <w:pgSz w:w="15840" w:h="12240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Onur Yurdal</dc:creator>
  <cp:lastModifiedBy>Un-named</cp:lastModifiedBy>
  <cp:revision>1</cp:revision>
  <dcterms:created xsi:type="dcterms:W3CDTF">2026-05-22T08:59:02Z</dcterms:created>
  <dcterms:modified xsi:type="dcterms:W3CDTF">2026-05-22T08:59:02Z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