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E7727" w14:textId="0C69EA26" w:rsidR="00DA52A5" w:rsidRDefault="00B46166">
      <w:pPr>
        <w:spacing w:after="0"/>
        <w:ind w:left="-1134"/>
        <w:rPr>
          <w:rFonts w:ascii="Times New Roman" w:eastAsia="Times New Roman" w:hAnsi="Times New Roman" w:cs="Times New Roman"/>
          <w:color w:val="70AD47"/>
        </w:rPr>
      </w:pPr>
      <w:r>
        <w:rPr>
          <w:rFonts w:ascii="Times New Roman" w:eastAsia="Times New Roman" w:hAnsi="Times New Roman" w:cs="Times New Roman"/>
          <w:b/>
          <w:bCs/>
        </w:rPr>
        <w:t>Supplementary Table 1.</w:t>
      </w:r>
      <w:r>
        <w:rPr>
          <w:rFonts w:ascii="Times New Roman" w:eastAsia="Times New Roman" w:hAnsi="Times New Roman" w:cs="Times New Roman"/>
        </w:rPr>
        <w:t xml:space="preserve"> </w:t>
      </w:r>
      <w:bookmarkStart w:id="0" w:name="_Hlk226032851"/>
      <w:r w:rsidR="00BC4C8B" w:rsidRPr="00BC4C8B">
        <w:rPr>
          <w:rFonts w:ascii="Times New Roman" w:hAnsi="Times New Roman" w:cs="Times New Roman"/>
          <w:sz w:val="24"/>
          <w:szCs w:val="24"/>
        </w:rPr>
        <w:t xml:space="preserve">Real-time </w:t>
      </w:r>
      <w:r w:rsidR="00BC4C8B" w:rsidRPr="00BC4C8B">
        <w:rPr>
          <w:rFonts w:ascii="Times New Roman" w:hAnsi="Times New Roman" w:cs="Times New Roman"/>
          <w:sz w:val="24"/>
          <w:szCs w:val="24"/>
        </w:rPr>
        <w:t>PCR-array Layout of the ten white skeletal muscle transcripts</w:t>
      </w:r>
      <w:r w:rsidR="00BC4C8B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="00BC4C8B" w:rsidRPr="00BC4C8B">
        <w:rPr>
          <w:rFonts w:ascii="Times New Roman" w:hAnsi="Times New Roman" w:cs="Times New Roman"/>
          <w:sz w:val="24"/>
          <w:szCs w:val="24"/>
        </w:rPr>
        <w:t>identified as candidate markers of biological age in the gilthead sea bream (</w:t>
      </w:r>
      <w:r w:rsidR="00BC4C8B" w:rsidRPr="00BC4C8B">
        <w:rPr>
          <w:rFonts w:ascii="Times New Roman" w:hAnsi="Times New Roman" w:cs="Times New Roman"/>
          <w:i/>
          <w:iCs/>
          <w:sz w:val="24"/>
          <w:szCs w:val="24"/>
        </w:rPr>
        <w:t xml:space="preserve">Sparus </w:t>
      </w:r>
      <w:proofErr w:type="spellStart"/>
      <w:r w:rsidR="00BC4C8B" w:rsidRPr="00BC4C8B">
        <w:rPr>
          <w:rFonts w:ascii="Times New Roman" w:hAnsi="Times New Roman" w:cs="Times New Roman"/>
          <w:i/>
          <w:iCs/>
          <w:sz w:val="24"/>
          <w:szCs w:val="24"/>
        </w:rPr>
        <w:t>aurata</w:t>
      </w:r>
      <w:proofErr w:type="spellEnd"/>
      <w:r w:rsidR="00BC4C8B" w:rsidRPr="00BC4C8B">
        <w:rPr>
          <w:rFonts w:ascii="Times New Roman" w:hAnsi="Times New Roman" w:cs="Times New Roman"/>
          <w:sz w:val="24"/>
          <w:szCs w:val="24"/>
        </w:rPr>
        <w:t>)</w:t>
      </w:r>
      <w:bookmarkEnd w:id="0"/>
      <w:r w:rsidRPr="00BC4C8B">
        <w:rPr>
          <w:rFonts w:ascii="Times New Roman" w:eastAsia="Times New Roman" w:hAnsi="Times New Roman" w:cs="Times New Roman"/>
          <w:color w:val="70AD47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70AD47"/>
        </w:rPr>
        <w:t xml:space="preserve"> </w:t>
      </w:r>
    </w:p>
    <w:p w14:paraId="2BA16D8D" w14:textId="6AF488F8" w:rsidR="00BC4C8B" w:rsidRDefault="00BC4C8B">
      <w:pPr>
        <w:spacing w:after="0"/>
        <w:ind w:left="-1134"/>
        <w:rPr>
          <w:rFonts w:ascii="Times New Roman" w:eastAsia="Times New Roman" w:hAnsi="Times New Roman" w:cs="Times New Roman"/>
          <w:color w:val="70AD47"/>
        </w:rPr>
      </w:pPr>
    </w:p>
    <w:p w14:paraId="42378EA0" w14:textId="77777777" w:rsidR="00BC4C8B" w:rsidRDefault="00BC4C8B">
      <w:pPr>
        <w:spacing w:after="0"/>
        <w:ind w:left="-1134"/>
        <w:rPr>
          <w:rFonts w:ascii="Times New Roman" w:eastAsia="Times New Roman" w:hAnsi="Times New Roman" w:cs="Times New Roman"/>
          <w:color w:val="70AD47"/>
        </w:rPr>
      </w:pPr>
    </w:p>
    <w:tbl>
      <w:tblPr>
        <w:tblStyle w:val="a"/>
        <w:tblW w:w="6418" w:type="pct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00" w:firstRow="0" w:lastRow="0" w:firstColumn="0" w:lastColumn="0" w:noHBand="0" w:noVBand="1"/>
      </w:tblPr>
      <w:tblGrid>
        <w:gridCol w:w="2803"/>
        <w:gridCol w:w="799"/>
        <w:gridCol w:w="987"/>
        <w:gridCol w:w="6327"/>
      </w:tblGrid>
      <w:tr w:rsidR="00DA52A5" w14:paraId="349F9003" w14:textId="77777777" w:rsidTr="00BC4C8B">
        <w:trPr>
          <w:trHeight w:val="125"/>
          <w:jc w:val="center"/>
        </w:trPr>
        <w:tc>
          <w:tcPr>
            <w:tcW w:w="1284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6FDF47F" w14:textId="77777777" w:rsidR="00DA52A5" w:rsidRPr="00D0765D" w:rsidRDefault="00B46166" w:rsidP="00BC4C8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bookmarkStart w:id="2" w:name="_heading=h.wq55ni77avza" w:colFirst="0" w:colLast="0"/>
            <w:bookmarkEnd w:id="2"/>
            <w:r w:rsidRPr="00D076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Description</w:t>
            </w:r>
          </w:p>
        </w:tc>
        <w:tc>
          <w:tcPr>
            <w:tcW w:w="366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799AA78" w14:textId="77777777" w:rsidR="00DA52A5" w:rsidRPr="00D0765D" w:rsidRDefault="00B46166" w:rsidP="00BC4C8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Symbol</w:t>
            </w:r>
          </w:p>
        </w:tc>
        <w:tc>
          <w:tcPr>
            <w:tcW w:w="452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D2D7AA9" w14:textId="77777777" w:rsidR="00DA52A5" w:rsidRPr="00D0765D" w:rsidRDefault="00B46166" w:rsidP="00BC4C8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GenBank</w:t>
            </w:r>
          </w:p>
        </w:tc>
        <w:tc>
          <w:tcPr>
            <w:tcW w:w="2898" w:type="pct"/>
            <w:tcBorders>
              <w:top w:val="single" w:sz="4" w:space="0" w:color="000000"/>
              <w:bottom w:val="single" w:sz="4" w:space="0" w:color="000000"/>
            </w:tcBorders>
          </w:tcPr>
          <w:p w14:paraId="44C780A8" w14:textId="77777777" w:rsidR="00DA52A5" w:rsidRPr="00D0765D" w:rsidRDefault="00B46166" w:rsidP="00BC4C8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Function </w:t>
            </w:r>
          </w:p>
        </w:tc>
      </w:tr>
      <w:tr w:rsidR="00DA52A5" w14:paraId="076B37C9" w14:textId="77777777" w:rsidTr="00BC4C8B">
        <w:trPr>
          <w:trHeight w:val="208"/>
          <w:jc w:val="center"/>
        </w:trPr>
        <w:tc>
          <w:tcPr>
            <w:tcW w:w="1284" w:type="pct"/>
            <w:tcBorders>
              <w:top w:val="single" w:sz="4" w:space="0" w:color="000000"/>
              <w:bottom w:val="nil"/>
            </w:tcBorders>
          </w:tcPr>
          <w:p w14:paraId="68649AE7" w14:textId="77777777" w:rsidR="00DA52A5" w:rsidRPr="00D0765D" w:rsidRDefault="00B46166" w:rsidP="00BC4C8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26S proteasome non-ATPase regulatory subunit 2</w:t>
            </w:r>
          </w:p>
        </w:tc>
        <w:tc>
          <w:tcPr>
            <w:tcW w:w="366" w:type="pct"/>
            <w:tcBorders>
              <w:top w:val="single" w:sz="4" w:space="0" w:color="000000"/>
              <w:bottom w:val="nil"/>
            </w:tcBorders>
          </w:tcPr>
          <w:p w14:paraId="76978B9F" w14:textId="77777777" w:rsidR="00DA52A5" w:rsidRPr="00D0765D" w:rsidRDefault="00B46166" w:rsidP="00BC4C8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psmd2</w:t>
            </w:r>
          </w:p>
        </w:tc>
        <w:tc>
          <w:tcPr>
            <w:tcW w:w="452" w:type="pct"/>
            <w:tcBorders>
              <w:top w:val="single" w:sz="4" w:space="0" w:color="000000"/>
              <w:bottom w:val="nil"/>
            </w:tcBorders>
          </w:tcPr>
          <w:p w14:paraId="2ED44EB2" w14:textId="77777777" w:rsidR="00DA52A5" w:rsidRPr="00D0765D" w:rsidRDefault="00B46166" w:rsidP="00BC4C8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PV608477</w:t>
            </w:r>
          </w:p>
        </w:tc>
        <w:tc>
          <w:tcPr>
            <w:tcW w:w="2898" w:type="pct"/>
            <w:tcBorders>
              <w:top w:val="single" w:sz="4" w:space="0" w:color="000000"/>
              <w:bottom w:val="nil"/>
            </w:tcBorders>
          </w:tcPr>
          <w:p w14:paraId="21DBC6ED" w14:textId="4A0720D5" w:rsidR="00DA52A5" w:rsidRPr="00D0765D" w:rsidRDefault="00B46166" w:rsidP="00BC4C8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sz w:val="18"/>
                <w:szCs w:val="18"/>
              </w:rPr>
              <w:t>Protein degradation</w:t>
            </w:r>
            <w:r w:rsidR="00D0765D" w:rsidRPr="00D076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(regulatory subunit of the 19S proteasome)</w:t>
            </w:r>
            <w:r w:rsidRPr="00D076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C131E4" w14:paraId="2E30F8DC" w14:textId="77777777" w:rsidTr="00BC4C8B">
        <w:trPr>
          <w:trHeight w:val="208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7BF28C" w14:textId="54E4FCAD" w:rsidR="00C131E4" w:rsidRPr="00D0765D" w:rsidRDefault="00C131E4" w:rsidP="00BC4C8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Receptor activity-modifying protein 1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14AB5F" w14:textId="6FBE626B" w:rsidR="00C131E4" w:rsidRPr="00D0765D" w:rsidRDefault="00C131E4" w:rsidP="00BC4C8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ramp1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FF0C10" w14:textId="75D2A073" w:rsidR="00C131E4" w:rsidRPr="00D0765D" w:rsidRDefault="00C131E4" w:rsidP="00BC4C8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PV608481</w:t>
            </w:r>
          </w:p>
        </w:tc>
        <w:tc>
          <w:tcPr>
            <w:tcW w:w="2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7EB6A1" w14:textId="2C62461A" w:rsidR="00C131E4" w:rsidRPr="00D0765D" w:rsidRDefault="00C131E4" w:rsidP="00BC4C8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sz w:val="18"/>
                <w:szCs w:val="18"/>
              </w:rPr>
              <w:t>Vascular tone (modulator of the calcitonin gene-related peptide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D0765D">
              <w:rPr>
                <w:rFonts w:ascii="Times New Roman" w:eastAsia="Times New Roman" w:hAnsi="Times New Roman" w:cs="Times New Roman"/>
                <w:sz w:val="18"/>
                <w:szCs w:val="18"/>
              </w:rPr>
              <w:t>signa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 w:rsidRPr="00D0765D">
              <w:rPr>
                <w:rFonts w:ascii="Times New Roman" w:eastAsia="Times New Roman" w:hAnsi="Times New Roman" w:cs="Times New Roman"/>
                <w:sz w:val="18"/>
                <w:szCs w:val="18"/>
              </w:rPr>
              <w:t>ling)</w:t>
            </w:r>
          </w:p>
        </w:tc>
      </w:tr>
      <w:tr w:rsidR="00C131E4" w14:paraId="6BA06BCA" w14:textId="77777777" w:rsidTr="00BC4C8B">
        <w:trPr>
          <w:trHeight w:val="208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48C65E" w14:textId="41C5A7FE" w:rsidR="00C131E4" w:rsidRPr="00D0765D" w:rsidRDefault="00C131E4" w:rsidP="00BC4C8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NAD-dependent deacetylase sirtuin-1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EEE4BB" w14:textId="56CA914A" w:rsidR="00C131E4" w:rsidRPr="00D0765D" w:rsidRDefault="00C131E4" w:rsidP="00BC4C8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sirt1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C9B8F2" w14:textId="3434B1CE" w:rsidR="00C131E4" w:rsidRPr="00D0765D" w:rsidRDefault="00C131E4" w:rsidP="00BC4C8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KF018666</w:t>
            </w:r>
          </w:p>
        </w:tc>
        <w:tc>
          <w:tcPr>
            <w:tcW w:w="2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C8DBAE" w14:textId="6495F138" w:rsidR="00C131E4" w:rsidRPr="00D0765D" w:rsidRDefault="00C131E4" w:rsidP="00BC4C8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sz w:val="18"/>
                <w:szCs w:val="18"/>
              </w:rPr>
              <w:t>Mitochondrial biogenesis; Oxidative stress resistance</w:t>
            </w:r>
          </w:p>
        </w:tc>
      </w:tr>
      <w:tr w:rsidR="00C131E4" w14:paraId="3C0573AF" w14:textId="77777777" w:rsidTr="00BC4C8B">
        <w:trPr>
          <w:trHeight w:val="208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F90599" w14:textId="7D57C4FB" w:rsidR="00C131E4" w:rsidRPr="00D0765D" w:rsidRDefault="00C131E4" w:rsidP="00BC4C8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Mothers against decapentaplegic homolog 1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5897AC" w14:textId="2B2CBD9B" w:rsidR="00C131E4" w:rsidRPr="00D0765D" w:rsidRDefault="00C131E4" w:rsidP="00BC4C8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smad1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BF7A34" w14:textId="6E72B6DA" w:rsidR="00C131E4" w:rsidRPr="00D0765D" w:rsidRDefault="00C131E4" w:rsidP="00BC4C8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PV608482</w:t>
            </w:r>
          </w:p>
        </w:tc>
        <w:tc>
          <w:tcPr>
            <w:tcW w:w="2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BFD2C4" w14:textId="41DDB757" w:rsidR="00C131E4" w:rsidRPr="00D0765D" w:rsidRDefault="00C131E4" w:rsidP="00BC4C8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sz w:val="18"/>
                <w:szCs w:val="18"/>
              </w:rPr>
              <w:t>Muscle growth and regeneration; BMP Signalling</w:t>
            </w:r>
          </w:p>
        </w:tc>
      </w:tr>
      <w:tr w:rsidR="00C131E4" w14:paraId="69F2044D" w14:textId="77777777" w:rsidTr="00BC4C8B">
        <w:trPr>
          <w:trHeight w:val="208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C0D6EC" w14:textId="31B9B833" w:rsidR="00C131E4" w:rsidRPr="00D0765D" w:rsidRDefault="00C131E4" w:rsidP="00BC4C8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Sodium/potassium-transporting ATPase subunit alpha-2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01FD4A" w14:textId="3CDC4103" w:rsidR="00C131E4" w:rsidRPr="00D0765D" w:rsidRDefault="00C131E4" w:rsidP="00BC4C8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atp1a2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5EECC0" w14:textId="68B6EAAD" w:rsidR="00C131E4" w:rsidRPr="00D0765D" w:rsidRDefault="00C131E4" w:rsidP="00BC4C8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PV608485</w:t>
            </w:r>
          </w:p>
        </w:tc>
        <w:tc>
          <w:tcPr>
            <w:tcW w:w="2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AD7F1C" w14:textId="4C55DFD7" w:rsidR="00C131E4" w:rsidRPr="00D0765D" w:rsidRDefault="00C131E4" w:rsidP="00BC4C8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sz w:val="18"/>
                <w:szCs w:val="18"/>
              </w:rPr>
              <w:t>Membrane excitability and energy-dependent transport in muscle (Na⁺/K⁺-ATPase α2 subunit)</w:t>
            </w:r>
          </w:p>
        </w:tc>
      </w:tr>
      <w:tr w:rsidR="00C131E4" w14:paraId="182095BC" w14:textId="77777777" w:rsidTr="00BC4C8B">
        <w:trPr>
          <w:trHeight w:val="208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D7B27C" w14:textId="4A47FB88" w:rsidR="00C131E4" w:rsidRPr="00D0765D" w:rsidRDefault="00C131E4" w:rsidP="00BC4C8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Bone morphogenetic protein 1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E720E8" w14:textId="46897423" w:rsidR="00C131E4" w:rsidRPr="00D0765D" w:rsidRDefault="00C131E4" w:rsidP="00BC4C8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bmp1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E6204D" w14:textId="2239337D" w:rsidR="00C131E4" w:rsidRPr="00D0765D" w:rsidRDefault="00C131E4" w:rsidP="00BC4C8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PV608484</w:t>
            </w:r>
          </w:p>
        </w:tc>
        <w:tc>
          <w:tcPr>
            <w:tcW w:w="2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71F067" w14:textId="077914E9" w:rsidR="00C131E4" w:rsidRPr="00D0765D" w:rsidRDefault="00C131E4" w:rsidP="00BC4C8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sz w:val="18"/>
                <w:szCs w:val="18"/>
              </w:rPr>
              <w:t>Muscle repair and regeneration; Myogenesis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(bone morphogenetic protein)</w:t>
            </w:r>
          </w:p>
        </w:tc>
      </w:tr>
      <w:tr w:rsidR="00C131E4" w14:paraId="268AA43C" w14:textId="77777777" w:rsidTr="00BC4C8B">
        <w:trPr>
          <w:trHeight w:val="208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F2E8B5" w14:textId="3F753323" w:rsidR="00C131E4" w:rsidRPr="00D0765D" w:rsidRDefault="00C131E4" w:rsidP="00BC4C8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Calcitonin gene-related peptide type 1 receptor-like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D63BF8" w14:textId="0E37A2DB" w:rsidR="00C131E4" w:rsidRPr="00D0765D" w:rsidRDefault="00C131E4" w:rsidP="00BC4C8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D0765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calcrl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C79F97" w14:textId="076F5692" w:rsidR="00C131E4" w:rsidRPr="00D0765D" w:rsidRDefault="00C131E4" w:rsidP="00BC4C8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PV608483</w:t>
            </w:r>
          </w:p>
        </w:tc>
        <w:tc>
          <w:tcPr>
            <w:tcW w:w="2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423F7E" w14:textId="5558DC8E" w:rsidR="00C131E4" w:rsidRPr="00D0765D" w:rsidRDefault="00C131E4" w:rsidP="00BC4C8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sz w:val="18"/>
                <w:szCs w:val="18"/>
              </w:rPr>
              <w:t>Vascular tone; Neuromuscular communication, Muscle perfusion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(Calcitonin gene-related peptide receptor-like)</w:t>
            </w:r>
          </w:p>
        </w:tc>
      </w:tr>
      <w:tr w:rsidR="00DA52A5" w14:paraId="0121345D" w14:textId="77777777" w:rsidTr="00BC4C8B">
        <w:trPr>
          <w:trHeight w:val="208"/>
          <w:jc w:val="center"/>
        </w:trPr>
        <w:tc>
          <w:tcPr>
            <w:tcW w:w="1284" w:type="pct"/>
            <w:tcBorders>
              <w:top w:val="nil"/>
            </w:tcBorders>
          </w:tcPr>
          <w:p w14:paraId="3747CAA6" w14:textId="77777777" w:rsidR="00DA52A5" w:rsidRPr="00D0765D" w:rsidRDefault="00B46166" w:rsidP="00BC4C8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Collagen alpha-1(V) chain</w:t>
            </w:r>
          </w:p>
        </w:tc>
        <w:tc>
          <w:tcPr>
            <w:tcW w:w="366" w:type="pct"/>
            <w:tcBorders>
              <w:top w:val="nil"/>
            </w:tcBorders>
          </w:tcPr>
          <w:p w14:paraId="583617B9" w14:textId="77777777" w:rsidR="00DA52A5" w:rsidRPr="00D0765D" w:rsidRDefault="00B46166" w:rsidP="00BC4C8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col5a1</w:t>
            </w:r>
          </w:p>
        </w:tc>
        <w:tc>
          <w:tcPr>
            <w:tcW w:w="452" w:type="pct"/>
            <w:tcBorders>
              <w:top w:val="nil"/>
            </w:tcBorders>
          </w:tcPr>
          <w:p w14:paraId="2E38F0BF" w14:textId="77777777" w:rsidR="00DA52A5" w:rsidRPr="00D0765D" w:rsidRDefault="00B46166" w:rsidP="00BC4C8B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magenta"/>
              </w:rPr>
            </w:pPr>
            <w:r w:rsidRPr="00D0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PV608478</w:t>
            </w:r>
          </w:p>
        </w:tc>
        <w:tc>
          <w:tcPr>
            <w:tcW w:w="2898" w:type="pct"/>
            <w:tcBorders>
              <w:top w:val="nil"/>
            </w:tcBorders>
          </w:tcPr>
          <w:p w14:paraId="59788F60" w14:textId="7591B06B" w:rsidR="00DA52A5" w:rsidRPr="00D0765D" w:rsidRDefault="00B46166" w:rsidP="00BC4C8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sz w:val="18"/>
                <w:szCs w:val="18"/>
              </w:rPr>
              <w:t>Muscle structure and remodelling</w:t>
            </w:r>
          </w:p>
        </w:tc>
      </w:tr>
      <w:tr w:rsidR="00DA52A5" w14:paraId="7AE7D6AC" w14:textId="77777777" w:rsidTr="00BC4C8B">
        <w:trPr>
          <w:trHeight w:val="208"/>
          <w:jc w:val="center"/>
        </w:trPr>
        <w:tc>
          <w:tcPr>
            <w:tcW w:w="1284" w:type="pct"/>
          </w:tcPr>
          <w:p w14:paraId="71E28922" w14:textId="77777777" w:rsidR="00DA52A5" w:rsidRPr="00D0765D" w:rsidRDefault="00B46166" w:rsidP="00BC4C8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0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Sprouty</w:t>
            </w:r>
            <w:proofErr w:type="spellEnd"/>
            <w:r w:rsidRPr="00D0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-related, EVH1 domain-containing protein 2</w:t>
            </w:r>
          </w:p>
        </w:tc>
        <w:tc>
          <w:tcPr>
            <w:tcW w:w="366" w:type="pct"/>
          </w:tcPr>
          <w:p w14:paraId="1AB3C3C8" w14:textId="77777777" w:rsidR="00DA52A5" w:rsidRPr="00D0765D" w:rsidRDefault="00B46166" w:rsidP="00BC4C8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spred2</w:t>
            </w:r>
          </w:p>
        </w:tc>
        <w:tc>
          <w:tcPr>
            <w:tcW w:w="452" w:type="pct"/>
          </w:tcPr>
          <w:p w14:paraId="7D6A9A5B" w14:textId="77777777" w:rsidR="00DA52A5" w:rsidRPr="00D0765D" w:rsidRDefault="00B46166" w:rsidP="00BC4C8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PV608479</w:t>
            </w:r>
          </w:p>
        </w:tc>
        <w:tc>
          <w:tcPr>
            <w:tcW w:w="2898" w:type="pct"/>
          </w:tcPr>
          <w:p w14:paraId="7DB098EE" w14:textId="2D20CE69" w:rsidR="00DA52A5" w:rsidRPr="00D0765D" w:rsidRDefault="00B46166" w:rsidP="00BC4C8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sz w:val="18"/>
                <w:szCs w:val="18"/>
              </w:rPr>
              <w:t>Muscle regeneration</w:t>
            </w:r>
            <w:r w:rsidR="00D076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(modulator of</w:t>
            </w:r>
            <w:r w:rsidRPr="00D076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MAPK/ERK pathway</w:t>
            </w:r>
            <w:r w:rsidR="00D076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131E4" w14:paraId="7186C73D" w14:textId="77777777" w:rsidTr="00BC4C8B">
        <w:trPr>
          <w:trHeight w:val="208"/>
          <w:jc w:val="center"/>
        </w:trPr>
        <w:tc>
          <w:tcPr>
            <w:tcW w:w="1284" w:type="pct"/>
            <w:tcBorders>
              <w:bottom w:val="single" w:sz="4" w:space="0" w:color="000000"/>
            </w:tcBorders>
          </w:tcPr>
          <w:p w14:paraId="62D25600" w14:textId="22DDAAD3" w:rsidR="00C131E4" w:rsidRPr="00D0765D" w:rsidRDefault="00C131E4" w:rsidP="00BC4C8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Thyroid hormone receptor beta</w:t>
            </w:r>
          </w:p>
        </w:tc>
        <w:tc>
          <w:tcPr>
            <w:tcW w:w="366" w:type="pct"/>
            <w:tcBorders>
              <w:bottom w:val="single" w:sz="4" w:space="0" w:color="000000"/>
            </w:tcBorders>
          </w:tcPr>
          <w:p w14:paraId="3A3A3416" w14:textId="6B1AA533" w:rsidR="00C131E4" w:rsidRPr="00D0765D" w:rsidRDefault="00C131E4" w:rsidP="00BC4C8B">
            <w:pPr>
              <w:rPr>
                <w:rFonts w:ascii="Times New Roman" w:eastAsia="Times New Roman" w:hAnsi="Times New Roman" w:cs="Times New Roman"/>
                <w:i/>
                <w:iCs/>
                <w:color w:val="70AD47"/>
                <w:sz w:val="18"/>
                <w:szCs w:val="18"/>
              </w:rPr>
            </w:pPr>
            <w:proofErr w:type="spellStart"/>
            <w:r w:rsidRPr="00D0765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thrb</w:t>
            </w:r>
            <w:proofErr w:type="spellEnd"/>
          </w:p>
        </w:tc>
        <w:tc>
          <w:tcPr>
            <w:tcW w:w="452" w:type="pct"/>
            <w:tcBorders>
              <w:bottom w:val="single" w:sz="4" w:space="0" w:color="000000"/>
            </w:tcBorders>
          </w:tcPr>
          <w:p w14:paraId="65ED1405" w14:textId="606F5C18" w:rsidR="00C131E4" w:rsidRPr="00D0765D" w:rsidRDefault="00C131E4" w:rsidP="00BC4C8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PV608480</w:t>
            </w:r>
          </w:p>
        </w:tc>
        <w:tc>
          <w:tcPr>
            <w:tcW w:w="2898" w:type="pct"/>
            <w:tcBorders>
              <w:bottom w:val="single" w:sz="4" w:space="0" w:color="000000"/>
            </w:tcBorders>
          </w:tcPr>
          <w:p w14:paraId="5325F076" w14:textId="7881AAA5" w:rsidR="00C131E4" w:rsidRPr="00D0765D" w:rsidRDefault="00C131E4" w:rsidP="00BC4C8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Muscle contractile function, myogenesis and regeneration (thyroid hormone receptor)</w:t>
            </w:r>
          </w:p>
        </w:tc>
      </w:tr>
    </w:tbl>
    <w:p w14:paraId="5A967056" w14:textId="77777777" w:rsidR="00DA52A5" w:rsidRDefault="00DA52A5"/>
    <w:sectPr w:rsidR="00DA52A5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20D0DAF-8C21-48A8-AE62-B3A66DB69EE4}"/>
    <w:embedBold r:id="rId2" w:fontKey="{BB9D5A11-72D0-411F-B30A-00C08BD72636}"/>
    <w:embedItalic r:id="rId3" w:fontKey="{2DFA0D0F-5050-403E-9E8C-A6FD693800D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7FA04B12-45F6-4D24-882D-15C6ADE295E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041AC17E-6C94-4594-B3EF-8D62C938DA6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971A8900-BF0E-459E-A344-43B35C3FF9D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2A5"/>
    <w:rsid w:val="0032485E"/>
    <w:rsid w:val="00B03A3A"/>
    <w:rsid w:val="00B46166"/>
    <w:rsid w:val="00B820E7"/>
    <w:rsid w:val="00BC4C8B"/>
    <w:rsid w:val="00C131E4"/>
    <w:rsid w:val="00D0765D"/>
    <w:rsid w:val="00DA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20067A"/>
  <w15:docId w15:val="{014D49C8-5AC9-4C03-9E72-3BF6AC6A1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aconcuadrcula">
    <w:name w:val="Table Grid"/>
    <w:basedOn w:val="Tablanormal"/>
    <w:uiPriority w:val="39"/>
    <w:rsid w:val="00EB46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920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2011"/>
    <w:rPr>
      <w:rFonts w:ascii="Segoe UI" w:hAnsi="Segoe UI" w:cs="Segoe UI"/>
      <w:sz w:val="18"/>
      <w:szCs w:val="18"/>
      <w:lang w:val="en-GB"/>
    </w:rPr>
  </w:style>
  <w:style w:type="paragraph" w:styleId="Prrafodelista">
    <w:name w:val="List Paragraph"/>
    <w:basedOn w:val="Normal"/>
    <w:uiPriority w:val="34"/>
    <w:qFormat/>
    <w:rsid w:val="006418BC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6418BC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9D01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D01BB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9D01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01BB"/>
    <w:rPr>
      <w:lang w:val="en-GB"/>
    </w:rPr>
  </w:style>
  <w:style w:type="character" w:styleId="Refdecomentario">
    <w:name w:val="annotation reference"/>
    <w:basedOn w:val="Fuentedeprrafopredeter"/>
    <w:uiPriority w:val="99"/>
    <w:semiHidden/>
    <w:unhideWhenUsed/>
    <w:rsid w:val="00206C8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06C8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06C8C"/>
    <w:rPr>
      <w:sz w:val="20"/>
      <w:szCs w:val="20"/>
      <w:lang w:val="en-GB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06C8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06C8C"/>
    <w:rPr>
      <w:b/>
      <w:bCs/>
      <w:sz w:val="20"/>
      <w:szCs w:val="20"/>
      <w:lang w:val="en-GB"/>
    </w:rPr>
  </w:style>
  <w:style w:type="paragraph" w:styleId="Revisin">
    <w:name w:val="Revision"/>
    <w:hidden/>
    <w:uiPriority w:val="99"/>
    <w:semiHidden/>
    <w:rsid w:val="00206C8C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F6191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6191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tiDhEcOFrCnG1D4pw5d1v4FDOw==">CgMxLjAyDmgud3E1NW5pNzdhdnphOAByITE2VWJub0xNbExTUGo5WGlVWXVjeDRCMk5wUks4SDJFUQ==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227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Matias</dc:creator>
  <cp:lastModifiedBy>Alvaro</cp:lastModifiedBy>
  <cp:revision>6</cp:revision>
  <dcterms:created xsi:type="dcterms:W3CDTF">2026-02-26T15:46:00Z</dcterms:created>
  <dcterms:modified xsi:type="dcterms:W3CDTF">2026-04-02T12:35:00Z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361d7468-118b-4359-b1fc-4099cce078b1</vt:lpwstr>
  </property>
</Properties>
</file>