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BD87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Figure S1. Bootstrapped confidence intervals of edge weights</w:t>
      </w:r>
    </w:p>
    <w:p w14:paraId="46C237A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599305"/>
            <wp:effectExtent l="0" t="0" r="635" b="3175"/>
            <wp:docPr id="1" name="图片 1" descr="边的稳定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边的稳定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1B4FD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5BACDF98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216CFEA3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5A57B3D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0BB2666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Figure S2. Estimation of edge weight difference by bootstrapped difference test</w:t>
      </w:r>
    </w:p>
    <w:p w14:paraId="380B9D3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183380"/>
            <wp:effectExtent l="0" t="0" r="2540" b="7620"/>
            <wp:docPr id="2" name="图片 2" descr="边的差异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边的差异性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75AA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Figure S3. Nonparametric bootstrapped difference test</w:t>
      </w:r>
    </w:p>
    <w:p w14:paraId="0A00971F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5272405" cy="4020185"/>
            <wp:effectExtent l="0" t="0" r="635" b="3175"/>
            <wp:docPr id="3" name="图片 3" descr="EI差异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I差异性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65633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5272405" cy="4020185"/>
            <wp:effectExtent l="0" t="0" r="635" b="3175"/>
            <wp:docPr id="4" name="图片 4" descr="BEI差异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EI差异性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D5C39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52C5922E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114D4FC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00ECC1C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69A8BA4E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66ABD3EE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0145ACA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Table 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32"/>
        </w:rPr>
        <w:t>. Correlation matrix of the items</w:t>
      </w:r>
    </w:p>
    <w:tbl>
      <w:tblPr>
        <w:tblStyle w:val="6"/>
        <w:tblW w:w="8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36"/>
        <w:gridCol w:w="715"/>
        <w:gridCol w:w="715"/>
        <w:gridCol w:w="715"/>
        <w:gridCol w:w="715"/>
        <w:gridCol w:w="715"/>
        <w:gridCol w:w="716"/>
        <w:gridCol w:w="716"/>
        <w:gridCol w:w="716"/>
        <w:gridCol w:w="716"/>
        <w:gridCol w:w="716"/>
      </w:tblGrid>
      <w:tr w14:paraId="2424E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0117073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36" w:type="dxa"/>
            <w:vAlign w:val="center"/>
          </w:tcPr>
          <w:p w14:paraId="2FDA6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SCL1</w:t>
            </w:r>
          </w:p>
        </w:tc>
        <w:tc>
          <w:tcPr>
            <w:tcW w:w="715" w:type="dxa"/>
            <w:vAlign w:val="center"/>
          </w:tcPr>
          <w:p w14:paraId="500E9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SCL2</w:t>
            </w:r>
          </w:p>
        </w:tc>
        <w:tc>
          <w:tcPr>
            <w:tcW w:w="715" w:type="dxa"/>
            <w:vAlign w:val="center"/>
          </w:tcPr>
          <w:p w14:paraId="325E2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SCL3</w:t>
            </w:r>
          </w:p>
        </w:tc>
        <w:tc>
          <w:tcPr>
            <w:tcW w:w="715" w:type="dxa"/>
            <w:vAlign w:val="center"/>
          </w:tcPr>
          <w:p w14:paraId="16353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SCL4</w:t>
            </w:r>
          </w:p>
        </w:tc>
        <w:tc>
          <w:tcPr>
            <w:tcW w:w="715" w:type="dxa"/>
            <w:vAlign w:val="center"/>
          </w:tcPr>
          <w:p w14:paraId="5106E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SCL5</w:t>
            </w:r>
          </w:p>
        </w:tc>
        <w:tc>
          <w:tcPr>
            <w:tcW w:w="715" w:type="dxa"/>
            <w:vAlign w:val="center"/>
          </w:tcPr>
          <w:p w14:paraId="0AA4E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EPQ1</w:t>
            </w:r>
          </w:p>
        </w:tc>
        <w:tc>
          <w:tcPr>
            <w:tcW w:w="716" w:type="dxa"/>
            <w:vAlign w:val="center"/>
          </w:tcPr>
          <w:p w14:paraId="5E2D1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EPQ2</w:t>
            </w:r>
          </w:p>
        </w:tc>
        <w:tc>
          <w:tcPr>
            <w:tcW w:w="716" w:type="dxa"/>
            <w:vAlign w:val="center"/>
          </w:tcPr>
          <w:p w14:paraId="07E47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EPQ3</w:t>
            </w:r>
          </w:p>
        </w:tc>
        <w:tc>
          <w:tcPr>
            <w:tcW w:w="716" w:type="dxa"/>
            <w:vAlign w:val="center"/>
          </w:tcPr>
          <w:p w14:paraId="00701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MZQ1</w:t>
            </w:r>
          </w:p>
        </w:tc>
        <w:tc>
          <w:tcPr>
            <w:tcW w:w="716" w:type="dxa"/>
            <w:vAlign w:val="center"/>
          </w:tcPr>
          <w:p w14:paraId="03924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MZQ2</w:t>
            </w:r>
          </w:p>
        </w:tc>
        <w:tc>
          <w:tcPr>
            <w:tcW w:w="716" w:type="dxa"/>
            <w:vAlign w:val="center"/>
          </w:tcPr>
          <w:p w14:paraId="04FB4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MZQ3</w:t>
            </w:r>
          </w:p>
        </w:tc>
      </w:tr>
      <w:tr w14:paraId="6BA3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359E0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SCL1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A88F7B2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554E36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5946553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5318B4D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40479351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4B9F7003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547FC6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CA58A0A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8F17A7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32667F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7C1674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14:paraId="5B5D8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66961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SCL2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35F8505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0.063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19FF20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FA4AE9B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2AD39EB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7A9A455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5257ED2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4148955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08A641B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E54AE2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782CA0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F51B73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14:paraId="6A91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55B15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SCL3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CEB313C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0.150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C5733EA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0.195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2CC4566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4E8A83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11A2FF9D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2AB0CACD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E045B8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C03B078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557338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9FB2173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AB33E46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</w:tr>
      <w:tr w14:paraId="71A2B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49F29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SCL4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F07D6E3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0.379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C0049A3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0.189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0167EE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0.324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D16BC9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F5DBE6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6E867A13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FD2B53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1247AD7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C607E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5C1175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9690AF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</w:tr>
      <w:tr w14:paraId="7FCA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340F9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SCL5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8EA57D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-0.027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BE5DC26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0.286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45595F6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0.275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795DB08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0.192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44653BC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6259D1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F7F2733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E3D20AD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64435A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AF0CED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FB340A6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</w:tr>
      <w:tr w14:paraId="729D0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327C6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EPQ1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8DB1048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0.067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DC149B5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-0.020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C0A80A1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-0.06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0641057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0.002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D2A266C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-0.150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33DD61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6B6508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26373DA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7B33EC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548A15B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629BC5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</w:tr>
      <w:tr w14:paraId="1391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4C21F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EPQ2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F67728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0.004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F7BFA1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0.126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A0A220B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0.073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CD0955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0.106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63389AB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0.140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E88C10A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0.086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395DFA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81A59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7DA2C65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4586558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070747C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</w:tr>
      <w:tr w14:paraId="7E5B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0613F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EPQ3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FB7F005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0.114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D28FD7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-0.123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1F1E57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0.122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B8283E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181E21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68112F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-0.090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BC5693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0.087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4FB3AF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B6557E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D887992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C7C9841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</w:tr>
      <w:tr w14:paraId="58D69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7D9D2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MZQ1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5D2318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6609805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5A6E62D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FEDD831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-0.01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D6844F8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0.006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00677B8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25743C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0.474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53EB3F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71527B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3754683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9A420AD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</w:tr>
      <w:tr w14:paraId="458C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22C4E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MZQ2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3E28C70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2392C7D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0.011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65A2664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0.187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B1B0B8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5122EB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0.047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E61E27A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-0.015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DAE164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0.002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BB0AFC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0DCD1F7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0.044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B11B008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8E26057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</w:p>
        </w:tc>
      </w:tr>
      <w:tr w14:paraId="5CF10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14:paraId="5EEF0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MZQ3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A0FCCD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65DF437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0.002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038E3F5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0.028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6C3F05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3.400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A24822C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0.306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A0CFA1D">
            <w:pPr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CE2E884">
            <w:pPr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ED637B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0.012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BCB7609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3"/>
                <w:szCs w:val="13"/>
              </w:rPr>
              <w:t>0.000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7168F8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-0.050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655FFE">
            <w:pPr>
              <w:tabs>
                <w:tab w:val="left" w:pos="120"/>
                <w:tab w:val="left" w:pos="5568"/>
              </w:tabs>
              <w:spacing w:line="360" w:lineRule="auto"/>
              <w:jc w:val="left"/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3"/>
                <w:szCs w:val="13"/>
                <w:lang w:val="en-US" w:eastAsia="zh-CN"/>
              </w:rPr>
              <w:t>0.000</w:t>
            </w:r>
          </w:p>
        </w:tc>
      </w:tr>
    </w:tbl>
    <w:p w14:paraId="3338DD3F">
      <w:pPr>
        <w:spacing w:line="360" w:lineRule="auto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134" w:right="1134" w:bottom="1134" w:left="1134" w:header="706" w:footer="706" w:gutter="0"/>
          <w:cols w:space="708" w:num="1"/>
          <w:docGrid w:type="lines" w:linePitch="326" w:charSpace="0"/>
        </w:sectPr>
      </w:pPr>
    </w:p>
    <w:p w14:paraId="5FE3A8EA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824730" cy="3618865"/>
            <wp:effectExtent l="0" t="0" r="6350" b="8255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4730" cy="3618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7BC2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  <w:bdr w:val="none" w:color="auto" w:sz="0" w:space="0"/>
        </w:rPr>
        <w:t>1. Community Detection via Walktrap Algorithm</w:t>
      </w:r>
    </w:p>
    <w:p w14:paraId="7724C3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  <w:bdr w:val="none" w:color="auto" w:sz="0" w:space="0"/>
        </w:rPr>
        <w:t>Methods</w:t>
      </w:r>
    </w:p>
    <w:p w14:paraId="50ACE5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19"/>
          <w:szCs w:val="19"/>
        </w:rPr>
      </w:pP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 xml:space="preserve">Community detection was conducted using the 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walktrap algorithm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 xml:space="preserve"> (igraph package, R), based on 3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noBreakHyphen/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step random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noBreakHyphen/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walk similarity. Optimal community partitioning was determined by maximizing modularity (</w:t>
      </w:r>
      <w:r>
        <w:rPr>
          <w:rStyle w:val="9"/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Q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).</w:t>
      </w:r>
    </w:p>
    <w:p w14:paraId="7679D0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  <w:bdr w:val="none" w:color="auto" w:sz="0" w:space="0"/>
        </w:rPr>
        <w:t>Results</w:t>
      </w:r>
    </w:p>
    <w:p w14:paraId="66B3D4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19"/>
          <w:szCs w:val="19"/>
        </w:rPr>
      </w:pP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 xml:space="preserve">Modularity 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Q = 0.062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, confirming a weak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noBreakHyphen/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to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noBreakHyphen/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moderate community structure in this trans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noBreakHyphen/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 xml:space="preserve">domain psychological network.As shown in 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Supplementary Figure 1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 xml:space="preserve">, the walktrap algorithm identified 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two empirical communities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:</w:t>
      </w:r>
    </w:p>
    <w:p w14:paraId="493F1F8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19"/>
          <w:szCs w:val="19"/>
        </w:rPr>
      </w:pPr>
      <w:r>
        <w:rPr>
          <w:rStyle w:val="8"/>
          <w:b/>
          <w:bCs/>
          <w:color w:val="000000"/>
          <w:sz w:val="19"/>
          <w:szCs w:val="19"/>
          <w:bdr w:val="none" w:color="auto" w:sz="0" w:space="0"/>
        </w:rPr>
        <w:t>Red community</w:t>
      </w:r>
      <w:r>
        <w:rPr>
          <w:color w:val="000000"/>
          <w:sz w:val="19"/>
          <w:szCs w:val="19"/>
          <w:bdr w:val="none" w:color="auto" w:sz="0" w:space="0"/>
        </w:rPr>
        <w:t>: EPQ1, EPQ2, EPQ3, MZQ1, MZQ3, SCL1, SCL4, SCL5 (personality</w:t>
      </w:r>
      <w:r>
        <w:rPr>
          <w:color w:val="000000"/>
          <w:sz w:val="19"/>
          <w:szCs w:val="19"/>
          <w:bdr w:val="none" w:color="auto" w:sz="0" w:space="0"/>
        </w:rPr>
        <w:noBreakHyphen/>
      </w:r>
      <w:r>
        <w:rPr>
          <w:color w:val="000000"/>
          <w:sz w:val="19"/>
          <w:szCs w:val="19"/>
          <w:bdr w:val="none" w:color="auto" w:sz="0" w:space="0"/>
        </w:rPr>
        <w:t>mentalizing</w:t>
      </w:r>
      <w:r>
        <w:rPr>
          <w:color w:val="000000"/>
          <w:sz w:val="19"/>
          <w:szCs w:val="19"/>
          <w:bdr w:val="none" w:color="auto" w:sz="0" w:space="0"/>
        </w:rPr>
        <w:noBreakHyphen/>
      </w:r>
      <w:r>
        <w:rPr>
          <w:color w:val="000000"/>
          <w:sz w:val="19"/>
          <w:szCs w:val="19"/>
          <w:bdr w:val="none" w:color="auto" w:sz="0" w:space="0"/>
        </w:rPr>
        <w:t>interpersonal distress cluster)</w:t>
      </w:r>
    </w:p>
    <w:p w14:paraId="3BFEE10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19"/>
          <w:szCs w:val="19"/>
        </w:rPr>
      </w:pPr>
      <w:r>
        <w:rPr>
          <w:rStyle w:val="8"/>
          <w:b/>
          <w:bCs/>
          <w:color w:val="000000"/>
          <w:sz w:val="19"/>
          <w:szCs w:val="19"/>
          <w:bdr w:val="none" w:color="auto" w:sz="0" w:space="0"/>
        </w:rPr>
        <w:t>Cyan community</w:t>
      </w:r>
      <w:r>
        <w:rPr>
          <w:color w:val="000000"/>
          <w:sz w:val="19"/>
          <w:szCs w:val="19"/>
          <w:bdr w:val="none" w:color="auto" w:sz="0" w:space="0"/>
        </w:rPr>
        <w:t>: MZQ2, SCL2, SCL3, UPI (general psychological distress cluster)</w:t>
      </w:r>
    </w:p>
    <w:p w14:paraId="40C49A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  <w:bdr w:val="none" w:color="auto" w:sz="0" w:space="0"/>
        </w:rPr>
        <w:t>Figure Interpretation</w:t>
      </w:r>
    </w:p>
    <w:p w14:paraId="3626E1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19"/>
          <w:szCs w:val="19"/>
        </w:rPr>
      </w:pP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The two data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noBreakHyphen/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driven communities partially overlapped with our theoretical a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noBreakHyphen/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 xml:space="preserve">priori grouping (Personality, Mentalizing, Psychological Distress). The merging of personality, mentalizing, and interpersonal distress nodes into one cluster empirically supports our core finding: 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neuroticism (EPQ2) acts as a critical bridge trait linking personality, mentalizing deficits, and distress</w:t>
      </w:r>
      <w:r>
        <w:rPr>
          <w:rFonts w:ascii="宋体" w:hAnsi="宋体" w:eastAsia="宋体" w:cs="宋体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. The cyan cluster reflects shared variance among general psychological distress symptoms and hypermentalizing (MZQ2).</w:t>
      </w:r>
    </w:p>
    <w:p w14:paraId="1914B5C4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8A211A"/>
    <w:multiLevelType w:val="multilevel"/>
    <w:tmpl w:val="3E8A211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5515C"/>
    <w:rsid w:val="0C48260B"/>
    <w:rsid w:val="105656D9"/>
    <w:rsid w:val="25304A1B"/>
    <w:rsid w:val="488E356E"/>
    <w:rsid w:val="5C95515C"/>
    <w:rsid w:val="713003C1"/>
    <w:rsid w:val="760F7D36"/>
    <w:rsid w:val="7EBC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120</Words>
  <Characters>630</Characters>
  <Lines>0</Lines>
  <Paragraphs>0</Paragraphs>
  <TotalTime>25</TotalTime>
  <ScaleCrop>false</ScaleCrop>
  <LinksUpToDate>false</LinksUpToDate>
  <CharactersWithSpaces>658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2025-11-21T12:06:00Z</dcterms:created>
  <dc:creator>物一 黄小宇</dc:creator>
  <cp:lastModifiedBy>物一 黄小宇</cp:lastModifiedBy>
  <dcterms:modified xsi:type="dcterms:W3CDTF">2026-05-24T14:17:58Z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879FA23022D94C1B9E25D52AC19C72EB_13</vt:lpwstr>
  </property>
  <property fmtid="{D5CDD505-2E9C-101B-9397-08002B2CF9AE}" pid="4" name="KSOTemplateDocerSaveRecord">
    <vt:lpwstr>eyJoZGlkIjoiNjhhYjNiY2Q4ZDUwODM2NGQ3YTEwMjkzZGJmMzZlZWQiLCJ1c2VySWQiOiIxNDc5NDAwMTQ4In0=</vt:lpwstr>
  </property>
</Properties>
</file>