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62EE6">
      <w:pPr>
        <w:jc w:val="center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Table S5. Diagnostics for interrupted time series models</w:t>
      </w:r>
    </w:p>
    <w:p w14:paraId="00E954F6">
      <w:pPr>
        <w:rPr>
          <w:rFonts w:hint="eastAsia"/>
        </w:rPr>
      </w:pPr>
    </w:p>
    <w:tbl>
      <w:tblPr>
        <w:tblStyle w:val="3"/>
        <w:tblW w:w="806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770"/>
        <w:gridCol w:w="1941"/>
        <w:gridCol w:w="1397"/>
        <w:gridCol w:w="1350"/>
      </w:tblGrid>
      <w:tr w14:paraId="569B6D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05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111DFB0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Outcome</w:t>
            </w:r>
          </w:p>
        </w:tc>
        <w:tc>
          <w:tcPr>
            <w:tcW w:w="177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0D17766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Durbin-Watson statistic</w:t>
            </w:r>
          </w:p>
        </w:tc>
        <w:tc>
          <w:tcPr>
            <w:tcW w:w="194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B9B75F1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p-value (autocorrelation)</w:t>
            </w:r>
          </w:p>
        </w:tc>
        <w:tc>
          <w:tcPr>
            <w:tcW w:w="139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0F2F8AF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Seasonality test (Wald)</w:t>
            </w:r>
          </w:p>
        </w:tc>
        <w:tc>
          <w:tcPr>
            <w:tcW w:w="135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B44B8B5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/>
                <w:b/>
                <w:bCs/>
              </w:rPr>
              <w:t>p-value</w:t>
            </w:r>
          </w:p>
        </w:tc>
      </w:tr>
      <w:tr w14:paraId="4EEDFB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tcBorders>
              <w:top w:val="single" w:color="auto" w:sz="6" w:space="0"/>
              <w:bottom w:val="nil"/>
            </w:tcBorders>
            <w:vAlign w:val="center"/>
          </w:tcPr>
          <w:p w14:paraId="0BFC9821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Median response time</w:t>
            </w:r>
          </w:p>
        </w:tc>
        <w:tc>
          <w:tcPr>
            <w:tcW w:w="1770" w:type="dxa"/>
            <w:tcBorders>
              <w:top w:val="single" w:color="auto" w:sz="6" w:space="0"/>
              <w:bottom w:val="nil"/>
            </w:tcBorders>
            <w:vAlign w:val="center"/>
          </w:tcPr>
          <w:p w14:paraId="1D1D358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1.94</w:t>
            </w:r>
          </w:p>
        </w:tc>
        <w:tc>
          <w:tcPr>
            <w:tcW w:w="1941" w:type="dxa"/>
            <w:tcBorders>
              <w:top w:val="single" w:color="auto" w:sz="6" w:space="0"/>
              <w:bottom w:val="nil"/>
            </w:tcBorders>
            <w:vAlign w:val="center"/>
          </w:tcPr>
          <w:p w14:paraId="01EEB7A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0.58</w:t>
            </w:r>
          </w:p>
        </w:tc>
        <w:tc>
          <w:tcPr>
            <w:tcW w:w="1397" w:type="dxa"/>
            <w:tcBorders>
              <w:top w:val="single" w:color="auto" w:sz="6" w:space="0"/>
              <w:bottom w:val="nil"/>
            </w:tcBorders>
            <w:vAlign w:val="center"/>
          </w:tcPr>
          <w:p w14:paraId="132F598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χ²(11)=14.2</w:t>
            </w:r>
          </w:p>
        </w:tc>
        <w:tc>
          <w:tcPr>
            <w:tcW w:w="1350" w:type="dxa"/>
            <w:tcBorders>
              <w:top w:val="single" w:color="auto" w:sz="6" w:space="0"/>
              <w:bottom w:val="nil"/>
            </w:tcBorders>
            <w:vAlign w:val="center"/>
          </w:tcPr>
          <w:p w14:paraId="3633969D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0.22</w:t>
            </w:r>
          </w:p>
        </w:tc>
      </w:tr>
      <w:tr w14:paraId="5FF05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tcBorders>
              <w:top w:val="nil"/>
            </w:tcBorders>
            <w:vAlign w:val="center"/>
          </w:tcPr>
          <w:p w14:paraId="136A4591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Pre-hospital STEMI ID</w:t>
            </w:r>
          </w:p>
        </w:tc>
        <w:tc>
          <w:tcPr>
            <w:tcW w:w="1770" w:type="dxa"/>
            <w:tcBorders>
              <w:top w:val="nil"/>
            </w:tcBorders>
            <w:vAlign w:val="center"/>
          </w:tcPr>
          <w:p w14:paraId="2F51026B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1.87</w:t>
            </w:r>
          </w:p>
        </w:tc>
        <w:tc>
          <w:tcPr>
            <w:tcW w:w="1941" w:type="dxa"/>
            <w:tcBorders>
              <w:top w:val="nil"/>
            </w:tcBorders>
            <w:vAlign w:val="center"/>
          </w:tcPr>
          <w:p w14:paraId="46646642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 0.41</w:t>
            </w:r>
          </w:p>
        </w:tc>
        <w:tc>
          <w:tcPr>
            <w:tcW w:w="1397" w:type="dxa"/>
            <w:tcBorders>
              <w:top w:val="nil"/>
            </w:tcBorders>
            <w:vAlign w:val="center"/>
          </w:tcPr>
          <w:p w14:paraId="26F98CF0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χ²(11)=12.5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4B9035FA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0.33</w:t>
            </w:r>
          </w:p>
        </w:tc>
      </w:tr>
      <w:tr w14:paraId="04C691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5" w:type="dxa"/>
            <w:tcBorders>
              <w:top w:val="nil"/>
              <w:bottom w:val="single" w:color="auto" w:sz="12" w:space="0"/>
            </w:tcBorders>
            <w:vAlign w:val="center"/>
          </w:tcPr>
          <w:p w14:paraId="46A031F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ROSC rate for OHCA</w:t>
            </w:r>
          </w:p>
        </w:tc>
        <w:tc>
          <w:tcPr>
            <w:tcW w:w="1770" w:type="dxa"/>
            <w:tcBorders>
              <w:top w:val="nil"/>
              <w:bottom w:val="single" w:color="auto" w:sz="12" w:space="0"/>
            </w:tcBorders>
            <w:vAlign w:val="center"/>
          </w:tcPr>
          <w:p w14:paraId="25736976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 xml:space="preserve">2.01 </w:t>
            </w:r>
          </w:p>
        </w:tc>
        <w:tc>
          <w:tcPr>
            <w:tcW w:w="1941" w:type="dxa"/>
            <w:tcBorders>
              <w:top w:val="nil"/>
              <w:bottom w:val="single" w:color="auto" w:sz="12" w:space="0"/>
            </w:tcBorders>
            <w:vAlign w:val="center"/>
          </w:tcPr>
          <w:p w14:paraId="1DE1D8D8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0.82</w:t>
            </w:r>
          </w:p>
        </w:tc>
        <w:tc>
          <w:tcPr>
            <w:tcW w:w="1397" w:type="dxa"/>
            <w:tcBorders>
              <w:top w:val="nil"/>
              <w:bottom w:val="single" w:color="auto" w:sz="12" w:space="0"/>
            </w:tcBorders>
            <w:vAlign w:val="center"/>
          </w:tcPr>
          <w:p w14:paraId="088AB9E2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χ²(11)=10.9</w:t>
            </w:r>
          </w:p>
        </w:tc>
        <w:tc>
          <w:tcPr>
            <w:tcW w:w="1350" w:type="dxa"/>
            <w:tcBorders>
              <w:top w:val="nil"/>
              <w:bottom w:val="single" w:color="auto" w:sz="12" w:space="0"/>
            </w:tcBorders>
            <w:vAlign w:val="center"/>
          </w:tcPr>
          <w:p w14:paraId="535D212E"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hint="eastAsia"/>
              </w:rPr>
              <w:t>0.45</w:t>
            </w:r>
          </w:p>
        </w:tc>
      </w:tr>
    </w:tbl>
    <w:p w14:paraId="0EA489E5">
      <w:pPr>
        <w:rPr>
          <w:rFonts w:hint="eastAsia"/>
        </w:rPr>
      </w:pPr>
      <w:bookmarkStart w:id="0" w:name="_GoBack"/>
      <w:bookmarkEnd w:id="0"/>
    </w:p>
    <w:p w14:paraId="07874E81">
      <w:pPr>
        <w:rPr>
          <w:rFonts w:hint="eastAsia"/>
        </w:rPr>
      </w:pPr>
      <w:r>
        <w:rPr>
          <w:rFonts w:hint="eastAsia"/>
          <w:i/>
          <w:iCs/>
        </w:rPr>
        <w:t>Interpretation: No significant residual autocorrelation or seasonality detected in any outcome. Models with monthly indicators did not significantly improve fit over linear time trend.</w:t>
      </w:r>
    </w:p>
    <w:p w14:paraId="5E20F2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166EFF"/>
    <w:rsid w:val="4CC052CA"/>
    <w:rsid w:val="60C0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2026-06-08T12:52:45Z</dcterms:created>
  <dc:creator>管理员</dc:creator>
  <cp:lastModifiedBy>雄鹰</cp:lastModifiedBy>
  <dcterms:modified xsi:type="dcterms:W3CDTF">2026-06-08T12:57:07Z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eyJoZGlkIjoiZTU5NGI5NGVmZWRkNjQyMjI0MGNkNDQzMjQyNWUxNTkiLCJ1c2VySWQiOiIyMzI5MDQzMjAifQ==</vt:lpwstr>
  </property>
  <property fmtid="{D5CDD505-2E9C-101B-9397-08002B2CF9AE}" pid="4" name="ICV">
    <vt:lpwstr>FB9FA49167EA4969AC6C8341B1D36FA7_12</vt:lpwstr>
  </property>
</Properties>
</file>