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3738A">
      <w:pPr>
        <w:jc w:val="center"/>
        <w:rPr>
          <w:rFonts w:hint="eastAsi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S6. Real-time operational performance of AI alerts during post-implementation period (July–December 2023, n=621 calls)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Spec="center" w:tblpY="294"/>
        <w:tblOverlap w:val="never"/>
        <w:tblW w:w="832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3099"/>
        <w:gridCol w:w="2991"/>
      </w:tblGrid>
      <w:tr w14:paraId="5B7692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23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89901BD">
            <w:pPr>
              <w:jc w:val="center"/>
              <w:rPr>
                <w:rFonts w:hint="default" w:ascii="Times New Roman" w:hAnsi="Times New Roman" w:eastAsia="Arial Unicode MS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sz w:val="20"/>
                <w:szCs w:val="20"/>
              </w:rPr>
              <w:t>Metric</w:t>
            </w:r>
          </w:p>
        </w:tc>
        <w:tc>
          <w:tcPr>
            <w:tcW w:w="309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3345BFD">
            <w:pPr>
              <w:jc w:val="center"/>
              <w:rPr>
                <w:rFonts w:hint="default" w:ascii="Times New Roman" w:hAnsi="Times New Roman" w:eastAsia="Arial Unicode MS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sz w:val="20"/>
                <w:szCs w:val="20"/>
              </w:rPr>
              <w:t>Deterioration warning model</w:t>
            </w:r>
          </w:p>
        </w:tc>
        <w:tc>
          <w:tcPr>
            <w:tcW w:w="299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CECCA88">
            <w:pPr>
              <w:jc w:val="center"/>
              <w:rPr>
                <w:rFonts w:hint="default" w:ascii="Times New Roman" w:hAnsi="Times New Roman" w:eastAsia="Arial Unicode MS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sz w:val="20"/>
                <w:szCs w:val="20"/>
              </w:rPr>
              <w:t>STEMI detection model</w:t>
            </w:r>
          </w:p>
        </w:tc>
      </w:tr>
      <w:tr w14:paraId="6DBB08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11A02A1E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Alert threshold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639AA2B7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Risk score ≥65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20CEE4D7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Probability &gt;0.5</w:t>
            </w:r>
          </w:p>
        </w:tc>
      </w:tr>
      <w:tr w14:paraId="66910C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47AE68B3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Number of alerts (n, % of all calls)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1B7DD5BB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84 (13.5%)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34078FBB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40 (6.4%)*</w:t>
            </w:r>
          </w:p>
        </w:tc>
      </w:tr>
      <w:tr w14:paraId="7ACDD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3C835814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True positives (n)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6462AB69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34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2FB41FFA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32</w:t>
            </w:r>
          </w:p>
        </w:tc>
      </w:tr>
      <w:tr w14:paraId="141A7A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73072422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False positives (n)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42AAA50F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50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74A5B744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8</w:t>
            </w:r>
          </w:p>
        </w:tc>
      </w:tr>
      <w:tr w14:paraId="21C37F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1022DFB0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Sensitivity (%)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15FEF32E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74 (validation) / 71 (operational)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38B60556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92 (validation) / 94 (operational)</w:t>
            </w:r>
          </w:p>
        </w:tc>
      </w:tr>
      <w:tr w14:paraId="64FDAE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20A293AB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Specificity (%)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1CC28F44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91 (validation) / 89 (operational)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3C9E46CF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96 (validation) / 95 (operational)</w:t>
            </w:r>
          </w:p>
        </w:tc>
      </w:tr>
      <w:tr w14:paraId="04D02C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4AAEA287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Positive predictive value (PPV, %)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5F3DC80D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41% (34/84)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53D46BC4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80% (32/40)*</w:t>
            </w:r>
          </w:p>
        </w:tc>
      </w:tr>
      <w:tr w14:paraId="001412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bottom w:val="nil"/>
            </w:tcBorders>
            <w:vAlign w:val="center"/>
          </w:tcPr>
          <w:p w14:paraId="677EFC96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Negative predictive value (NPV, %)</w:t>
            </w:r>
          </w:p>
        </w:tc>
        <w:tc>
          <w:tcPr>
            <w:tcW w:w="3099" w:type="dxa"/>
            <w:tcBorders>
              <w:bottom w:val="nil"/>
            </w:tcBorders>
            <w:vAlign w:val="center"/>
          </w:tcPr>
          <w:p w14:paraId="560212AB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97%</w:t>
            </w:r>
          </w:p>
        </w:tc>
        <w:tc>
          <w:tcPr>
            <w:tcW w:w="2991" w:type="dxa"/>
            <w:tcBorders>
              <w:bottom w:val="nil"/>
            </w:tcBorders>
            <w:vAlign w:val="center"/>
          </w:tcPr>
          <w:p w14:paraId="3CF0D517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99%</w:t>
            </w:r>
          </w:p>
        </w:tc>
      </w:tr>
      <w:tr w14:paraId="36613C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2" w:type="dxa"/>
            <w:tcBorders>
              <w:top w:val="nil"/>
              <w:bottom w:val="single" w:color="auto" w:sz="12" w:space="0"/>
            </w:tcBorders>
            <w:vAlign w:val="center"/>
          </w:tcPr>
          <w:p w14:paraId="006E2F78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False positive rate (per 100 calls)</w:t>
            </w:r>
          </w:p>
        </w:tc>
        <w:tc>
          <w:tcPr>
            <w:tcW w:w="3099" w:type="dxa"/>
            <w:tcBorders>
              <w:top w:val="nil"/>
              <w:bottom w:val="single" w:color="auto" w:sz="12" w:space="0"/>
            </w:tcBorders>
            <w:vAlign w:val="center"/>
          </w:tcPr>
          <w:p w14:paraId="0E0248CA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8.1% (50/621)</w:t>
            </w:r>
          </w:p>
        </w:tc>
        <w:tc>
          <w:tcPr>
            <w:tcW w:w="2991" w:type="dxa"/>
            <w:tcBorders>
              <w:top w:val="nil"/>
              <w:bottom w:val="single" w:color="auto" w:sz="12" w:space="0"/>
            </w:tcBorders>
            <w:vAlign w:val="center"/>
          </w:tcPr>
          <w:p w14:paraId="02C60D44">
            <w:pPr>
              <w:jc w:val="center"/>
              <w:rPr>
                <w:rFonts w:hint="default" w:ascii="Times New Roman" w:hAnsi="Times New Roman" w:eastAsia="Arial Unicode MS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Arial Unicode MS" w:cs="Times New Roman"/>
                <w:sz w:val="20"/>
                <w:szCs w:val="20"/>
              </w:rPr>
              <w:t>1.3% (8/621)</w:t>
            </w:r>
          </w:p>
        </w:tc>
      </w:tr>
    </w:tbl>
    <w:p w14:paraId="6D142230">
      <w:pPr>
        <w:rPr>
          <w:rFonts w:hint="eastAsia"/>
        </w:rPr>
      </w:pPr>
    </w:p>
    <w:p w14:paraId="2FD7319F">
      <w:pPr>
        <w:rPr>
          <w:rFonts w:hint="eastAsia"/>
        </w:rPr>
      </w:pPr>
      <w:r>
        <w:rPr>
          <w:rFonts w:hint="eastAsia"/>
        </w:rPr>
        <w:t xml:space="preserve">*Note: </w:t>
      </w:r>
      <w:r>
        <w:rPr>
          <w:rFonts w:hint="eastAsia"/>
          <w:i/>
          <w:iCs/>
        </w:rPr>
        <w:t>STEMI alerts are triggered only for patients with ECG acquisition; denominator is 500 calls with ECG data. Operational sensitivity/specificity calculated against final hospital diagnosis.</w:t>
      </w:r>
    </w:p>
    <w:p w14:paraId="5B4E7A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36EC23E-DB95-44BF-942F-ED8C9126FD67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  <w:embedRegular r:id="rId2" w:fontKey="{D2A0CFAA-C260-45E7-8C6E-40B86AC21D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C4BEA"/>
    <w:rsid w:val="328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2026-06-08T12:57:55Z</dcterms:created>
  <dc:creator>管理员</dc:creator>
  <cp:lastModifiedBy>雄鹰</cp:lastModifiedBy>
  <dcterms:modified xsi:type="dcterms:W3CDTF">2026-06-08T13:04:54Z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eyJoZGlkIjoiZTU5NGI5NGVmZWRkNjQyMjI0MGNkNDQzMjQyNWUxNTkiLCJ1c2VySWQiOiIyMzI5MDQzMjAifQ==</vt:lpwstr>
  </property>
  <property fmtid="{D5CDD505-2E9C-101B-9397-08002B2CF9AE}" pid="4" name="ICV">
    <vt:lpwstr>602F1DF503DC42D3985F4AB82B4E99CC_12</vt:lpwstr>
  </property>
</Properties>
</file>