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30ABA">
      <w:pPr>
        <w:jc w:val="center"/>
        <w:rPr>
          <w:rFonts w:hint="eastAsia"/>
        </w:rPr>
      </w:pPr>
      <w:r>
        <w:rPr>
          <w:rFonts w:hint="eastAsia"/>
          <w:b/>
          <w:bCs/>
        </w:rPr>
        <w:t>Supplementary Table S1. Baseline Characteristics of Study Population by Period</w:t>
      </w:r>
    </w:p>
    <w:tbl>
      <w:tblPr>
        <w:tblStyle w:val="3"/>
        <w:tblW w:w="800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28"/>
        <w:gridCol w:w="1890"/>
        <w:gridCol w:w="1995"/>
        <w:gridCol w:w="1995"/>
      </w:tblGrid>
      <w:tr w14:paraId="3266BB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128" w:type="dxa"/>
            <w:vAlign w:val="center"/>
          </w:tcPr>
          <w:p w14:paraId="2D7D79A6">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b/>
                <w:bCs/>
                <w:color w:val="0000FF"/>
                <w:kern w:val="0"/>
                <w:sz w:val="32"/>
                <w:szCs w:val="32"/>
              </w:rPr>
            </w:pPr>
            <w:r>
              <w:rPr>
                <w:rFonts w:hint="eastAsia"/>
              </w:rPr>
              <w:t>Characteristic</w:t>
            </w:r>
          </w:p>
        </w:tc>
        <w:tc>
          <w:tcPr>
            <w:tcW w:w="1890" w:type="dxa"/>
            <w:vAlign w:val="center"/>
          </w:tcPr>
          <w:p w14:paraId="607EA320">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b/>
                <w:bCs/>
                <w:color w:val="0000FF"/>
                <w:kern w:val="0"/>
                <w:sz w:val="32"/>
                <w:szCs w:val="32"/>
              </w:rPr>
            </w:pPr>
            <w:r>
              <w:rPr>
                <w:rFonts w:hint="eastAsia"/>
              </w:rPr>
              <w:t>Pre-Implementation (n=587)</w:t>
            </w:r>
          </w:p>
        </w:tc>
        <w:tc>
          <w:tcPr>
            <w:tcW w:w="1995" w:type="dxa"/>
            <w:vAlign w:val="center"/>
          </w:tcPr>
          <w:p w14:paraId="1C59A8BC">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b/>
                <w:bCs/>
                <w:color w:val="0000FF"/>
                <w:kern w:val="0"/>
                <w:sz w:val="32"/>
                <w:szCs w:val="32"/>
              </w:rPr>
            </w:pPr>
            <w:r>
              <w:rPr>
                <w:rFonts w:hint="eastAsia"/>
              </w:rPr>
              <w:t>Post-Implementation (n=621)</w:t>
            </w:r>
          </w:p>
        </w:tc>
        <w:tc>
          <w:tcPr>
            <w:tcW w:w="1995" w:type="dxa"/>
            <w:vAlign w:val="center"/>
          </w:tcPr>
          <w:p w14:paraId="2D2CE125">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b/>
                <w:bCs/>
                <w:color w:val="0000FF"/>
                <w:kern w:val="0"/>
                <w:sz w:val="32"/>
                <w:szCs w:val="32"/>
              </w:rPr>
            </w:pPr>
            <w:r>
              <w:rPr>
                <w:rFonts w:hint="eastAsia"/>
              </w:rPr>
              <w:t>p-value</w:t>
            </w:r>
          </w:p>
        </w:tc>
      </w:tr>
      <w:tr w14:paraId="090E04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tcBorders>
              <w:top w:val="single" w:color="auto" w:sz="4" w:space="0"/>
            </w:tcBorders>
            <w:vAlign w:val="center"/>
          </w:tcPr>
          <w:p w14:paraId="5048ABA5">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sz w:val="32"/>
                <w:szCs w:val="32"/>
              </w:rPr>
            </w:pPr>
            <w:r>
              <w:rPr>
                <w:rFonts w:hint="eastAsia"/>
              </w:rPr>
              <w:t>Age, median (IQR), years</w:t>
            </w:r>
          </w:p>
        </w:tc>
        <w:tc>
          <w:tcPr>
            <w:tcW w:w="1890" w:type="dxa"/>
            <w:tcBorders>
              <w:top w:val="single" w:color="auto" w:sz="4" w:space="0"/>
            </w:tcBorders>
            <w:vAlign w:val="center"/>
          </w:tcPr>
          <w:p w14:paraId="59309DA0">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sz w:val="32"/>
                <w:szCs w:val="32"/>
              </w:rPr>
            </w:pPr>
            <w:r>
              <w:rPr>
                <w:rFonts w:hint="eastAsia"/>
              </w:rPr>
              <w:t>67 (54-78)</w:t>
            </w:r>
          </w:p>
        </w:tc>
        <w:tc>
          <w:tcPr>
            <w:tcW w:w="1995" w:type="dxa"/>
            <w:tcBorders>
              <w:top w:val="single" w:color="auto" w:sz="4" w:space="0"/>
            </w:tcBorders>
            <w:vAlign w:val="center"/>
          </w:tcPr>
          <w:p w14:paraId="63688058">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sz w:val="32"/>
                <w:szCs w:val="32"/>
              </w:rPr>
            </w:pPr>
            <w:r>
              <w:rPr>
                <w:rFonts w:hint="eastAsia"/>
              </w:rPr>
              <w:t>68 (55-79)</w:t>
            </w:r>
          </w:p>
        </w:tc>
        <w:tc>
          <w:tcPr>
            <w:tcW w:w="1995" w:type="dxa"/>
            <w:tcBorders>
              <w:top w:val="single" w:color="auto" w:sz="4" w:space="0"/>
            </w:tcBorders>
            <w:vAlign w:val="center"/>
          </w:tcPr>
          <w:p w14:paraId="077CE124">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sz w:val="32"/>
                <w:szCs w:val="32"/>
              </w:rPr>
            </w:pPr>
            <w:r>
              <w:rPr>
                <w:rFonts w:hint="eastAsia"/>
              </w:rPr>
              <w:t>0.42</w:t>
            </w:r>
          </w:p>
        </w:tc>
      </w:tr>
      <w:tr w14:paraId="4EF485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453F42E6">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Male, n (%)</w:t>
            </w:r>
          </w:p>
        </w:tc>
        <w:tc>
          <w:tcPr>
            <w:tcW w:w="1890" w:type="dxa"/>
            <w:vAlign w:val="center"/>
          </w:tcPr>
          <w:p w14:paraId="3AAEA344">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340 (58)</w:t>
            </w:r>
          </w:p>
        </w:tc>
        <w:tc>
          <w:tcPr>
            <w:tcW w:w="1995" w:type="dxa"/>
            <w:vAlign w:val="center"/>
          </w:tcPr>
          <w:p w14:paraId="2717AD7A">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366 (59)</w:t>
            </w:r>
          </w:p>
        </w:tc>
        <w:tc>
          <w:tcPr>
            <w:tcW w:w="1995" w:type="dxa"/>
            <w:vAlign w:val="center"/>
          </w:tcPr>
          <w:p w14:paraId="1BE8FD2B">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0.76</w:t>
            </w:r>
          </w:p>
        </w:tc>
      </w:tr>
      <w:tr w14:paraId="1EFFF7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009B03A4">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Urban cases, n (%)</w:t>
            </w:r>
          </w:p>
        </w:tc>
        <w:tc>
          <w:tcPr>
            <w:tcW w:w="1890" w:type="dxa"/>
            <w:vAlign w:val="center"/>
          </w:tcPr>
          <w:p w14:paraId="2AC7C217">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247 (42)</w:t>
            </w:r>
          </w:p>
        </w:tc>
        <w:tc>
          <w:tcPr>
            <w:tcW w:w="1995" w:type="dxa"/>
            <w:vAlign w:val="center"/>
          </w:tcPr>
          <w:p w14:paraId="2F517CF1">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273 (44)</w:t>
            </w:r>
          </w:p>
        </w:tc>
        <w:tc>
          <w:tcPr>
            <w:tcW w:w="1995" w:type="dxa"/>
            <w:vAlign w:val="center"/>
          </w:tcPr>
          <w:p w14:paraId="23A89B8F">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0.51</w:t>
            </w:r>
          </w:p>
        </w:tc>
      </w:tr>
      <w:tr w14:paraId="74FD27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5150128A">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Rural cases, n (%)</w:t>
            </w:r>
          </w:p>
        </w:tc>
        <w:tc>
          <w:tcPr>
            <w:tcW w:w="1890" w:type="dxa"/>
            <w:vAlign w:val="center"/>
          </w:tcPr>
          <w:p w14:paraId="14D46739">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340 (58)</w:t>
            </w:r>
          </w:p>
        </w:tc>
        <w:tc>
          <w:tcPr>
            <w:tcW w:w="1995" w:type="dxa"/>
            <w:vAlign w:val="center"/>
          </w:tcPr>
          <w:p w14:paraId="3590AA2A">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348 (56)</w:t>
            </w:r>
          </w:p>
        </w:tc>
        <w:tc>
          <w:tcPr>
            <w:tcW w:w="1995" w:type="dxa"/>
            <w:vAlign w:val="center"/>
          </w:tcPr>
          <w:p w14:paraId="42375F3A">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0.51</w:t>
            </w:r>
          </w:p>
        </w:tc>
      </w:tr>
      <w:tr w14:paraId="6E1EB0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19A3D6E5">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OHCA cases, n</w:t>
            </w:r>
          </w:p>
        </w:tc>
        <w:tc>
          <w:tcPr>
            <w:tcW w:w="1890" w:type="dxa"/>
            <w:vAlign w:val="center"/>
          </w:tcPr>
          <w:p w14:paraId="04815D09">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112</w:t>
            </w:r>
          </w:p>
        </w:tc>
        <w:tc>
          <w:tcPr>
            <w:tcW w:w="1995" w:type="dxa"/>
            <w:vAlign w:val="center"/>
          </w:tcPr>
          <w:p w14:paraId="0738570B">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126</w:t>
            </w:r>
          </w:p>
        </w:tc>
        <w:tc>
          <w:tcPr>
            <w:tcW w:w="1995" w:type="dxa"/>
            <w:vAlign w:val="center"/>
          </w:tcPr>
          <w:p w14:paraId="697A2C67">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0.38</w:t>
            </w:r>
          </w:p>
        </w:tc>
      </w:tr>
      <w:tr w14:paraId="066F3C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360CF4C0">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Confirmed STEMI cases, n</w:t>
            </w:r>
          </w:p>
        </w:tc>
        <w:tc>
          <w:tcPr>
            <w:tcW w:w="1890" w:type="dxa"/>
            <w:vAlign w:val="center"/>
          </w:tcPr>
          <w:p w14:paraId="7B465FE5">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80</w:t>
            </w:r>
          </w:p>
        </w:tc>
        <w:tc>
          <w:tcPr>
            <w:tcW w:w="1995" w:type="dxa"/>
            <w:vAlign w:val="center"/>
          </w:tcPr>
          <w:p w14:paraId="0EEF1A73">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82</w:t>
            </w:r>
          </w:p>
        </w:tc>
        <w:tc>
          <w:tcPr>
            <w:tcW w:w="1995" w:type="dxa"/>
            <w:vAlign w:val="center"/>
          </w:tcPr>
          <w:p w14:paraId="3DA12EB8">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0.91</w:t>
            </w:r>
          </w:p>
        </w:tc>
      </w:tr>
      <w:tr w14:paraId="234ED3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28" w:type="dxa"/>
            <w:vAlign w:val="center"/>
          </w:tcPr>
          <w:p w14:paraId="690AE67E">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Call-to-arrival time, median (IQR), minutes</w:t>
            </w:r>
          </w:p>
        </w:tc>
        <w:tc>
          <w:tcPr>
            <w:tcW w:w="1890" w:type="dxa"/>
            <w:vAlign w:val="center"/>
          </w:tcPr>
          <w:p w14:paraId="798FAF8B">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9.8 (7.2-13.1)</w:t>
            </w:r>
          </w:p>
        </w:tc>
        <w:tc>
          <w:tcPr>
            <w:tcW w:w="1995" w:type="dxa"/>
            <w:vAlign w:val="center"/>
          </w:tcPr>
          <w:p w14:paraId="2B37C98C">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6.7 (5.1-9.0)</w:t>
            </w:r>
          </w:p>
        </w:tc>
        <w:tc>
          <w:tcPr>
            <w:tcW w:w="1995" w:type="dxa"/>
            <w:vAlign w:val="center"/>
          </w:tcPr>
          <w:p w14:paraId="19B31F2D">
            <w:pPr>
              <w:keepNext w:val="0"/>
              <w:keepLines w:val="0"/>
              <w:pageBreakBefore w:val="0"/>
              <w:widowControl w:val="0"/>
              <w:kinsoku/>
              <w:wordWrap/>
              <w:overflowPunct/>
              <w:topLinePunct w:val="0"/>
              <w:bidi w:val="0"/>
              <w:snapToGrid/>
              <w:spacing w:line="240" w:lineRule="auto"/>
              <w:jc w:val="center"/>
              <w:textAlignment w:val="auto"/>
              <w:rPr>
                <w:rFonts w:hint="eastAsia" w:ascii="微软雅黑" w:hAnsi="微软雅黑" w:eastAsia="微软雅黑" w:cs="微软雅黑"/>
                <w:kern w:val="0"/>
                <w:sz w:val="32"/>
                <w:szCs w:val="32"/>
                <w:lang w:val="en-US" w:eastAsia="zh-CN"/>
              </w:rPr>
            </w:pPr>
            <w:r>
              <w:rPr>
                <w:rFonts w:hint="eastAsia"/>
              </w:rPr>
              <w:t>&lt;0.001</w:t>
            </w:r>
          </w:p>
        </w:tc>
      </w:tr>
    </w:tbl>
    <w:p w14:paraId="60F7523B">
      <w:pPr>
        <w:rPr>
          <w:rFonts w:hint="eastAsia"/>
        </w:rPr>
      </w:pPr>
    </w:p>
    <w:p w14:paraId="03B15328">
      <w:pPr>
        <w:rPr>
          <w:rFonts w:hint="eastAsia"/>
        </w:rPr>
      </w:pPr>
      <w:r>
        <w:rPr>
          <w:rFonts w:hint="eastAsia"/>
          <w:i/>
          <w:iCs/>
        </w:rPr>
        <w:t>Abbreviations: IQR, interquartile range; OHCA, out-of-hospital cardiac arrest; STEMI, ST-elevation myocardial infarction.</w:t>
      </w:r>
    </w:p>
    <w:p w14:paraId="781C2ADD">
      <w:pPr>
        <w:rPr>
          <w:rFonts w:hint="default" w:ascii="Times New Roman" w:hAnsi="Times New Roman" w:cs="Times New Roman"/>
          <w:b/>
          <w:bCs/>
        </w:rPr>
      </w:pPr>
    </w:p>
    <w:p w14:paraId="7AD89F6C">
      <w:pPr>
        <w:rPr>
          <w:rFonts w:hint="default" w:ascii="Times New Roman" w:hAnsi="Times New Roman" w:cs="Times New Roman"/>
          <w:b/>
          <w:bCs/>
        </w:rPr>
      </w:pPr>
      <w:bookmarkStart w:id="0" w:name="_GoBack"/>
      <w:bookmarkEnd w:id="0"/>
    </w:p>
    <w:p w14:paraId="19485809">
      <w:pPr>
        <w:rPr>
          <w:rFonts w:hint="default" w:ascii="Times New Roman" w:hAnsi="Times New Roman" w:cs="Times New Roman"/>
        </w:rPr>
      </w:pPr>
      <w:r>
        <w:rPr>
          <w:rFonts w:hint="default" w:ascii="Times New Roman" w:hAnsi="Times New Roman" w:cs="Times New Roman"/>
          <w:b/>
          <w:bCs/>
        </w:rPr>
        <w:t>Supplementary Table S1. Baseline Characteristics of Study Population by Period.*</w:t>
      </w:r>
      <w:r>
        <w:rPr>
          <w:rFonts w:hint="default" w:ascii="Times New Roman" w:hAnsi="Times New Roman" w:cs="Times New Roman"/>
        </w:rPr>
        <w:t>Comparison of demographic and clinical characteristics of emergency cases between the pre-implementation (January–December 2022) and post-implementation (July–December 2023) periods. No significant differences were observed between the two periods in age, sex, urban/rural distribution, number of OHCA cases, or number of confirmed STEMI cases, indicating comparability of the study populations. The significant difference in response time is attributable to the system intervention rather than population characteristics. IQR: interquartile range; OHCA: out-of-hospital cardiac arrest; STEMI: ST-elevation myocardial infarction.</w:t>
      </w:r>
    </w:p>
    <w:p w14:paraId="130AE2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22054A"/>
    <w:rsid w:val="6E0F4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85</Words>
  <Characters>625</Characters>
  <Lines>0</Lines>
  <Paragraphs>0</Paragraphs>
  <TotalTime>0</TotalTime>
  <ScaleCrop>false</ScaleCrop>
  <LinksUpToDate>false</LinksUpToDate>
  <CharactersWithSpaces>709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2026-02-23T11:53:00Z</dcterms:created>
  <dc:creator>管理员</dc:creator>
  <cp:lastModifiedBy>雄鹰</cp:lastModifiedBy>
  <dcterms:modified xsi:type="dcterms:W3CDTF">2026-02-23T12:20:15Z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eyJoZGlkIjoiMjA0ZGJkODY5ZjMzNzNiNmVkZjk0ZjIzNjliOTQ0MjUiLCJ1c2VySWQiOiIyMzI5MDQzMjAifQ==</vt:lpwstr>
  </property>
  <property fmtid="{D5CDD505-2E9C-101B-9397-08002B2CF9AE}" pid="4" name="ICV">
    <vt:lpwstr>D877A01976F64F4A9F6D4C3B1B7D9087_12</vt:lpwstr>
  </property>
</Properties>
</file>