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261A5"/>
    <w:p w14:paraId="5074027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Supplementary Methods: Detailed Description of AI Model Development, Feature Selection, and Validation Procedures.</w:t>
      </w:r>
    </w:p>
    <w:p w14:paraId="5D7FB85B">
      <w:pPr>
        <w:rPr>
          <w:rFonts w:hint="default" w:ascii="Times New Roman" w:hAnsi="Times New Roman" w:cs="Times New Roman"/>
        </w:rPr>
      </w:pPr>
    </w:p>
    <w:p w14:paraId="21868DB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Data Source and Cohort Construction:</w:t>
      </w:r>
      <w:r>
        <w:rPr>
          <w:rFonts w:hint="default" w:ascii="Times New Roman" w:hAnsi="Times New Roman" w:cs="Times New Roman"/>
        </w:rPr>
        <w:t xml:space="preserve"> Retrospective data from 5,247 emergency cases treated at participating hospitals between 2019 and 2021 were used. Inclusion criteria: (1) age ≥18 years; (2) transported by EMS to the emergency department; (3) complete records of key variables (vital signs, ECG, outcomes). Exclusion criteria: (1) declared dead before hospital arrival; (2) traumatic cardiac arrest; (3) &gt;20% missing data.</w:t>
      </w:r>
    </w:p>
    <w:p w14:paraId="4CCFAC86">
      <w:pPr>
        <w:rPr>
          <w:rFonts w:hint="default" w:ascii="Times New Roman" w:hAnsi="Times New Roman" w:cs="Times New Roman"/>
        </w:rPr>
      </w:pPr>
    </w:p>
    <w:p w14:paraId="4501D57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Feature Engineering:</w:t>
      </w:r>
      <w:r>
        <w:rPr>
          <w:rFonts w:hint="default" w:ascii="Times New Roman" w:hAnsi="Times New Roman" w:cs="Times New Roman"/>
        </w:rPr>
        <w:t xml:space="preserve"> A total of 47 candidate features were included: (1) </w:t>
      </w:r>
      <w:r>
        <w:rPr>
          <w:rFonts w:hint="default" w:ascii="Times New Roman" w:hAnsi="Times New Roman" w:cs="Times New Roman"/>
          <w:b/>
          <w:bCs/>
        </w:rPr>
        <w:t>Demographics</w:t>
      </w:r>
      <w:r>
        <w:rPr>
          <w:rFonts w:hint="default" w:ascii="Times New Roman" w:hAnsi="Times New Roman" w:cs="Times New Roman"/>
        </w:rPr>
        <w:t xml:space="preserve"> (age, sex); (2) </w:t>
      </w:r>
      <w:r>
        <w:rPr>
          <w:rFonts w:hint="default" w:ascii="Times New Roman" w:hAnsi="Times New Roman" w:cs="Times New Roman"/>
          <w:b/>
          <w:bCs/>
        </w:rPr>
        <w:t>Vital signs</w:t>
      </w:r>
      <w:r>
        <w:rPr>
          <w:rFonts w:hint="default" w:ascii="Times New Roman" w:hAnsi="Times New Roman" w:cs="Times New Roman"/>
        </w:rPr>
        <w:t xml:space="preserve"> (systolic/diastolic blood pressure, heart rate, respiratory rate, oxygen saturation, temperature) and their temporal trends (rate of change over preceding 30 minutes); (3) </w:t>
      </w:r>
      <w:r>
        <w:rPr>
          <w:rFonts w:hint="default" w:ascii="Times New Roman" w:hAnsi="Times New Roman" w:cs="Times New Roman"/>
          <w:b/>
          <w:bCs/>
        </w:rPr>
        <w:t>ECG features</w:t>
      </w:r>
      <w:r>
        <w:rPr>
          <w:rFonts w:hint="default" w:ascii="Times New Roman" w:hAnsi="Times New Roman" w:cs="Times New Roman"/>
        </w:rPr>
        <w:t xml:space="preserve"> (heart rate, QRS duration, QTc interval, ST elevation/depression, pathological Q waves, and 8 other automated measurements); (4) </w:t>
      </w:r>
      <w:r>
        <w:rPr>
          <w:rFonts w:hint="default" w:ascii="Times New Roman" w:hAnsi="Times New Roman" w:cs="Times New Roman"/>
          <w:b/>
          <w:bCs/>
        </w:rPr>
        <w:t>Laboratory tests</w:t>
      </w:r>
      <w:r>
        <w:rPr>
          <w:rFonts w:hint="default" w:ascii="Times New Roman" w:hAnsi="Times New Roman" w:cs="Times New Roman"/>
        </w:rPr>
        <w:t xml:space="preserve"> (point-of-care troponin, CK-MB, electrolytes, glucose, lactate); (5) </w:t>
      </w:r>
      <w:r>
        <w:rPr>
          <w:rFonts w:hint="default" w:ascii="Times New Roman" w:hAnsi="Times New Roman" w:cs="Times New Roman"/>
          <w:b/>
          <w:bCs/>
        </w:rPr>
        <w:t>Medical history</w:t>
      </w:r>
      <w:r>
        <w:rPr>
          <w:rFonts w:hint="default" w:ascii="Times New Roman" w:hAnsi="Times New Roman" w:cs="Times New Roman"/>
        </w:rPr>
        <w:t xml:space="preserve"> (hypertension, diabetes, coronary artery disease, heart failure, stroke, chronic kidney disease); (6) </w:t>
      </w:r>
      <w:r>
        <w:rPr>
          <w:rFonts w:hint="default" w:ascii="Times New Roman" w:hAnsi="Times New Roman" w:cs="Times New Roman"/>
          <w:b/>
          <w:bCs/>
        </w:rPr>
        <w:t>Scene characteristics</w:t>
      </w:r>
      <w:r>
        <w:rPr>
          <w:rFonts w:hint="default" w:ascii="Times New Roman" w:hAnsi="Times New Roman" w:cs="Times New Roman"/>
        </w:rPr>
        <w:t xml:space="preserve"> (response time, location type (urban/rural), witness status, bystander CPR). Continuous variables were standardized; categorical variables were one-hot encoded.</w:t>
      </w:r>
    </w:p>
    <w:p w14:paraId="4E3E00B2">
      <w:pPr>
        <w:rPr>
          <w:rFonts w:hint="default" w:ascii="Times New Roman" w:hAnsi="Times New Roman" w:cs="Times New Roman"/>
        </w:rPr>
      </w:pPr>
    </w:p>
    <w:p w14:paraId="6C0E42D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Model Development and Validation:</w:t>
      </w:r>
      <w:r>
        <w:rPr>
          <w:rFonts w:hint="default" w:ascii="Times New Roman" w:hAnsi="Times New Roman" w:cs="Times New Roman"/>
        </w:rPr>
        <w:t xml:space="preserve"> (1) </w:t>
      </w:r>
      <w:r>
        <w:rPr>
          <w:rFonts w:hint="default" w:ascii="Times New Roman" w:hAnsi="Times New Roman" w:cs="Times New Roman"/>
          <w:b/>
          <w:bCs/>
        </w:rPr>
        <w:t>Deterioration Warning Model:</w:t>
      </w:r>
      <w:r>
        <w:rPr>
          <w:rFonts w:hint="default" w:ascii="Times New Roman" w:hAnsi="Times New Roman" w:cs="Times New Roman"/>
        </w:rPr>
        <w:t xml:space="preserve"> Gradient boosting machines (XGBoost) were used to predict cardiac arrest, shock, or unplanned ICU admission within 6 hours. Ten-fold cross-validation with grid search was used for hyperparameter tuning (tree depth, learning rate, subsampling ratio). Performance was evaluated using AUC, sensitivity, specificity, and calibration plots. (2) </w:t>
      </w:r>
      <w:r>
        <w:rPr>
          <w:rFonts w:hint="default" w:ascii="Times New Roman" w:hAnsi="Times New Roman" w:cs="Times New Roman"/>
          <w:b/>
          <w:bCs/>
        </w:rPr>
        <w:t>STEMI Detection Model:</w:t>
      </w:r>
      <w:r>
        <w:rPr>
          <w:rFonts w:hint="default" w:ascii="Times New Roman" w:hAnsi="Times New Roman" w:cs="Times New Roman"/>
        </w:rPr>
        <w:t xml:space="preserve"> A convolutional neural network (CNN) was applied to 12-lead ECG signals. Input was raw ECG signals (10 seconds, 500Hz sampling); output was probability of STEMI. Ten-fold cross-validation was used, with performance evaluated by AUC, sensitivity, and specificity. Both models underwent calibration assessment (Hosmer-Lemeshow test) and decision curve analysis to evaluate clinical net benefit.</w:t>
      </w:r>
    </w:p>
    <w:p w14:paraId="6BA2DE5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1D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2026-02-23T11:54:08Z</dcterms:created>
  <dc:creator>管理员</dc:creator>
  <cp:lastModifiedBy>雄鹰</cp:lastModifiedBy>
  <dcterms:modified xsi:type="dcterms:W3CDTF">2026-02-23T11:54:31Z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eyJoZGlkIjoiMjA0ZGJkODY5ZjMzNzNiNmVkZjk0ZjIzNjliOTQ0MjUiLCJ1c2VySWQiOiIyMzI5MDQzMjAifQ==</vt:lpwstr>
  </property>
  <property fmtid="{D5CDD505-2E9C-101B-9397-08002B2CF9AE}" pid="4" name="ICV">
    <vt:lpwstr>56D1856BB22647AB90E5E1B23CA80042_12</vt:lpwstr>
  </property>
</Properties>
</file>