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D5E25">
      <w:pPr>
        <w:rPr>
          <w:rFonts w:hint="default" w:ascii="Times New Roman" w:hAnsi="Times New Roman" w:cs="Times New Roman"/>
          <w:b/>
          <w:bCs/>
        </w:rPr>
      </w:pPr>
    </w:p>
    <w:p w14:paraId="2263025F">
      <w:pPr>
        <w:rPr>
          <w:rFonts w:hint="eastAsia"/>
        </w:rPr>
      </w:pPr>
      <w:r>
        <w:rPr>
          <w:rFonts w:hint="eastAsia"/>
          <w:b/>
          <w:bCs/>
        </w:rPr>
        <w:t>Supplementary Table S2. AI Algorithm Performance Metrics During Validation and Operation</w:t>
      </w:r>
    </w:p>
    <w:p w14:paraId="32DF36C7">
      <w:pPr>
        <w:rPr>
          <w:rFonts w:hint="eastAsia"/>
        </w:rPr>
      </w:pPr>
    </w:p>
    <w:tbl>
      <w:tblPr>
        <w:tblStyle w:val="3"/>
        <w:tblW w:w="821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1526"/>
        <w:gridCol w:w="1695"/>
        <w:gridCol w:w="1665"/>
        <w:gridCol w:w="1665"/>
      </w:tblGrid>
      <w:tr w14:paraId="3FB1A5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663" w:type="dxa"/>
            <w:vAlign w:val="center"/>
          </w:tcPr>
          <w:p w14:paraId="5A3E4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/>
              </w:rPr>
              <w:t>Algorithm</w:t>
            </w:r>
          </w:p>
        </w:tc>
        <w:tc>
          <w:tcPr>
            <w:tcW w:w="1526" w:type="dxa"/>
            <w:vAlign w:val="center"/>
          </w:tcPr>
          <w:p w14:paraId="35BCD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/>
              </w:rPr>
              <w:t>Validation AUC (95% CI)</w:t>
            </w:r>
          </w:p>
        </w:tc>
        <w:tc>
          <w:tcPr>
            <w:tcW w:w="1695" w:type="dxa"/>
            <w:vAlign w:val="center"/>
          </w:tcPr>
          <w:p w14:paraId="16EC6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/>
              </w:rPr>
              <w:t xml:space="preserve">Operational Sensitivity </w:t>
            </w:r>
          </w:p>
        </w:tc>
        <w:tc>
          <w:tcPr>
            <w:tcW w:w="1665" w:type="dxa"/>
            <w:vAlign w:val="center"/>
          </w:tcPr>
          <w:p w14:paraId="2FE3F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/>
              </w:rPr>
              <w:t>Operational Specificity</w:t>
            </w:r>
          </w:p>
        </w:tc>
        <w:tc>
          <w:tcPr>
            <w:tcW w:w="1665" w:type="dxa"/>
            <w:vAlign w:val="center"/>
          </w:tcPr>
          <w:p w14:paraId="33E8F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/>
              </w:rPr>
              <w:t>PPV</w:t>
            </w:r>
          </w:p>
        </w:tc>
      </w:tr>
      <w:tr w14:paraId="5CC0E2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3" w:type="dxa"/>
            <w:tcBorders>
              <w:top w:val="single" w:color="auto" w:sz="4" w:space="0"/>
            </w:tcBorders>
            <w:vAlign w:val="center"/>
          </w:tcPr>
          <w:p w14:paraId="46249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 w:val="32"/>
                <w:szCs w:val="32"/>
              </w:rPr>
            </w:pPr>
            <w:r>
              <w:rPr>
                <w:rFonts w:hint="eastAsia"/>
              </w:rPr>
              <w:t>Deterioration warning</w:t>
            </w:r>
          </w:p>
        </w:tc>
        <w:tc>
          <w:tcPr>
            <w:tcW w:w="1526" w:type="dxa"/>
            <w:tcBorders>
              <w:top w:val="single" w:color="auto" w:sz="4" w:space="0"/>
            </w:tcBorders>
            <w:vAlign w:val="center"/>
          </w:tcPr>
          <w:p w14:paraId="5BA40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 w:val="32"/>
                <w:szCs w:val="32"/>
              </w:rPr>
            </w:pPr>
            <w:r>
              <w:rPr>
                <w:rFonts w:hint="eastAsia"/>
              </w:rPr>
              <w:t xml:space="preserve"> 0.89 (0.86-0.92)</w:t>
            </w:r>
          </w:p>
        </w:tc>
        <w:tc>
          <w:tcPr>
            <w:tcW w:w="1695" w:type="dxa"/>
            <w:tcBorders>
              <w:top w:val="single" w:color="auto" w:sz="4" w:space="0"/>
            </w:tcBorders>
            <w:vAlign w:val="center"/>
          </w:tcPr>
          <w:p w14:paraId="011D1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 w:val="32"/>
                <w:szCs w:val="32"/>
              </w:rPr>
            </w:pPr>
            <w:r>
              <w:rPr>
                <w:rFonts w:hint="eastAsia"/>
              </w:rPr>
              <w:t xml:space="preserve">84% </w:t>
            </w:r>
          </w:p>
        </w:tc>
        <w:tc>
          <w:tcPr>
            <w:tcW w:w="1665" w:type="dxa"/>
            <w:tcBorders>
              <w:top w:val="single" w:color="auto" w:sz="4" w:space="0"/>
            </w:tcBorders>
            <w:vAlign w:val="center"/>
          </w:tcPr>
          <w:p w14:paraId="6B600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 w:val="32"/>
                <w:szCs w:val="32"/>
              </w:rPr>
            </w:pPr>
            <w:r>
              <w:rPr>
                <w:rFonts w:hint="eastAsia"/>
              </w:rPr>
              <w:t xml:space="preserve">91% </w:t>
            </w:r>
          </w:p>
        </w:tc>
        <w:tc>
          <w:tcPr>
            <w:tcW w:w="1665" w:type="dxa"/>
            <w:tcBorders>
              <w:top w:val="single" w:color="auto" w:sz="4" w:space="0"/>
            </w:tcBorders>
            <w:vAlign w:val="center"/>
          </w:tcPr>
          <w:p w14:paraId="6DAB8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 w:val="32"/>
                <w:szCs w:val="32"/>
              </w:rPr>
            </w:pPr>
            <w:r>
              <w:rPr>
                <w:rFonts w:hint="eastAsia"/>
              </w:rPr>
              <w:t>41%</w:t>
            </w:r>
          </w:p>
        </w:tc>
      </w:tr>
      <w:tr w14:paraId="77477A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3" w:type="dxa"/>
            <w:vAlign w:val="center"/>
          </w:tcPr>
          <w:p w14:paraId="0263A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</w:rPr>
              <w:t xml:space="preserve">STEMI detection </w:t>
            </w:r>
          </w:p>
        </w:tc>
        <w:tc>
          <w:tcPr>
            <w:tcW w:w="1526" w:type="dxa"/>
            <w:vAlign w:val="center"/>
          </w:tcPr>
          <w:p w14:paraId="7DEB5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</w:rPr>
              <w:t xml:space="preserve">0.92 (0.89-0.94) </w:t>
            </w:r>
          </w:p>
        </w:tc>
        <w:tc>
          <w:tcPr>
            <w:tcW w:w="1695" w:type="dxa"/>
            <w:vAlign w:val="center"/>
          </w:tcPr>
          <w:p w14:paraId="13F4E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</w:rPr>
              <w:t xml:space="preserve">92% </w:t>
            </w:r>
          </w:p>
        </w:tc>
        <w:tc>
          <w:tcPr>
            <w:tcW w:w="1665" w:type="dxa"/>
            <w:vAlign w:val="center"/>
          </w:tcPr>
          <w:p w14:paraId="49073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</w:rPr>
              <w:t xml:space="preserve">96%  </w:t>
            </w:r>
          </w:p>
        </w:tc>
        <w:tc>
          <w:tcPr>
            <w:tcW w:w="1665" w:type="dxa"/>
            <w:vAlign w:val="center"/>
          </w:tcPr>
          <w:p w14:paraId="103FC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</w:rPr>
              <w:t>78%</w:t>
            </w:r>
          </w:p>
        </w:tc>
      </w:tr>
    </w:tbl>
    <w:p w14:paraId="2164B094">
      <w:pPr>
        <w:rPr>
          <w:rFonts w:hint="eastAsia"/>
        </w:rPr>
      </w:pPr>
    </w:p>
    <w:p w14:paraId="16F2FB58">
      <w:pPr>
        <w:rPr>
          <w:rFonts w:hint="eastAsia"/>
        </w:rPr>
      </w:pPr>
      <w:r>
        <w:rPr>
          <w:rFonts w:hint="eastAsia"/>
          <w:i/>
          <w:iCs/>
        </w:rPr>
        <w:t>Abbreviations: AUC, area under the receiver operating characteristic curve; CI, confidence interval; PPV, positive predictive value; STEMI, ST-elevation myocardial infarction.</w:t>
      </w:r>
    </w:p>
    <w:p w14:paraId="2EB36EC7">
      <w:pPr>
        <w:rPr>
          <w:rFonts w:hint="default" w:ascii="Times New Roman" w:hAnsi="Times New Roman" w:cs="Times New Roman"/>
          <w:b/>
          <w:bCs/>
        </w:rPr>
      </w:pPr>
      <w:bookmarkStart w:id="0" w:name="_GoBack"/>
      <w:bookmarkEnd w:id="0"/>
    </w:p>
    <w:p w14:paraId="2C7365A3">
      <w:pPr>
        <w:rPr>
          <w:rFonts w:hint="default" w:ascii="Times New Roman" w:hAnsi="Times New Roman" w:cs="Times New Roman"/>
          <w:b/>
          <w:bCs/>
        </w:rPr>
      </w:pPr>
    </w:p>
    <w:p w14:paraId="03D117F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Supplementary Table S2. AI Algorithm Performance Metrics During Validation and Operation.</w:t>
      </w:r>
      <w:r>
        <w:rPr>
          <w:rFonts w:hint="default" w:ascii="Times New Roman" w:hAnsi="Times New Roman" w:cs="Times New Roman"/>
        </w:rPr>
        <w:t xml:space="preserve"> Performance of the two core AI algorithms—deterioration warning model and STEMI detection model—during 10-fold cross-validation (validation set) and actual operation (July–December 2023). The deterioration warning model achieved a validation AUC of 0.89 (95% CI: 0.86–0.92), with operational sensitivity of 84%, specificity of 91%, and positive predictive value of 41%. The STEMI detection model achieved a validation AUC of 0.92 (95% CI: 0.89–0.94), with operational sensitivity of 92%, specificity of 96%, and positive predictive value of 78%. Both algorithms demonstrated consistent performance between validation and operation, indicating good generalizability and operational stability. AUC: area under the curve; CI: confidence interval; PPV: positive predictive value.</w:t>
      </w:r>
    </w:p>
    <w:p w14:paraId="53FA71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082C40"/>
    <w:rsid w:val="76A7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752</Characters>
  <Lines>0</Lines>
  <Paragraphs>0</Paragraphs>
  <TotalTime>0</TotalTime>
  <ScaleCrop>false</ScaleCrop>
  <LinksUpToDate>false</LinksUpToDate>
  <CharactersWithSpaces>865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2026-02-23T11:53:00Z</dcterms:created>
  <dc:creator>管理员</dc:creator>
  <cp:lastModifiedBy>雄鹰</cp:lastModifiedBy>
  <dcterms:modified xsi:type="dcterms:W3CDTF">2026-02-23T12:25:31Z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eyJoZGlkIjoiMjA0ZGJkODY5ZjMzNzNiNmVkZjk0ZjIzNjliOTQ0MjUiLCJ1c2VySWQiOiIyMzI5MDQzMjAifQ==</vt:lpwstr>
  </property>
  <property fmtid="{D5CDD505-2E9C-101B-9397-08002B2CF9AE}" pid="4" name="ICV">
    <vt:lpwstr>01459989000C41168911D9B79119EF9B_12</vt:lpwstr>
  </property>
</Properties>
</file>