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F6064">
      <w:pPr>
        <w:jc w:val="center"/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Table S4. Sensitivity analyses for interrupted time series models of primary outcomes</w:t>
      </w:r>
    </w:p>
    <w:p w14:paraId="3F4C9D01">
      <w:pPr>
        <w:rPr>
          <w:rFonts w:hint="eastAsia"/>
          <w:b/>
          <w:bCs/>
        </w:rPr>
      </w:pPr>
    </w:p>
    <w:tbl>
      <w:tblPr>
        <w:tblStyle w:val="3"/>
        <w:tblW w:w="778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7"/>
        <w:gridCol w:w="1850"/>
        <w:gridCol w:w="1690"/>
        <w:gridCol w:w="1170"/>
        <w:gridCol w:w="1350"/>
      </w:tblGrid>
      <w:tr w14:paraId="569B6D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72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111DFB0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/>
                <w:b/>
                <w:bCs/>
              </w:rPr>
              <w:t>Outcome</w:t>
            </w:r>
          </w:p>
        </w:tc>
        <w:tc>
          <w:tcPr>
            <w:tcW w:w="185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0D17766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/>
                <w:b/>
                <w:bCs/>
              </w:rPr>
              <w:t>Sensitivity specification</w:t>
            </w:r>
          </w:p>
        </w:tc>
        <w:tc>
          <w:tcPr>
            <w:tcW w:w="169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B9B75F1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/>
                <w:b/>
                <w:bCs/>
              </w:rPr>
              <w:t>Coefficient (level change)</w:t>
            </w:r>
          </w:p>
        </w:tc>
        <w:tc>
          <w:tcPr>
            <w:tcW w:w="117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0F2F8AF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/>
                <w:b/>
                <w:bCs/>
              </w:rPr>
              <w:t>95% CI</w:t>
            </w:r>
          </w:p>
        </w:tc>
        <w:tc>
          <w:tcPr>
            <w:tcW w:w="135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B44B8B5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/>
                <w:b/>
                <w:bCs/>
              </w:rPr>
              <w:t>p-value</w:t>
            </w:r>
          </w:p>
        </w:tc>
      </w:tr>
      <w:tr w14:paraId="4EEDFB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single" w:color="auto" w:sz="6" w:space="0"/>
              <w:bottom w:val="nil"/>
            </w:tcBorders>
            <w:vAlign w:val="center"/>
          </w:tcPr>
          <w:p w14:paraId="0BFC9821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Median response time (minutes)</w:t>
            </w:r>
          </w:p>
        </w:tc>
        <w:tc>
          <w:tcPr>
            <w:tcW w:w="1850" w:type="dxa"/>
            <w:tcBorders>
              <w:top w:val="single" w:color="auto" w:sz="6" w:space="0"/>
              <w:bottom w:val="nil"/>
            </w:tcBorders>
            <w:vAlign w:val="center"/>
          </w:tcPr>
          <w:p w14:paraId="1D1D3588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Primary mode</w:t>
            </w:r>
          </w:p>
        </w:tc>
        <w:tc>
          <w:tcPr>
            <w:tcW w:w="1690" w:type="dxa"/>
            <w:tcBorders>
              <w:top w:val="single" w:color="auto" w:sz="6" w:space="0"/>
              <w:bottom w:val="nil"/>
            </w:tcBorders>
            <w:vAlign w:val="center"/>
          </w:tcPr>
          <w:p w14:paraId="01EEB7AD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-2.8</w:t>
            </w:r>
          </w:p>
        </w:tc>
        <w:tc>
          <w:tcPr>
            <w:tcW w:w="1170" w:type="dxa"/>
            <w:tcBorders>
              <w:top w:val="single" w:color="auto" w:sz="6" w:space="0"/>
              <w:bottom w:val="nil"/>
            </w:tcBorders>
            <w:vAlign w:val="center"/>
          </w:tcPr>
          <w:p w14:paraId="132F598B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-3.7 to -1.9</w:t>
            </w:r>
          </w:p>
        </w:tc>
        <w:tc>
          <w:tcPr>
            <w:tcW w:w="1350" w:type="dxa"/>
            <w:tcBorders>
              <w:top w:val="single" w:color="auto" w:sz="6" w:space="0"/>
              <w:bottom w:val="nil"/>
            </w:tcBorders>
            <w:vAlign w:val="center"/>
          </w:tcPr>
          <w:p w14:paraId="3633969D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&lt;0.001</w:t>
            </w:r>
          </w:p>
        </w:tc>
      </w:tr>
      <w:tr w14:paraId="5FF05D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</w:tcBorders>
            <w:vAlign w:val="center"/>
          </w:tcPr>
          <w:p w14:paraId="136A4591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2F51026B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3-month lagged intervention </w:t>
            </w:r>
          </w:p>
        </w:tc>
        <w:tc>
          <w:tcPr>
            <w:tcW w:w="1690" w:type="dxa"/>
            <w:tcBorders>
              <w:top w:val="nil"/>
            </w:tcBorders>
            <w:vAlign w:val="center"/>
          </w:tcPr>
          <w:p w14:paraId="46646642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-2.6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26F98CF0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-3.5 to -1.7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4B9035FA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&lt;0.001</w:t>
            </w:r>
          </w:p>
        </w:tc>
      </w:tr>
      <w:tr w14:paraId="37466B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</w:tcBorders>
            <w:vAlign w:val="center"/>
          </w:tcPr>
          <w:p w14:paraId="7479887C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7FFC391B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Excluding first post-month</w:t>
            </w:r>
          </w:p>
        </w:tc>
        <w:tc>
          <w:tcPr>
            <w:tcW w:w="1690" w:type="dxa"/>
            <w:tcBorders>
              <w:top w:val="nil"/>
            </w:tcBorders>
            <w:vAlign w:val="center"/>
          </w:tcPr>
          <w:p w14:paraId="75AF03A9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-2.9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1553D878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-3.8 to -2.0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5FA89F9B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&lt;0.001</w:t>
            </w:r>
          </w:p>
        </w:tc>
      </w:tr>
      <w:tr w14:paraId="4260FD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</w:tcBorders>
            <w:vAlign w:val="center"/>
          </w:tcPr>
          <w:p w14:paraId="11359AEF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67AF106E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Adjusted for EMS call volume</w:t>
            </w:r>
          </w:p>
        </w:tc>
        <w:tc>
          <w:tcPr>
            <w:tcW w:w="1690" w:type="dxa"/>
            <w:tcBorders>
              <w:top w:val="nil"/>
            </w:tcBorders>
            <w:vAlign w:val="center"/>
          </w:tcPr>
          <w:p w14:paraId="056510A3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-2.7 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3C4F6178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-3.6 to -1.8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49C25A98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&lt;0.001</w:t>
            </w:r>
          </w:p>
        </w:tc>
      </w:tr>
      <w:tr w14:paraId="4EC0D9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</w:tcBorders>
            <w:vAlign w:val="center"/>
          </w:tcPr>
          <w:p w14:paraId="63EF42AB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Pre-hospital STEMI ID (%)</w:t>
            </w: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43F6DF73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Primary model</w:t>
            </w:r>
          </w:p>
        </w:tc>
        <w:tc>
          <w:tcPr>
            <w:tcW w:w="1690" w:type="dxa"/>
            <w:tcBorders>
              <w:top w:val="nil"/>
            </w:tcBorders>
            <w:vAlign w:val="center"/>
          </w:tcPr>
          <w:p w14:paraId="0A951D5E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+22 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69F8FD57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+13 to +31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3DE0E44D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 &lt;0.01</w:t>
            </w:r>
          </w:p>
        </w:tc>
      </w:tr>
      <w:tr w14:paraId="5AA956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</w:tcBorders>
            <w:vAlign w:val="center"/>
          </w:tcPr>
          <w:p w14:paraId="6F0DDA06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05E2BF69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3-month lagged intervention</w:t>
            </w:r>
          </w:p>
        </w:tc>
        <w:tc>
          <w:tcPr>
            <w:tcW w:w="1690" w:type="dxa"/>
            <w:tcBorders>
              <w:top w:val="nil"/>
            </w:tcBorders>
            <w:vAlign w:val="center"/>
          </w:tcPr>
          <w:p w14:paraId="7F7FAD63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+20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739F9967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+11 to +29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6210565D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 &lt;0.01</w:t>
            </w:r>
          </w:p>
        </w:tc>
      </w:tr>
      <w:tr w14:paraId="6CAF53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</w:tcBorders>
            <w:vAlign w:val="center"/>
          </w:tcPr>
          <w:p w14:paraId="19201196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21D3DA67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Excluding first post-month</w:t>
            </w:r>
          </w:p>
        </w:tc>
        <w:tc>
          <w:tcPr>
            <w:tcW w:w="1690" w:type="dxa"/>
            <w:tcBorders>
              <w:top w:val="nil"/>
            </w:tcBorders>
            <w:vAlign w:val="center"/>
          </w:tcPr>
          <w:p w14:paraId="65D52F85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+23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315268DA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+14 to +32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3E962CB0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 &lt;0.01</w:t>
            </w:r>
          </w:p>
        </w:tc>
      </w:tr>
      <w:tr w14:paraId="5CB3EA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</w:tcBorders>
            <w:vAlign w:val="center"/>
          </w:tcPr>
          <w:p w14:paraId="7B19BB00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679B240E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 Adjusted for EMS call volume</w:t>
            </w:r>
          </w:p>
        </w:tc>
        <w:tc>
          <w:tcPr>
            <w:tcW w:w="1690" w:type="dxa"/>
            <w:tcBorders>
              <w:top w:val="nil"/>
            </w:tcBorders>
            <w:vAlign w:val="center"/>
          </w:tcPr>
          <w:p w14:paraId="38F0C578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+21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437C945A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+12 to +30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0F8AA6E2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 &lt;0.01</w:t>
            </w:r>
          </w:p>
        </w:tc>
      </w:tr>
      <w:tr w14:paraId="182E23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</w:tcBorders>
            <w:vAlign w:val="center"/>
          </w:tcPr>
          <w:p w14:paraId="71757120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ROSC rate for OHCA (%)</w:t>
            </w: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1B126144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Primary model</w:t>
            </w:r>
          </w:p>
        </w:tc>
        <w:tc>
          <w:tcPr>
            <w:tcW w:w="1690" w:type="dxa"/>
            <w:tcBorders>
              <w:top w:val="nil"/>
            </w:tcBorders>
            <w:vAlign w:val="center"/>
          </w:tcPr>
          <w:p w14:paraId="5F42E52C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+12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7F8ABEE7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+5 to +19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0CCED17C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 &lt;0.01</w:t>
            </w:r>
          </w:p>
        </w:tc>
      </w:tr>
      <w:tr w14:paraId="59421A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</w:tcBorders>
            <w:vAlign w:val="center"/>
          </w:tcPr>
          <w:p w14:paraId="6F029088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22AB5EE9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3-month lagged intervention</w:t>
            </w:r>
          </w:p>
        </w:tc>
        <w:tc>
          <w:tcPr>
            <w:tcW w:w="1690" w:type="dxa"/>
            <w:tcBorders>
              <w:top w:val="nil"/>
            </w:tcBorders>
            <w:vAlign w:val="center"/>
          </w:tcPr>
          <w:p w14:paraId="612E3405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 +11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0E4D557B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+4 to +18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0395AA2A">
            <w:pPr>
              <w:jc w:val="center"/>
              <w:rPr>
                <w:rFonts w:hint="eastAsia" w:ascii="Times New Roman" w:hAnsi="Times New Roman" w:cs="Times New Roman" w:eastAsia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/>
              </w:rPr>
              <w:t xml:space="preserve"> &lt;0.0</w:t>
            </w:r>
            <w:r>
              <w:rPr>
                <w:rFonts w:hint="eastAsia"/>
                <w:lang w:val="en-US" w:eastAsia="zh-CN"/>
              </w:rPr>
              <w:t>2</w:t>
            </w:r>
          </w:p>
        </w:tc>
      </w:tr>
      <w:tr w14:paraId="05A01A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</w:tcBorders>
            <w:vAlign w:val="center"/>
          </w:tcPr>
          <w:p w14:paraId="15417270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2FFD966D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Excluding first post-month</w:t>
            </w:r>
          </w:p>
        </w:tc>
        <w:tc>
          <w:tcPr>
            <w:tcW w:w="1690" w:type="dxa"/>
            <w:tcBorders>
              <w:top w:val="nil"/>
            </w:tcBorders>
            <w:vAlign w:val="center"/>
          </w:tcPr>
          <w:p w14:paraId="2DD4E826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+13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2A143ED7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+6 to +20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041396AF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 &lt;0.01</w:t>
            </w:r>
          </w:p>
        </w:tc>
      </w:tr>
      <w:tr w14:paraId="04C691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7" w:type="dxa"/>
            <w:tcBorders>
              <w:top w:val="nil"/>
              <w:bottom w:val="single" w:color="auto" w:sz="12" w:space="0"/>
            </w:tcBorders>
            <w:vAlign w:val="center"/>
          </w:tcPr>
          <w:p w14:paraId="1374E4C5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0" w:type="dxa"/>
            <w:tcBorders>
              <w:top w:val="nil"/>
              <w:bottom w:val="single" w:color="auto" w:sz="12" w:space="0"/>
            </w:tcBorders>
            <w:vAlign w:val="center"/>
          </w:tcPr>
          <w:p w14:paraId="25736976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Adjusted for EMS call volume</w:t>
            </w:r>
          </w:p>
        </w:tc>
        <w:tc>
          <w:tcPr>
            <w:tcW w:w="1690" w:type="dxa"/>
            <w:tcBorders>
              <w:top w:val="nil"/>
              <w:bottom w:val="single" w:color="auto" w:sz="12" w:space="0"/>
            </w:tcBorders>
            <w:vAlign w:val="center"/>
          </w:tcPr>
          <w:p w14:paraId="1DE1D8D8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+12</w:t>
            </w:r>
          </w:p>
        </w:tc>
        <w:tc>
          <w:tcPr>
            <w:tcW w:w="1170" w:type="dxa"/>
            <w:tcBorders>
              <w:top w:val="nil"/>
              <w:bottom w:val="single" w:color="auto" w:sz="12" w:space="0"/>
            </w:tcBorders>
            <w:vAlign w:val="center"/>
          </w:tcPr>
          <w:p w14:paraId="088AB9E2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+5 to +19</w:t>
            </w:r>
          </w:p>
        </w:tc>
        <w:tc>
          <w:tcPr>
            <w:tcW w:w="1350" w:type="dxa"/>
            <w:tcBorders>
              <w:top w:val="nil"/>
              <w:bottom w:val="single" w:color="auto" w:sz="12" w:space="0"/>
            </w:tcBorders>
            <w:vAlign w:val="center"/>
          </w:tcPr>
          <w:p w14:paraId="535D212E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 &lt;0.01</w:t>
            </w:r>
          </w:p>
        </w:tc>
      </w:tr>
    </w:tbl>
    <w:p w14:paraId="3D7962FA">
      <w:pPr>
        <w:rPr>
          <w:rFonts w:hint="eastAsia"/>
        </w:rPr>
      </w:pPr>
    </w:p>
    <w:p w14:paraId="244F0E49">
      <w:pPr>
        <w:rPr>
          <w:rFonts w:hint="eastAsia"/>
        </w:rPr>
      </w:pPr>
      <w:r>
        <w:rPr>
          <w:rFonts w:hint="eastAsia"/>
          <w:i/>
          <w:iCs/>
        </w:rPr>
        <w:t>Notes: Primary model includes terms for time, intervention, and time after intervention. Lagged model assumes full effect only after 3 months. Excluding first post-month removes July 2023 data to account for wash-in. Adjusted model includes monthly EMS call volume as a covariate.</w:t>
      </w:r>
    </w:p>
    <w:p w14:paraId="335511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CA1F3C"/>
    <w:rsid w:val="4692294F"/>
    <w:rsid w:val="620F48D2"/>
    <w:rsid w:val="7206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1066</Characters>
  <Lines>0</Lines>
  <Paragraphs>0</Paragraphs>
  <TotalTime>11</TotalTime>
  <ScaleCrop>false</ScaleCrop>
  <LinksUpToDate>false</LinksUpToDate>
  <CharactersWithSpaces>1304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2026-06-08T12:37:00Z</dcterms:created>
  <dc:creator>管理员</dc:creator>
  <cp:lastModifiedBy>雄鹰</cp:lastModifiedBy>
  <dcterms:modified xsi:type="dcterms:W3CDTF">2026-06-08T12:51:42Z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eyJoZGlkIjoiZTU5NGI5NGVmZWRkNjQyMjI0MGNkNDQzMjQyNWUxNTkiLCJ1c2VySWQiOiIyMzI5MDQzMjAifQ==</vt:lpwstr>
  </property>
  <property fmtid="{D5CDD505-2E9C-101B-9397-08002B2CF9AE}" pid="4" name="ICV">
    <vt:lpwstr>45A717A576BD4457A8FE2F49CA20BF5F_12</vt:lpwstr>
  </property>
</Properties>
</file>